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1AE53EDA">
      <w:pPr>
        <w:adjustRightInd w:val="0"/>
        <w:snapToGrid w:val="0"/>
        <w:spacing w:before="1630" w:beforeLines="500"/>
        <w:ind w:firstLine="0" w:firstLineChars="0"/>
        <w:jc w:val="center"/>
        <w:outlineLvl w:val="0"/>
        <w:rPr>
          <w:rFonts w:eastAsia="方正小标宋_GBK"/>
          <w:bCs/>
          <w:sz w:val="72"/>
          <w:szCs w:val="72"/>
        </w:rPr>
      </w:pPr>
      <w:r>
        <w:rPr>
          <w:rFonts w:eastAsia="方正小标宋_GBK"/>
          <w:bCs/>
          <w:sz w:val="72"/>
          <w:szCs w:val="72"/>
        </w:rPr>
        <w:t>建设项目环境影响报告表</w:t>
      </w:r>
    </w:p>
    <w:p w14:paraId="67A8F0A8">
      <w:pPr>
        <w:ind w:firstLine="0" w:firstLineChars="0"/>
        <w:jc w:val="center"/>
        <w:rPr>
          <w:rFonts w:eastAsia="楷体_GB2312"/>
          <w:bCs/>
          <w:sz w:val="48"/>
          <w:szCs w:val="48"/>
        </w:rPr>
      </w:pPr>
      <w:r>
        <w:rPr>
          <w:rFonts w:hint="eastAsia" w:eastAsia="楷体_GB2312"/>
          <w:bCs/>
          <w:sz w:val="48"/>
          <w:szCs w:val="48"/>
        </w:rPr>
        <w:t>（污染影响类）</w:t>
      </w:r>
    </w:p>
    <w:p w14:paraId="57255777">
      <w:pPr>
        <w:ind w:firstLine="0" w:firstLineChars="0"/>
        <w:jc w:val="center"/>
        <w:rPr>
          <w:rFonts w:eastAsia="楷体_GB2312"/>
          <w:bCs/>
          <w:sz w:val="48"/>
          <w:szCs w:val="48"/>
        </w:rPr>
      </w:pPr>
      <w:r>
        <w:rPr>
          <w:rFonts w:hint="eastAsia" w:eastAsia="楷体_GB2312"/>
          <w:bCs/>
          <w:sz w:val="48"/>
          <w:szCs w:val="48"/>
        </w:rPr>
        <w:t>（公示本）</w:t>
      </w:r>
    </w:p>
    <w:p w14:paraId="4E99426D">
      <w:pPr>
        <w:ind w:firstLine="0" w:firstLineChars="0"/>
        <w:rPr>
          <w:rFonts w:eastAsia="楷体_GB2312"/>
          <w:bCs/>
          <w:color w:val="000000" w:themeColor="text1"/>
          <w:sz w:val="48"/>
          <w:szCs w:val="48"/>
          <w14:textFill>
            <w14:solidFill>
              <w14:schemeClr w14:val="tx1"/>
            </w14:solidFill>
          </w14:textFill>
        </w:rPr>
      </w:pPr>
    </w:p>
    <w:p w14:paraId="68963366">
      <w:pPr>
        <w:ind w:firstLine="0" w:firstLineChars="0"/>
        <w:rPr>
          <w:rFonts w:eastAsia="仿宋"/>
          <w:sz w:val="44"/>
          <w:szCs w:val="44"/>
        </w:rPr>
      </w:pPr>
    </w:p>
    <w:p w14:paraId="653ECE28">
      <w:pPr>
        <w:ind w:firstLine="0" w:firstLineChars="0"/>
        <w:rPr>
          <w:rFonts w:eastAsia="仿宋"/>
          <w:sz w:val="44"/>
          <w:szCs w:val="44"/>
        </w:rPr>
      </w:pPr>
    </w:p>
    <w:p w14:paraId="3577C945">
      <w:pPr>
        <w:ind w:firstLine="0" w:firstLineChars="0"/>
        <w:rPr>
          <w:rFonts w:eastAsia="仿宋"/>
          <w:sz w:val="44"/>
          <w:szCs w:val="44"/>
        </w:rPr>
      </w:pPr>
    </w:p>
    <w:p w14:paraId="4F7135C1">
      <w:pPr>
        <w:ind w:firstLine="0" w:firstLineChars="0"/>
        <w:rPr>
          <w:rFonts w:eastAsia="仿宋"/>
          <w:sz w:val="44"/>
          <w:szCs w:val="44"/>
        </w:rPr>
      </w:pPr>
    </w:p>
    <w:tbl>
      <w:tblPr>
        <w:tblStyle w:val="23"/>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73"/>
        <w:gridCol w:w="5749"/>
      </w:tblGrid>
      <w:tr w14:paraId="1D1FE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8" w:hRule="atLeast"/>
        </w:trPr>
        <w:tc>
          <w:tcPr>
            <w:tcW w:w="1627" w:type="pct"/>
            <w:vAlign w:val="center"/>
          </w:tcPr>
          <w:p w14:paraId="45281736">
            <w:pPr>
              <w:adjustRightInd w:val="0"/>
              <w:snapToGrid w:val="0"/>
              <w:spacing w:line="288" w:lineRule="auto"/>
              <w:ind w:firstLine="0" w:firstLineChars="0"/>
              <w:jc w:val="distribute"/>
              <w:rPr>
                <w:rFonts w:eastAsia="仿宋_GB2312"/>
                <w:sz w:val="36"/>
                <w:szCs w:val="36"/>
              </w:rPr>
            </w:pPr>
            <w:r>
              <w:rPr>
                <w:rFonts w:eastAsia="仿宋_GB2312"/>
                <w:sz w:val="32"/>
                <w:szCs w:val="32"/>
              </w:rPr>
              <w:t>项目名称：</w:t>
            </w:r>
          </w:p>
        </w:tc>
        <w:tc>
          <w:tcPr>
            <w:tcW w:w="3373" w:type="pct"/>
          </w:tcPr>
          <w:p w14:paraId="2E0F5440">
            <w:pPr>
              <w:adjustRightInd w:val="0"/>
              <w:snapToGrid w:val="0"/>
              <w:spacing w:line="288" w:lineRule="auto"/>
              <w:ind w:left="480" w:firstLine="0" w:firstLineChars="0"/>
              <w:jc w:val="distribute"/>
              <w:rPr>
                <w:rFonts w:eastAsia="仿宋_GB2312"/>
                <w:sz w:val="36"/>
                <w:szCs w:val="36"/>
              </w:rPr>
            </w:pPr>
            <w:r>
              <w:rPr>
                <w:rFonts w:hint="eastAsia" w:eastAsia="仿宋_GB2312"/>
                <w:sz w:val="32"/>
                <w:szCs w:val="32"/>
                <w:u w:val="single"/>
              </w:rPr>
              <w:t>80万吨/年生物质集中供热项目</w:t>
            </w:r>
          </w:p>
        </w:tc>
      </w:tr>
      <w:tr w14:paraId="550C4B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27" w:type="pct"/>
            <w:vAlign w:val="center"/>
          </w:tcPr>
          <w:p w14:paraId="6C2FFA5D">
            <w:pPr>
              <w:adjustRightInd w:val="0"/>
              <w:snapToGrid w:val="0"/>
              <w:spacing w:line="288" w:lineRule="auto"/>
              <w:ind w:firstLine="0" w:firstLineChars="0"/>
              <w:rPr>
                <w:rFonts w:eastAsia="仿宋_GB2312"/>
                <w:sz w:val="36"/>
                <w:szCs w:val="36"/>
              </w:rPr>
            </w:pPr>
            <w:r>
              <w:rPr>
                <w:rFonts w:eastAsia="仿宋_GB2312"/>
                <w:sz w:val="32"/>
                <w:szCs w:val="32"/>
              </w:rPr>
              <w:t>建设单位</w:t>
            </w:r>
            <w:r>
              <w:rPr>
                <w:rFonts w:hint="eastAsia" w:eastAsia="仿宋_GB2312"/>
                <w:sz w:val="32"/>
                <w:szCs w:val="32"/>
              </w:rPr>
              <w:t>(</w:t>
            </w:r>
            <w:r>
              <w:rPr>
                <w:rFonts w:eastAsia="仿宋_GB2312"/>
                <w:sz w:val="32"/>
                <w:szCs w:val="32"/>
              </w:rPr>
              <w:t>盖章</w:t>
            </w:r>
            <w:r>
              <w:rPr>
                <w:rFonts w:hint="eastAsia" w:eastAsia="仿宋_GB2312"/>
                <w:sz w:val="32"/>
                <w:szCs w:val="32"/>
              </w:rPr>
              <w:t>)：</w:t>
            </w:r>
          </w:p>
        </w:tc>
        <w:tc>
          <w:tcPr>
            <w:tcW w:w="3373" w:type="pct"/>
          </w:tcPr>
          <w:p w14:paraId="07A4B6FA">
            <w:pPr>
              <w:adjustRightInd w:val="0"/>
              <w:snapToGrid w:val="0"/>
              <w:spacing w:line="288" w:lineRule="auto"/>
              <w:ind w:left="480" w:firstLine="0" w:firstLineChars="0"/>
              <w:jc w:val="distribute"/>
              <w:rPr>
                <w:rFonts w:eastAsia="仿宋_GB2312"/>
                <w:sz w:val="36"/>
                <w:szCs w:val="36"/>
              </w:rPr>
            </w:pPr>
            <w:r>
              <w:rPr>
                <w:rFonts w:hint="eastAsia" w:eastAsia="仿宋_GB2312"/>
                <w:sz w:val="32"/>
                <w:szCs w:val="32"/>
                <w:u w:val="single"/>
              </w:rPr>
              <w:t>四川亿昂洋新能源科技有限公司</w:t>
            </w:r>
          </w:p>
        </w:tc>
      </w:tr>
      <w:tr w14:paraId="4FA7CE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27" w:type="pct"/>
            <w:vAlign w:val="center"/>
          </w:tcPr>
          <w:p w14:paraId="53BCD797">
            <w:pPr>
              <w:adjustRightInd w:val="0"/>
              <w:snapToGrid w:val="0"/>
              <w:spacing w:line="288" w:lineRule="auto"/>
              <w:ind w:firstLine="0" w:firstLineChars="0"/>
              <w:jc w:val="distribute"/>
              <w:rPr>
                <w:rFonts w:eastAsia="仿宋_GB2312"/>
                <w:sz w:val="36"/>
                <w:szCs w:val="36"/>
              </w:rPr>
            </w:pPr>
            <w:r>
              <w:rPr>
                <w:rFonts w:eastAsia="仿宋_GB2312"/>
                <w:sz w:val="32"/>
                <w:szCs w:val="32"/>
              </w:rPr>
              <w:t>编制日期：</w:t>
            </w:r>
          </w:p>
        </w:tc>
        <w:tc>
          <w:tcPr>
            <w:tcW w:w="3373" w:type="pct"/>
          </w:tcPr>
          <w:p w14:paraId="0EA79FBD">
            <w:pPr>
              <w:adjustRightInd w:val="0"/>
              <w:snapToGrid w:val="0"/>
              <w:spacing w:line="288" w:lineRule="auto"/>
              <w:ind w:left="480" w:firstLine="0" w:firstLineChars="0"/>
              <w:jc w:val="left"/>
              <w:rPr>
                <w:rFonts w:eastAsia="仿宋_GB2312"/>
                <w:sz w:val="32"/>
                <w:szCs w:val="32"/>
              </w:rPr>
            </w:pPr>
            <w:r>
              <w:rPr>
                <w:rFonts w:eastAsia="仿宋_GB2312"/>
                <w:sz w:val="32"/>
                <w:szCs w:val="32"/>
                <w:u w:val="single"/>
              </w:rPr>
              <w:t xml:space="preserve">  </w:t>
            </w:r>
            <w:r>
              <w:rPr>
                <w:rFonts w:hint="eastAsia" w:eastAsia="仿宋_GB2312"/>
                <w:sz w:val="32"/>
                <w:szCs w:val="32"/>
                <w:u w:val="single"/>
              </w:rPr>
              <w:t xml:space="preserve">        </w:t>
            </w:r>
            <w:r>
              <w:rPr>
                <w:rFonts w:eastAsia="仿宋_GB2312"/>
                <w:sz w:val="32"/>
                <w:szCs w:val="32"/>
                <w:u w:val="single"/>
              </w:rPr>
              <w:t>202</w:t>
            </w:r>
            <w:r>
              <w:rPr>
                <w:rFonts w:hint="eastAsia" w:eastAsia="仿宋_GB2312"/>
                <w:sz w:val="32"/>
                <w:szCs w:val="32"/>
                <w:u w:val="single"/>
              </w:rPr>
              <w:t>5</w:t>
            </w:r>
            <w:r>
              <w:rPr>
                <w:rFonts w:eastAsia="仿宋_GB2312"/>
                <w:sz w:val="32"/>
                <w:szCs w:val="32"/>
                <w:u w:val="single"/>
              </w:rPr>
              <w:t>年</w:t>
            </w:r>
            <w:r>
              <w:rPr>
                <w:rFonts w:hint="eastAsia" w:eastAsia="仿宋_GB2312"/>
                <w:sz w:val="32"/>
                <w:szCs w:val="32"/>
                <w:u w:val="single"/>
              </w:rPr>
              <w:t>4</w:t>
            </w:r>
            <w:r>
              <w:rPr>
                <w:rFonts w:eastAsia="仿宋_GB2312"/>
                <w:sz w:val="32"/>
                <w:szCs w:val="32"/>
                <w:u w:val="single"/>
              </w:rPr>
              <w:t>月</w:t>
            </w:r>
            <w:r>
              <w:rPr>
                <w:rFonts w:hint="eastAsia" w:eastAsia="仿宋_GB2312"/>
                <w:sz w:val="32"/>
                <w:szCs w:val="32"/>
                <w:u w:val="single"/>
              </w:rPr>
              <w:t xml:space="preserve">           </w:t>
            </w:r>
          </w:p>
        </w:tc>
      </w:tr>
    </w:tbl>
    <w:p w14:paraId="7396ECFA">
      <w:pPr>
        <w:adjustRightInd w:val="0"/>
        <w:snapToGrid w:val="0"/>
        <w:spacing w:line="288" w:lineRule="auto"/>
        <w:ind w:left="-161" w:leftChars="-67" w:firstLine="0" w:firstLineChars="0"/>
        <w:jc w:val="center"/>
        <w:rPr>
          <w:rFonts w:eastAsia="仿宋_GB2312"/>
          <w:sz w:val="32"/>
          <w:szCs w:val="32"/>
          <w:u w:val="single"/>
        </w:rPr>
      </w:pPr>
    </w:p>
    <w:p w14:paraId="000E3340">
      <w:pPr>
        <w:adjustRightInd w:val="0"/>
        <w:snapToGrid w:val="0"/>
        <w:spacing w:line="288" w:lineRule="auto"/>
        <w:ind w:firstLine="0" w:firstLineChars="0"/>
        <w:rPr>
          <w:rFonts w:eastAsia="仿宋_GB2312"/>
          <w:sz w:val="36"/>
          <w:szCs w:val="36"/>
          <w:u w:val="single"/>
        </w:rPr>
      </w:pPr>
      <w:bookmarkStart w:id="0" w:name="_Hlk57884087"/>
    </w:p>
    <w:p w14:paraId="3BD0DE9D">
      <w:pPr>
        <w:adjustRightInd w:val="0"/>
        <w:snapToGrid w:val="0"/>
        <w:spacing w:line="288" w:lineRule="auto"/>
        <w:ind w:firstLine="0" w:firstLineChars="0"/>
        <w:rPr>
          <w:rFonts w:eastAsia="仿宋_GB2312"/>
          <w:sz w:val="36"/>
          <w:szCs w:val="36"/>
        </w:rPr>
      </w:pPr>
    </w:p>
    <w:p w14:paraId="56F90800">
      <w:pPr>
        <w:adjustRightInd w:val="0"/>
        <w:snapToGrid w:val="0"/>
        <w:spacing w:line="288" w:lineRule="auto"/>
        <w:ind w:firstLine="0" w:firstLineChars="0"/>
        <w:rPr>
          <w:rFonts w:eastAsia="仿宋_GB2312"/>
          <w:sz w:val="36"/>
          <w:szCs w:val="36"/>
        </w:rPr>
      </w:pPr>
    </w:p>
    <w:p w14:paraId="2AB4BCBF">
      <w:pPr>
        <w:adjustRightInd w:val="0"/>
        <w:snapToGrid w:val="0"/>
        <w:spacing w:line="288" w:lineRule="auto"/>
        <w:ind w:firstLine="0" w:firstLineChars="0"/>
        <w:rPr>
          <w:rFonts w:eastAsia="仿宋_GB2312"/>
          <w:sz w:val="36"/>
          <w:szCs w:val="36"/>
        </w:rPr>
      </w:pPr>
    </w:p>
    <w:p w14:paraId="72B9AF92">
      <w:pPr>
        <w:adjustRightInd w:val="0"/>
        <w:snapToGrid w:val="0"/>
        <w:spacing w:line="288" w:lineRule="auto"/>
        <w:ind w:firstLine="0" w:firstLineChars="0"/>
        <w:rPr>
          <w:rFonts w:eastAsia="仿宋_GB2312"/>
          <w:sz w:val="36"/>
          <w:szCs w:val="36"/>
        </w:rPr>
      </w:pPr>
    </w:p>
    <w:p w14:paraId="5891591E">
      <w:pPr>
        <w:adjustRightInd w:val="0"/>
        <w:snapToGrid w:val="0"/>
        <w:spacing w:line="288" w:lineRule="auto"/>
        <w:ind w:firstLine="0" w:firstLineChars="0"/>
        <w:rPr>
          <w:rFonts w:eastAsia="仿宋_GB2312"/>
          <w:sz w:val="36"/>
          <w:szCs w:val="36"/>
        </w:rPr>
      </w:pPr>
    </w:p>
    <w:bookmarkEnd w:id="0"/>
    <w:p w14:paraId="438DBB01">
      <w:pPr>
        <w:adjustRightInd w:val="0"/>
        <w:snapToGrid w:val="0"/>
        <w:spacing w:line="288" w:lineRule="auto"/>
        <w:ind w:firstLine="0" w:firstLineChars="0"/>
        <w:jc w:val="center"/>
      </w:pPr>
      <w:r>
        <w:rPr>
          <w:rFonts w:eastAsia="楷体_GB2312"/>
          <w:sz w:val="36"/>
          <w:szCs w:val="36"/>
        </w:rPr>
        <w:t>中华人民共和国生态环境</w:t>
      </w:r>
    </w:p>
    <w:p w14:paraId="57657CA0">
      <w:pPr>
        <w:ind w:firstLine="480"/>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326" w:charSpace="0"/>
        </w:sectPr>
      </w:pPr>
    </w:p>
    <w:p w14:paraId="136F3B0F">
      <w:pPr>
        <w:pStyle w:val="2"/>
      </w:pPr>
      <w:r>
        <w:rPr>
          <w:rFonts w:hint="eastAsia"/>
        </w:rPr>
        <w:t>一、建设项目基本情况</w:t>
      </w:r>
      <w:r>
        <w:tab/>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72"/>
        <w:gridCol w:w="400"/>
        <w:gridCol w:w="2471"/>
        <w:gridCol w:w="1563"/>
        <w:gridCol w:w="3256"/>
      </w:tblGrid>
      <w:tr w14:paraId="3C7C3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jc w:val="center"/>
        </w:trPr>
        <w:tc>
          <w:tcPr>
            <w:tcW w:w="1292" w:type="dxa"/>
            <w:gridSpan w:val="2"/>
            <w:vAlign w:val="center"/>
          </w:tcPr>
          <w:p w14:paraId="2D396898">
            <w:pPr>
              <w:spacing w:line="240" w:lineRule="auto"/>
              <w:ind w:firstLine="0" w:firstLineChars="0"/>
              <w:jc w:val="center"/>
              <w:rPr>
                <w:szCs w:val="24"/>
              </w:rPr>
            </w:pPr>
            <w:r>
              <w:rPr>
                <w:rFonts w:hint="eastAsia"/>
                <w:szCs w:val="24"/>
              </w:rPr>
              <w:t>建设项目名称</w:t>
            </w:r>
          </w:p>
        </w:tc>
        <w:tc>
          <w:tcPr>
            <w:tcW w:w="7004" w:type="dxa"/>
            <w:gridSpan w:val="3"/>
            <w:vAlign w:val="center"/>
          </w:tcPr>
          <w:p w14:paraId="0E6E6743">
            <w:pPr>
              <w:spacing w:line="240" w:lineRule="auto"/>
              <w:ind w:firstLine="0" w:firstLineChars="0"/>
              <w:jc w:val="center"/>
              <w:rPr>
                <w:szCs w:val="24"/>
              </w:rPr>
            </w:pPr>
            <w:bookmarkStart w:id="1" w:name="_Hlk192845298"/>
            <w:r>
              <w:rPr>
                <w:szCs w:val="24"/>
              </w:rPr>
              <w:t>80万吨</w:t>
            </w:r>
            <w:r>
              <w:rPr>
                <w:rFonts w:hint="eastAsia"/>
                <w:szCs w:val="24"/>
              </w:rPr>
              <w:t>/</w:t>
            </w:r>
            <w:r>
              <w:rPr>
                <w:szCs w:val="24"/>
              </w:rPr>
              <w:t>年生物质集中供热项目</w:t>
            </w:r>
            <w:bookmarkEnd w:id="1"/>
          </w:p>
        </w:tc>
      </w:tr>
      <w:tr w14:paraId="4708E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04AC2F47">
            <w:pPr>
              <w:spacing w:line="240" w:lineRule="auto"/>
              <w:ind w:firstLine="0" w:firstLineChars="0"/>
              <w:jc w:val="center"/>
              <w:rPr>
                <w:szCs w:val="24"/>
              </w:rPr>
            </w:pPr>
            <w:r>
              <w:rPr>
                <w:rFonts w:hint="eastAsia"/>
                <w:szCs w:val="24"/>
              </w:rPr>
              <w:t>项目代码</w:t>
            </w:r>
          </w:p>
        </w:tc>
        <w:tc>
          <w:tcPr>
            <w:tcW w:w="7004" w:type="dxa"/>
            <w:gridSpan w:val="3"/>
            <w:vAlign w:val="center"/>
          </w:tcPr>
          <w:p w14:paraId="5C9E7C06">
            <w:pPr>
              <w:spacing w:line="240" w:lineRule="auto"/>
              <w:ind w:firstLine="0" w:firstLineChars="0"/>
              <w:jc w:val="center"/>
              <w:rPr>
                <w:szCs w:val="24"/>
              </w:rPr>
            </w:pPr>
            <w:permStart w:id="0" w:edGrp="everyone"/>
            <w:permEnd w:id="0"/>
            <w:r>
              <w:rPr>
                <w:rFonts w:hint="eastAsia"/>
                <w:szCs w:val="24"/>
              </w:rPr>
              <w:t>2410-510923-04-01-305250</w:t>
            </w:r>
          </w:p>
        </w:tc>
      </w:tr>
      <w:tr w14:paraId="11B2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2" w:type="dxa"/>
            <w:gridSpan w:val="2"/>
            <w:vAlign w:val="center"/>
          </w:tcPr>
          <w:p w14:paraId="3C55F623">
            <w:pPr>
              <w:spacing w:line="240" w:lineRule="auto"/>
              <w:ind w:firstLine="0" w:firstLineChars="0"/>
              <w:jc w:val="center"/>
              <w:rPr>
                <w:szCs w:val="24"/>
              </w:rPr>
            </w:pPr>
            <w:r>
              <w:rPr>
                <w:rFonts w:hint="eastAsia"/>
                <w:szCs w:val="24"/>
              </w:rPr>
              <w:t>建设单位联系人</w:t>
            </w:r>
          </w:p>
        </w:tc>
        <w:tc>
          <w:tcPr>
            <w:tcW w:w="2685" w:type="dxa"/>
            <w:shd w:val="clear" w:color="auto" w:fill="auto"/>
            <w:vAlign w:val="center"/>
          </w:tcPr>
          <w:p w14:paraId="48D07701">
            <w:pPr>
              <w:spacing w:line="240" w:lineRule="auto"/>
              <w:ind w:firstLine="0" w:firstLineChars="0"/>
              <w:jc w:val="center"/>
              <w:rPr>
                <w:rFonts w:hint="eastAsia"/>
                <w:szCs w:val="24"/>
              </w:rPr>
            </w:pPr>
            <w:r>
              <w:rPr>
                <w:rFonts w:hint="eastAsia"/>
                <w:szCs w:val="24"/>
              </w:rPr>
              <w:t>***</w:t>
            </w:r>
          </w:p>
        </w:tc>
        <w:tc>
          <w:tcPr>
            <w:tcW w:w="1563" w:type="dxa"/>
            <w:vAlign w:val="center"/>
          </w:tcPr>
          <w:p w14:paraId="0072367C">
            <w:pPr>
              <w:spacing w:line="240" w:lineRule="auto"/>
              <w:ind w:firstLine="0" w:firstLineChars="0"/>
              <w:jc w:val="center"/>
              <w:rPr>
                <w:szCs w:val="24"/>
              </w:rPr>
            </w:pPr>
            <w:r>
              <w:rPr>
                <w:rFonts w:hint="eastAsia"/>
                <w:szCs w:val="24"/>
              </w:rPr>
              <w:t>联系方式</w:t>
            </w:r>
          </w:p>
        </w:tc>
        <w:tc>
          <w:tcPr>
            <w:tcW w:w="2756" w:type="dxa"/>
            <w:vAlign w:val="center"/>
          </w:tcPr>
          <w:p w14:paraId="38A0F3B6">
            <w:pPr>
              <w:spacing w:line="240" w:lineRule="auto"/>
              <w:ind w:firstLine="0" w:firstLineChars="0"/>
              <w:jc w:val="center"/>
              <w:rPr>
                <w:rFonts w:hint="eastAsia"/>
                <w:szCs w:val="24"/>
              </w:rPr>
            </w:pPr>
            <w:r>
              <w:rPr>
                <w:rFonts w:hint="eastAsia"/>
                <w:szCs w:val="24"/>
              </w:rPr>
              <w:t>*******</w:t>
            </w:r>
          </w:p>
        </w:tc>
      </w:tr>
      <w:tr w14:paraId="32D9C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02BD524F">
            <w:pPr>
              <w:spacing w:line="240" w:lineRule="auto"/>
              <w:ind w:firstLine="0" w:firstLineChars="0"/>
              <w:jc w:val="center"/>
              <w:rPr>
                <w:szCs w:val="24"/>
              </w:rPr>
            </w:pPr>
            <w:r>
              <w:rPr>
                <w:rFonts w:hint="eastAsia"/>
                <w:szCs w:val="24"/>
              </w:rPr>
              <w:t>建设地点</w:t>
            </w:r>
          </w:p>
        </w:tc>
        <w:tc>
          <w:tcPr>
            <w:tcW w:w="7004" w:type="dxa"/>
            <w:gridSpan w:val="3"/>
            <w:vAlign w:val="center"/>
          </w:tcPr>
          <w:p w14:paraId="340B5C1E">
            <w:pPr>
              <w:spacing w:line="240" w:lineRule="auto"/>
              <w:ind w:firstLine="0" w:firstLineChars="0"/>
              <w:jc w:val="center"/>
              <w:rPr>
                <w:szCs w:val="24"/>
              </w:rPr>
            </w:pPr>
            <w:bookmarkStart w:id="2" w:name="_Hlk192845291"/>
            <w:r>
              <w:rPr>
                <w:rFonts w:hint="eastAsia"/>
                <w:szCs w:val="24"/>
              </w:rPr>
              <w:t>大英县经济开发区席家沟村盛马大道中段</w:t>
            </w:r>
            <w:bookmarkEnd w:id="2"/>
          </w:p>
        </w:tc>
      </w:tr>
      <w:tr w14:paraId="7D9C4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2" w:type="dxa"/>
            <w:gridSpan w:val="2"/>
            <w:vAlign w:val="center"/>
          </w:tcPr>
          <w:p w14:paraId="6799CC9E">
            <w:pPr>
              <w:spacing w:line="240" w:lineRule="auto"/>
              <w:ind w:firstLine="0" w:firstLineChars="0"/>
              <w:jc w:val="center"/>
              <w:rPr>
                <w:szCs w:val="24"/>
              </w:rPr>
            </w:pPr>
            <w:r>
              <w:rPr>
                <w:rFonts w:hint="eastAsia"/>
                <w:szCs w:val="24"/>
              </w:rPr>
              <w:t>地理坐标</w:t>
            </w:r>
          </w:p>
        </w:tc>
        <w:tc>
          <w:tcPr>
            <w:tcW w:w="7004" w:type="dxa"/>
            <w:gridSpan w:val="3"/>
            <w:vAlign w:val="center"/>
          </w:tcPr>
          <w:p w14:paraId="124BB646">
            <w:pPr>
              <w:spacing w:line="240" w:lineRule="auto"/>
              <w:ind w:firstLine="0" w:firstLineChars="0"/>
              <w:jc w:val="center"/>
              <w:rPr>
                <w:szCs w:val="24"/>
              </w:rPr>
            </w:pPr>
            <w:r>
              <w:rPr>
                <w:rFonts w:hint="eastAsia"/>
                <w:szCs w:val="24"/>
              </w:rPr>
              <w:t>（</w:t>
            </w:r>
            <w:r>
              <w:rPr>
                <w:szCs w:val="24"/>
              </w:rPr>
              <w:t xml:space="preserve"> 10</w:t>
            </w:r>
            <w:r>
              <w:rPr>
                <w:rFonts w:hint="eastAsia"/>
                <w:szCs w:val="24"/>
              </w:rPr>
              <w:t xml:space="preserve">5 </w:t>
            </w:r>
            <w:r>
              <w:rPr>
                <w:szCs w:val="24"/>
              </w:rPr>
              <w:t xml:space="preserve">度 </w:t>
            </w:r>
            <w:r>
              <w:rPr>
                <w:rFonts w:hint="eastAsia"/>
                <w:szCs w:val="24"/>
              </w:rPr>
              <w:t>17</w:t>
            </w:r>
            <w:r>
              <w:rPr>
                <w:szCs w:val="24"/>
              </w:rPr>
              <w:t xml:space="preserve"> 分 </w:t>
            </w:r>
            <w:r>
              <w:rPr>
                <w:rFonts w:hint="eastAsia"/>
                <w:szCs w:val="24"/>
              </w:rPr>
              <w:t>48.722</w:t>
            </w:r>
            <w:r>
              <w:rPr>
                <w:szCs w:val="24"/>
              </w:rPr>
              <w:t xml:space="preserve"> 秒， </w:t>
            </w:r>
            <w:r>
              <w:rPr>
                <w:rFonts w:hint="eastAsia"/>
                <w:szCs w:val="24"/>
              </w:rPr>
              <w:t>30</w:t>
            </w:r>
            <w:r>
              <w:rPr>
                <w:szCs w:val="24"/>
              </w:rPr>
              <w:t xml:space="preserve"> 度 </w:t>
            </w:r>
            <w:r>
              <w:rPr>
                <w:rFonts w:hint="eastAsia"/>
                <w:szCs w:val="24"/>
              </w:rPr>
              <w:t>34</w:t>
            </w:r>
            <w:r>
              <w:rPr>
                <w:szCs w:val="24"/>
              </w:rPr>
              <w:t xml:space="preserve"> 分</w:t>
            </w:r>
            <w:r>
              <w:rPr>
                <w:rFonts w:hint="eastAsia"/>
                <w:szCs w:val="24"/>
              </w:rPr>
              <w:t xml:space="preserve"> 46.208</w:t>
            </w:r>
            <w:r>
              <w:rPr>
                <w:szCs w:val="24"/>
              </w:rPr>
              <w:t xml:space="preserve"> 秒）</w:t>
            </w:r>
          </w:p>
        </w:tc>
      </w:tr>
      <w:tr w14:paraId="64B4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701BD0FF">
            <w:pPr>
              <w:spacing w:line="240" w:lineRule="auto"/>
              <w:ind w:firstLine="0" w:firstLineChars="0"/>
              <w:jc w:val="center"/>
              <w:rPr>
                <w:szCs w:val="24"/>
              </w:rPr>
            </w:pPr>
            <w:r>
              <w:rPr>
                <w:rFonts w:hint="eastAsia"/>
                <w:szCs w:val="24"/>
              </w:rPr>
              <w:t>国民经济行业类别</w:t>
            </w:r>
          </w:p>
        </w:tc>
        <w:tc>
          <w:tcPr>
            <w:tcW w:w="2685" w:type="dxa"/>
            <w:vAlign w:val="center"/>
          </w:tcPr>
          <w:p w14:paraId="762DA75E">
            <w:pPr>
              <w:spacing w:line="240" w:lineRule="auto"/>
              <w:ind w:firstLine="0" w:firstLineChars="0"/>
              <w:jc w:val="center"/>
              <w:rPr>
                <w:szCs w:val="24"/>
              </w:rPr>
            </w:pPr>
            <w:r>
              <w:rPr>
                <w:rFonts w:hint="eastAsia"/>
                <w:szCs w:val="24"/>
              </w:rPr>
              <w:t>D4430热力生产和供应</w:t>
            </w:r>
          </w:p>
        </w:tc>
        <w:tc>
          <w:tcPr>
            <w:tcW w:w="1563" w:type="dxa"/>
            <w:vAlign w:val="center"/>
          </w:tcPr>
          <w:p w14:paraId="507AAE2B">
            <w:pPr>
              <w:spacing w:line="240" w:lineRule="auto"/>
              <w:ind w:firstLine="0" w:firstLineChars="0"/>
              <w:jc w:val="center"/>
              <w:rPr>
                <w:szCs w:val="24"/>
              </w:rPr>
            </w:pPr>
            <w:r>
              <w:rPr>
                <w:rFonts w:hint="eastAsia"/>
                <w:szCs w:val="24"/>
              </w:rPr>
              <w:t>建设项目行业类别</w:t>
            </w:r>
          </w:p>
        </w:tc>
        <w:tc>
          <w:tcPr>
            <w:tcW w:w="2756" w:type="dxa"/>
            <w:vAlign w:val="center"/>
          </w:tcPr>
          <w:p w14:paraId="0D788C8E">
            <w:pPr>
              <w:spacing w:line="240" w:lineRule="auto"/>
              <w:ind w:firstLine="0" w:firstLineChars="0"/>
              <w:jc w:val="center"/>
              <w:rPr>
                <w:szCs w:val="24"/>
              </w:rPr>
            </w:pPr>
            <w:r>
              <w:rPr>
                <w:szCs w:val="24"/>
              </w:rPr>
              <w:t>四十一、电力、热力生产和供应业</w:t>
            </w:r>
            <w:r>
              <w:rPr>
                <w:rFonts w:hint="eastAsia"/>
                <w:szCs w:val="24"/>
              </w:rPr>
              <w:t xml:space="preserve"> 91热力生产和供应工程</w:t>
            </w:r>
          </w:p>
        </w:tc>
      </w:tr>
      <w:tr w14:paraId="238D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06C58858">
            <w:pPr>
              <w:spacing w:line="240" w:lineRule="auto"/>
              <w:ind w:firstLine="0" w:firstLineChars="0"/>
              <w:jc w:val="center"/>
              <w:rPr>
                <w:szCs w:val="24"/>
              </w:rPr>
            </w:pPr>
            <w:r>
              <w:rPr>
                <w:rFonts w:hint="eastAsia"/>
                <w:szCs w:val="24"/>
              </w:rPr>
              <w:t>建设性质</w:t>
            </w:r>
          </w:p>
        </w:tc>
        <w:tc>
          <w:tcPr>
            <w:tcW w:w="2685" w:type="dxa"/>
            <w:vAlign w:val="center"/>
          </w:tcPr>
          <w:p w14:paraId="630C50EA">
            <w:pPr>
              <w:spacing w:line="240" w:lineRule="auto"/>
              <w:ind w:firstLine="0" w:firstLineChars="0"/>
              <w:jc w:val="left"/>
              <w:rPr>
                <w:szCs w:val="24"/>
              </w:rPr>
            </w:pPr>
            <w:r>
              <w:rPr>
                <w:rFonts w:hint="eastAsia"/>
                <w:szCs w:val="24"/>
              </w:rPr>
              <w:t>√新建（迁建）</w:t>
            </w:r>
          </w:p>
          <w:p w14:paraId="6A88FCA5">
            <w:pPr>
              <w:spacing w:line="240" w:lineRule="auto"/>
              <w:ind w:firstLine="0" w:firstLineChars="0"/>
              <w:jc w:val="left"/>
              <w:rPr>
                <w:szCs w:val="24"/>
              </w:rPr>
            </w:pPr>
            <w:r>
              <w:rPr>
                <w:rFonts w:hint="eastAsia"/>
                <w:szCs w:val="24"/>
              </w:rPr>
              <w:t>□改建</w:t>
            </w:r>
          </w:p>
          <w:p w14:paraId="24512567">
            <w:pPr>
              <w:spacing w:line="240" w:lineRule="auto"/>
              <w:ind w:firstLine="0" w:firstLineChars="0"/>
              <w:jc w:val="left"/>
              <w:rPr>
                <w:szCs w:val="24"/>
              </w:rPr>
            </w:pPr>
            <w:r>
              <w:rPr>
                <w:rFonts w:hint="eastAsia"/>
                <w:szCs w:val="24"/>
              </w:rPr>
              <w:t>□扩建</w:t>
            </w:r>
          </w:p>
          <w:p w14:paraId="5814A3A1">
            <w:pPr>
              <w:spacing w:line="240" w:lineRule="auto"/>
              <w:ind w:firstLine="0" w:firstLineChars="0"/>
              <w:jc w:val="left"/>
              <w:rPr>
                <w:szCs w:val="24"/>
              </w:rPr>
            </w:pPr>
            <w:r>
              <w:rPr>
                <w:rFonts w:hint="eastAsia"/>
                <w:szCs w:val="24"/>
              </w:rPr>
              <w:t>□技术改造</w:t>
            </w:r>
          </w:p>
        </w:tc>
        <w:tc>
          <w:tcPr>
            <w:tcW w:w="1563" w:type="dxa"/>
            <w:vAlign w:val="center"/>
          </w:tcPr>
          <w:p w14:paraId="2AD62EB5">
            <w:pPr>
              <w:spacing w:line="240" w:lineRule="auto"/>
              <w:ind w:firstLine="0" w:firstLineChars="0"/>
              <w:jc w:val="center"/>
              <w:rPr>
                <w:szCs w:val="24"/>
              </w:rPr>
            </w:pPr>
            <w:r>
              <w:rPr>
                <w:rFonts w:hint="eastAsia"/>
                <w:szCs w:val="24"/>
              </w:rPr>
              <w:t>建设项目申报情形</w:t>
            </w:r>
          </w:p>
        </w:tc>
        <w:tc>
          <w:tcPr>
            <w:tcW w:w="2756" w:type="dxa"/>
            <w:vAlign w:val="center"/>
          </w:tcPr>
          <w:p w14:paraId="75CA99B6">
            <w:pPr>
              <w:spacing w:line="240" w:lineRule="auto"/>
              <w:ind w:firstLine="0" w:firstLineChars="0"/>
              <w:jc w:val="left"/>
              <w:rPr>
                <w:szCs w:val="24"/>
              </w:rPr>
            </w:pPr>
            <w:r>
              <w:rPr>
                <w:rFonts w:hint="eastAsia"/>
                <w:szCs w:val="24"/>
              </w:rPr>
              <w:t>√首次申报项目</w:t>
            </w:r>
          </w:p>
          <w:p w14:paraId="7877D1A7">
            <w:pPr>
              <w:spacing w:line="240" w:lineRule="auto"/>
              <w:ind w:firstLine="0" w:firstLineChars="0"/>
              <w:jc w:val="left"/>
              <w:rPr>
                <w:szCs w:val="24"/>
              </w:rPr>
            </w:pPr>
            <w:r>
              <w:rPr>
                <w:rFonts w:hint="eastAsia"/>
                <w:szCs w:val="24"/>
              </w:rPr>
              <w:t>□不予批准后再次申报项目</w:t>
            </w:r>
          </w:p>
          <w:p w14:paraId="27B2DB4C">
            <w:pPr>
              <w:spacing w:line="240" w:lineRule="auto"/>
              <w:ind w:firstLine="0" w:firstLineChars="0"/>
              <w:jc w:val="left"/>
              <w:rPr>
                <w:szCs w:val="24"/>
              </w:rPr>
            </w:pPr>
            <w:r>
              <w:rPr>
                <w:rFonts w:hint="eastAsia"/>
                <w:szCs w:val="24"/>
              </w:rPr>
              <w:t>□</w:t>
            </w:r>
            <w:r>
              <w:rPr>
                <w:szCs w:val="24"/>
              </w:rPr>
              <w:t>超五年重新审核项目</w:t>
            </w:r>
          </w:p>
          <w:p w14:paraId="1393AE2E">
            <w:pPr>
              <w:spacing w:line="240" w:lineRule="auto"/>
              <w:ind w:firstLine="0" w:firstLineChars="0"/>
              <w:jc w:val="left"/>
              <w:rPr>
                <w:szCs w:val="24"/>
              </w:rPr>
            </w:pPr>
            <w:r>
              <w:rPr>
                <w:rFonts w:hint="eastAsia"/>
                <w:szCs w:val="24"/>
              </w:rPr>
              <w:t>□重大变动重新报批项目</w:t>
            </w:r>
          </w:p>
        </w:tc>
      </w:tr>
      <w:tr w14:paraId="4A5F3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147EDE58">
            <w:pPr>
              <w:spacing w:line="240" w:lineRule="auto"/>
              <w:ind w:firstLine="0" w:firstLineChars="0"/>
              <w:jc w:val="center"/>
              <w:rPr>
                <w:szCs w:val="24"/>
              </w:rPr>
            </w:pPr>
            <w:r>
              <w:rPr>
                <w:rFonts w:hint="eastAsia"/>
                <w:szCs w:val="24"/>
              </w:rPr>
              <w:t>项目审批（核准</w:t>
            </w:r>
            <w:r>
              <w:rPr>
                <w:szCs w:val="24"/>
              </w:rPr>
              <w:t>/</w:t>
            </w:r>
            <w:r>
              <w:rPr>
                <w:rFonts w:hint="eastAsia"/>
                <w:szCs w:val="24"/>
              </w:rPr>
              <w:t>备案）部门（选填）</w:t>
            </w:r>
          </w:p>
        </w:tc>
        <w:tc>
          <w:tcPr>
            <w:tcW w:w="2685" w:type="dxa"/>
            <w:vAlign w:val="center"/>
          </w:tcPr>
          <w:p w14:paraId="62247FED">
            <w:pPr>
              <w:spacing w:line="240" w:lineRule="auto"/>
              <w:ind w:firstLine="0" w:firstLineChars="0"/>
              <w:jc w:val="center"/>
              <w:rPr>
                <w:szCs w:val="24"/>
              </w:rPr>
            </w:pPr>
            <w:r>
              <w:rPr>
                <w:rFonts w:hint="eastAsia"/>
                <w:szCs w:val="24"/>
              </w:rPr>
              <w:t>大英县发展和改革局</w:t>
            </w:r>
          </w:p>
        </w:tc>
        <w:tc>
          <w:tcPr>
            <w:tcW w:w="1563" w:type="dxa"/>
            <w:vAlign w:val="center"/>
          </w:tcPr>
          <w:p w14:paraId="2D4C9C83">
            <w:pPr>
              <w:spacing w:line="240" w:lineRule="auto"/>
              <w:ind w:firstLine="0" w:firstLineChars="0"/>
              <w:jc w:val="center"/>
              <w:rPr>
                <w:szCs w:val="24"/>
              </w:rPr>
            </w:pPr>
            <w:r>
              <w:rPr>
                <w:rFonts w:hint="eastAsia"/>
                <w:szCs w:val="24"/>
              </w:rPr>
              <w:t>项目审批（核准</w:t>
            </w:r>
            <w:r>
              <w:rPr>
                <w:szCs w:val="24"/>
              </w:rPr>
              <w:t>/</w:t>
            </w:r>
            <w:r>
              <w:rPr>
                <w:rFonts w:hint="eastAsia"/>
                <w:szCs w:val="24"/>
              </w:rPr>
              <w:t>备案）文号（选填）</w:t>
            </w:r>
          </w:p>
        </w:tc>
        <w:tc>
          <w:tcPr>
            <w:tcW w:w="2756" w:type="dxa"/>
            <w:vAlign w:val="center"/>
          </w:tcPr>
          <w:p w14:paraId="6F1D1944">
            <w:pPr>
              <w:spacing w:line="240" w:lineRule="auto"/>
              <w:ind w:firstLine="0" w:firstLineChars="0"/>
              <w:jc w:val="center"/>
              <w:rPr>
                <w:szCs w:val="24"/>
              </w:rPr>
            </w:pPr>
            <w:r>
              <w:rPr>
                <w:rFonts w:hint="eastAsia"/>
                <w:szCs w:val="24"/>
              </w:rPr>
              <w:t>川投资备【2410-510923-04-01-305250】FGQB-0322号</w:t>
            </w:r>
          </w:p>
        </w:tc>
      </w:tr>
      <w:tr w14:paraId="022A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40EA8AFB">
            <w:pPr>
              <w:spacing w:line="240" w:lineRule="auto"/>
              <w:ind w:firstLine="0" w:firstLineChars="0"/>
              <w:jc w:val="center"/>
              <w:rPr>
                <w:szCs w:val="24"/>
              </w:rPr>
            </w:pPr>
            <w:r>
              <w:rPr>
                <w:rFonts w:hint="eastAsia"/>
                <w:szCs w:val="24"/>
              </w:rPr>
              <w:t>总投资（万元）</w:t>
            </w:r>
          </w:p>
        </w:tc>
        <w:tc>
          <w:tcPr>
            <w:tcW w:w="2685" w:type="dxa"/>
            <w:vAlign w:val="center"/>
          </w:tcPr>
          <w:p w14:paraId="00E29A4D">
            <w:pPr>
              <w:spacing w:line="240" w:lineRule="auto"/>
              <w:ind w:firstLine="0" w:firstLineChars="0"/>
              <w:jc w:val="center"/>
              <w:rPr>
                <w:szCs w:val="24"/>
              </w:rPr>
            </w:pPr>
            <w:r>
              <w:rPr>
                <w:rFonts w:hint="eastAsia"/>
                <w:szCs w:val="24"/>
              </w:rPr>
              <w:t>15000</w:t>
            </w:r>
          </w:p>
        </w:tc>
        <w:tc>
          <w:tcPr>
            <w:tcW w:w="1563" w:type="dxa"/>
            <w:vAlign w:val="center"/>
          </w:tcPr>
          <w:p w14:paraId="10462AA8">
            <w:pPr>
              <w:spacing w:line="240" w:lineRule="auto"/>
              <w:ind w:firstLine="0" w:firstLineChars="0"/>
              <w:jc w:val="center"/>
              <w:rPr>
                <w:szCs w:val="24"/>
              </w:rPr>
            </w:pPr>
            <w:r>
              <w:rPr>
                <w:rFonts w:hint="eastAsia"/>
                <w:szCs w:val="24"/>
              </w:rPr>
              <w:t>环保投资（万元）</w:t>
            </w:r>
          </w:p>
        </w:tc>
        <w:tc>
          <w:tcPr>
            <w:tcW w:w="2756" w:type="dxa"/>
            <w:vAlign w:val="center"/>
          </w:tcPr>
          <w:p w14:paraId="6EDF28BA">
            <w:pPr>
              <w:spacing w:line="240" w:lineRule="auto"/>
              <w:ind w:firstLine="0" w:firstLineChars="0"/>
              <w:jc w:val="center"/>
              <w:rPr>
                <w:szCs w:val="24"/>
              </w:rPr>
            </w:pPr>
            <w:r>
              <w:rPr>
                <w:rFonts w:hint="eastAsia"/>
                <w:szCs w:val="24"/>
              </w:rPr>
              <w:t>989</w:t>
            </w:r>
          </w:p>
        </w:tc>
      </w:tr>
      <w:tr w14:paraId="6A9EB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292" w:type="dxa"/>
            <w:gridSpan w:val="2"/>
            <w:vAlign w:val="center"/>
          </w:tcPr>
          <w:p w14:paraId="2B0C3022">
            <w:pPr>
              <w:spacing w:line="240" w:lineRule="auto"/>
              <w:ind w:firstLine="0" w:firstLineChars="0"/>
              <w:jc w:val="center"/>
              <w:rPr>
                <w:szCs w:val="24"/>
              </w:rPr>
            </w:pPr>
            <w:r>
              <w:rPr>
                <w:rFonts w:hint="eastAsia"/>
                <w:szCs w:val="24"/>
              </w:rPr>
              <w:t>环保投资占比（</w:t>
            </w:r>
            <w:r>
              <w:rPr>
                <w:szCs w:val="24"/>
              </w:rPr>
              <w:t>%）</w:t>
            </w:r>
          </w:p>
        </w:tc>
        <w:tc>
          <w:tcPr>
            <w:tcW w:w="2685" w:type="dxa"/>
            <w:vAlign w:val="center"/>
          </w:tcPr>
          <w:p w14:paraId="0D9F46FF">
            <w:pPr>
              <w:spacing w:line="240" w:lineRule="auto"/>
              <w:ind w:firstLine="0" w:firstLineChars="0"/>
              <w:jc w:val="center"/>
              <w:rPr>
                <w:szCs w:val="24"/>
              </w:rPr>
            </w:pPr>
            <w:r>
              <w:rPr>
                <w:rFonts w:hint="eastAsia"/>
                <w:szCs w:val="24"/>
              </w:rPr>
              <w:t>6.59</w:t>
            </w:r>
          </w:p>
        </w:tc>
        <w:tc>
          <w:tcPr>
            <w:tcW w:w="1563" w:type="dxa"/>
            <w:vAlign w:val="center"/>
          </w:tcPr>
          <w:p w14:paraId="3273696C">
            <w:pPr>
              <w:spacing w:line="240" w:lineRule="auto"/>
              <w:ind w:firstLine="0" w:firstLineChars="0"/>
              <w:jc w:val="center"/>
              <w:rPr>
                <w:szCs w:val="24"/>
              </w:rPr>
            </w:pPr>
            <w:r>
              <w:rPr>
                <w:rFonts w:hint="eastAsia"/>
                <w:szCs w:val="24"/>
              </w:rPr>
              <w:t>施工工期</w:t>
            </w:r>
          </w:p>
        </w:tc>
        <w:tc>
          <w:tcPr>
            <w:tcW w:w="2756" w:type="dxa"/>
            <w:vAlign w:val="center"/>
          </w:tcPr>
          <w:p w14:paraId="10A02456">
            <w:pPr>
              <w:spacing w:line="240" w:lineRule="auto"/>
              <w:ind w:firstLine="0" w:firstLineChars="0"/>
              <w:jc w:val="center"/>
              <w:rPr>
                <w:szCs w:val="24"/>
              </w:rPr>
            </w:pPr>
            <w:r>
              <w:rPr>
                <w:rFonts w:hint="eastAsia"/>
                <w:szCs w:val="24"/>
              </w:rPr>
              <w:t>3个月</w:t>
            </w:r>
          </w:p>
        </w:tc>
      </w:tr>
      <w:tr w14:paraId="0A1C6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292" w:type="dxa"/>
            <w:gridSpan w:val="2"/>
            <w:vAlign w:val="center"/>
          </w:tcPr>
          <w:p w14:paraId="6507FB01">
            <w:pPr>
              <w:spacing w:line="240" w:lineRule="auto"/>
              <w:ind w:firstLine="0" w:firstLineChars="0"/>
              <w:jc w:val="center"/>
              <w:rPr>
                <w:szCs w:val="24"/>
              </w:rPr>
            </w:pPr>
            <w:r>
              <w:rPr>
                <w:rFonts w:hint="eastAsia"/>
                <w:szCs w:val="24"/>
              </w:rPr>
              <w:t>是否开工建设</w:t>
            </w:r>
          </w:p>
        </w:tc>
        <w:tc>
          <w:tcPr>
            <w:tcW w:w="2685" w:type="dxa"/>
            <w:vAlign w:val="center"/>
          </w:tcPr>
          <w:p w14:paraId="7E353F9C">
            <w:pPr>
              <w:spacing w:line="240" w:lineRule="auto"/>
              <w:ind w:firstLine="0" w:firstLineChars="0"/>
              <w:jc w:val="left"/>
              <w:rPr>
                <w:szCs w:val="24"/>
              </w:rPr>
            </w:pPr>
            <w:r>
              <w:rPr>
                <w:rFonts w:hint="eastAsia"/>
                <w:szCs w:val="24"/>
              </w:rPr>
              <w:t>√否</w:t>
            </w:r>
          </w:p>
          <w:p w14:paraId="5BD6333D">
            <w:pPr>
              <w:spacing w:line="240" w:lineRule="auto"/>
              <w:ind w:firstLine="0" w:firstLineChars="0"/>
              <w:jc w:val="left"/>
              <w:rPr>
                <w:szCs w:val="24"/>
              </w:rPr>
            </w:pPr>
            <w:r>
              <w:rPr>
                <w:rFonts w:hint="eastAsia"/>
                <w:szCs w:val="24"/>
              </w:rPr>
              <w:t>□</w:t>
            </w:r>
            <w:r>
              <w:rPr>
                <w:szCs w:val="24"/>
              </w:rPr>
              <w:t>是：</w:t>
            </w:r>
          </w:p>
        </w:tc>
        <w:tc>
          <w:tcPr>
            <w:tcW w:w="1563" w:type="dxa"/>
            <w:vAlign w:val="center"/>
          </w:tcPr>
          <w:p w14:paraId="437896D5">
            <w:pPr>
              <w:spacing w:line="240" w:lineRule="auto"/>
              <w:ind w:firstLine="0" w:firstLineChars="0"/>
              <w:jc w:val="center"/>
              <w:rPr>
                <w:szCs w:val="24"/>
              </w:rPr>
            </w:pPr>
            <w:r>
              <w:rPr>
                <w:rFonts w:hint="eastAsia"/>
                <w:szCs w:val="24"/>
              </w:rPr>
              <w:t>用地（用海）面积（</w:t>
            </w:r>
            <w:r>
              <w:rPr>
                <w:szCs w:val="24"/>
              </w:rPr>
              <w:t>m</w:t>
            </w:r>
            <w:r>
              <w:rPr>
                <w:szCs w:val="24"/>
                <w:vertAlign w:val="superscript"/>
              </w:rPr>
              <w:t>2</w:t>
            </w:r>
            <w:r>
              <w:rPr>
                <w:szCs w:val="24"/>
              </w:rPr>
              <w:t>）</w:t>
            </w:r>
          </w:p>
        </w:tc>
        <w:tc>
          <w:tcPr>
            <w:tcW w:w="2756" w:type="dxa"/>
            <w:vAlign w:val="center"/>
          </w:tcPr>
          <w:p w14:paraId="043F43E5">
            <w:pPr>
              <w:spacing w:line="240" w:lineRule="auto"/>
              <w:ind w:firstLine="0" w:firstLineChars="0"/>
              <w:jc w:val="center"/>
              <w:rPr>
                <w:szCs w:val="24"/>
              </w:rPr>
            </w:pPr>
            <w:r>
              <w:rPr>
                <w:rFonts w:hint="eastAsia"/>
                <w:szCs w:val="24"/>
              </w:rPr>
              <w:t>16014</w:t>
            </w:r>
          </w:p>
        </w:tc>
      </w:tr>
      <w:tr w14:paraId="4AB12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7F6264DB">
            <w:pPr>
              <w:spacing w:line="240" w:lineRule="auto"/>
              <w:ind w:firstLine="0" w:firstLineChars="0"/>
              <w:jc w:val="center"/>
              <w:rPr>
                <w:b/>
                <w:bCs/>
                <w:szCs w:val="32"/>
              </w:rPr>
            </w:pPr>
            <w:r>
              <w:rPr>
                <w:rFonts w:hint="eastAsia"/>
                <w:b/>
                <w:bCs/>
                <w:szCs w:val="32"/>
              </w:rPr>
              <w:t>专项评价设置情况</w:t>
            </w:r>
          </w:p>
        </w:tc>
        <w:tc>
          <w:tcPr>
            <w:tcW w:w="7450" w:type="dxa"/>
            <w:gridSpan w:val="4"/>
            <w:vAlign w:val="center"/>
          </w:tcPr>
          <w:p w14:paraId="7CC41D84">
            <w:pPr>
              <w:ind w:firstLine="480"/>
            </w:pPr>
            <w:r>
              <w:t>根据《建设项目环境影响报告表编制技术指南（污染影响类）（试行）》，本项目专项评价设置情况见下表：</w:t>
            </w:r>
          </w:p>
          <w:p w14:paraId="0AAD49D1">
            <w:pPr>
              <w:pStyle w:val="35"/>
            </w:pPr>
            <w:r>
              <w:rPr>
                <w:rFonts w:hint="eastAsia"/>
              </w:rPr>
              <w:t xml:space="preserve">  </w:t>
            </w:r>
            <w:r>
              <w:t>专项评价设置表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3538"/>
              <w:gridCol w:w="2547"/>
              <w:gridCol w:w="748"/>
            </w:tblGrid>
            <w:tr w14:paraId="2814B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auto"/>
                  <w:tcMar>
                    <w:left w:w="28" w:type="dxa"/>
                    <w:right w:w="28" w:type="dxa"/>
                  </w:tcMar>
                  <w:vAlign w:val="center"/>
                </w:tcPr>
                <w:p w14:paraId="34F589F4">
                  <w:pPr>
                    <w:pStyle w:val="31"/>
                    <w:rPr>
                      <w:b/>
                      <w:bCs/>
                    </w:rPr>
                  </w:pPr>
                  <w:r>
                    <w:rPr>
                      <w:b/>
                      <w:bCs/>
                    </w:rPr>
                    <w:t>专项评价类别</w:t>
                  </w:r>
                </w:p>
              </w:tc>
              <w:tc>
                <w:tcPr>
                  <w:tcW w:w="2317" w:type="pct"/>
                  <w:shd w:val="clear" w:color="auto" w:fill="auto"/>
                  <w:tcMar>
                    <w:left w:w="28" w:type="dxa"/>
                    <w:right w:w="28" w:type="dxa"/>
                  </w:tcMar>
                  <w:vAlign w:val="center"/>
                </w:tcPr>
                <w:p w14:paraId="4ABA23DE">
                  <w:pPr>
                    <w:pStyle w:val="31"/>
                    <w:rPr>
                      <w:b/>
                      <w:bCs/>
                    </w:rPr>
                  </w:pPr>
                  <w:r>
                    <w:rPr>
                      <w:b/>
                      <w:bCs/>
                    </w:rPr>
                    <w:t>设置原则</w:t>
                  </w:r>
                </w:p>
              </w:tc>
              <w:tc>
                <w:tcPr>
                  <w:tcW w:w="1668" w:type="pct"/>
                  <w:shd w:val="clear" w:color="auto" w:fill="auto"/>
                  <w:tcMar>
                    <w:left w:w="28" w:type="dxa"/>
                    <w:right w:w="28" w:type="dxa"/>
                  </w:tcMar>
                  <w:vAlign w:val="center"/>
                </w:tcPr>
                <w:p w14:paraId="61FEC766">
                  <w:pPr>
                    <w:pStyle w:val="31"/>
                    <w:rPr>
                      <w:b/>
                      <w:bCs/>
                    </w:rPr>
                  </w:pPr>
                  <w:r>
                    <w:rPr>
                      <w:b/>
                      <w:bCs/>
                    </w:rPr>
                    <w:t>本项目情况</w:t>
                  </w:r>
                </w:p>
              </w:tc>
              <w:tc>
                <w:tcPr>
                  <w:tcW w:w="491" w:type="pct"/>
                  <w:shd w:val="clear" w:color="auto" w:fill="auto"/>
                  <w:tcMar>
                    <w:left w:w="28" w:type="dxa"/>
                    <w:right w:w="28" w:type="dxa"/>
                  </w:tcMar>
                  <w:vAlign w:val="center"/>
                </w:tcPr>
                <w:p w14:paraId="06348666">
                  <w:pPr>
                    <w:pStyle w:val="31"/>
                    <w:rPr>
                      <w:b/>
                      <w:bCs/>
                    </w:rPr>
                  </w:pPr>
                  <w:r>
                    <w:rPr>
                      <w:b/>
                      <w:bCs/>
                    </w:rPr>
                    <w:t>是否专项评价</w:t>
                  </w:r>
                </w:p>
              </w:tc>
            </w:tr>
            <w:tr w14:paraId="2BBC0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auto"/>
                  <w:tcMar>
                    <w:left w:w="28" w:type="dxa"/>
                    <w:right w:w="28" w:type="dxa"/>
                  </w:tcMar>
                  <w:vAlign w:val="center"/>
                </w:tcPr>
                <w:p w14:paraId="3CED28EC">
                  <w:pPr>
                    <w:pStyle w:val="31"/>
                  </w:pPr>
                  <w:r>
                    <w:t>大气</w:t>
                  </w:r>
                </w:p>
              </w:tc>
              <w:tc>
                <w:tcPr>
                  <w:tcW w:w="2317" w:type="pct"/>
                  <w:shd w:val="clear" w:color="auto" w:fill="auto"/>
                  <w:tcMar>
                    <w:left w:w="28" w:type="dxa"/>
                    <w:right w:w="28" w:type="dxa"/>
                  </w:tcMar>
                  <w:vAlign w:val="center"/>
                </w:tcPr>
                <w:p w14:paraId="7147BB60">
                  <w:pPr>
                    <w:pStyle w:val="31"/>
                  </w:pPr>
                  <w:r>
                    <w:t>排放废气含有有毒有害物、二噁英、苯并[a]芘、氰化物、氯气且厂界外500米范围内有环境空气保护目标的建设项目</w:t>
                  </w:r>
                </w:p>
              </w:tc>
              <w:tc>
                <w:tcPr>
                  <w:tcW w:w="1668" w:type="pct"/>
                  <w:shd w:val="clear" w:color="auto" w:fill="auto"/>
                  <w:tcMar>
                    <w:left w:w="28" w:type="dxa"/>
                    <w:right w:w="28" w:type="dxa"/>
                  </w:tcMar>
                  <w:vAlign w:val="center"/>
                </w:tcPr>
                <w:p w14:paraId="67EC4350">
                  <w:pPr>
                    <w:pStyle w:val="31"/>
                  </w:pPr>
                  <w:r>
                    <w:rPr>
                      <w:rFonts w:hint="eastAsia"/>
                      <w:kern w:val="0"/>
                    </w:rPr>
                    <w:t>本项目无有毒有害物、二噁英、苯并[a]芘、氰化物、氯气排放</w:t>
                  </w:r>
                </w:p>
              </w:tc>
              <w:tc>
                <w:tcPr>
                  <w:tcW w:w="491" w:type="pct"/>
                  <w:shd w:val="clear" w:color="auto" w:fill="auto"/>
                  <w:tcMar>
                    <w:left w:w="28" w:type="dxa"/>
                    <w:right w:w="28" w:type="dxa"/>
                  </w:tcMar>
                  <w:vAlign w:val="center"/>
                </w:tcPr>
                <w:p w14:paraId="6DDF5490">
                  <w:pPr>
                    <w:pStyle w:val="31"/>
                    <w:rPr>
                      <w:bCs/>
                    </w:rPr>
                  </w:pPr>
                  <w:r>
                    <w:t>否</w:t>
                  </w:r>
                </w:p>
              </w:tc>
            </w:tr>
            <w:tr w14:paraId="4C0232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vMerge w:val="restart"/>
                  <w:shd w:val="clear" w:color="auto" w:fill="auto"/>
                  <w:tcMar>
                    <w:left w:w="28" w:type="dxa"/>
                    <w:right w:w="28" w:type="dxa"/>
                  </w:tcMar>
                  <w:vAlign w:val="center"/>
                </w:tcPr>
                <w:p w14:paraId="673991FA">
                  <w:pPr>
                    <w:pStyle w:val="31"/>
                  </w:pPr>
                  <w:r>
                    <w:t>地表水</w:t>
                  </w:r>
                </w:p>
              </w:tc>
              <w:tc>
                <w:tcPr>
                  <w:tcW w:w="2317" w:type="pct"/>
                  <w:shd w:val="clear" w:color="auto" w:fill="auto"/>
                  <w:tcMar>
                    <w:left w:w="28" w:type="dxa"/>
                    <w:right w:w="28" w:type="dxa"/>
                  </w:tcMar>
                  <w:vAlign w:val="center"/>
                </w:tcPr>
                <w:p w14:paraId="26A2017C">
                  <w:pPr>
                    <w:pStyle w:val="31"/>
                  </w:pPr>
                  <w:r>
                    <w:t>新增工业废水直排建设项目（槽罐车外送污水处理厂的除外）</w:t>
                  </w:r>
                </w:p>
              </w:tc>
              <w:tc>
                <w:tcPr>
                  <w:tcW w:w="1668" w:type="pct"/>
                  <w:vMerge w:val="restart"/>
                  <w:shd w:val="clear" w:color="auto" w:fill="auto"/>
                  <w:tcMar>
                    <w:left w:w="28" w:type="dxa"/>
                    <w:right w:w="28" w:type="dxa"/>
                  </w:tcMar>
                  <w:vAlign w:val="center"/>
                </w:tcPr>
                <w:p w14:paraId="301FA779">
                  <w:pPr>
                    <w:pStyle w:val="31"/>
                  </w:pPr>
                  <w:r>
                    <w:rPr>
                      <w:rFonts w:hint="eastAsia"/>
                    </w:rPr>
                    <w:t>本项目新增生产废水和经预处理池（</w:t>
                  </w:r>
                  <w:r>
                    <w:t>6m</w:t>
                  </w:r>
                  <w:r>
                    <w:rPr>
                      <w:vertAlign w:val="superscript"/>
                    </w:rPr>
                    <w:t>3</w:t>
                  </w:r>
                  <w:r>
                    <w:rPr>
                      <w:rFonts w:hint="eastAsia"/>
                    </w:rPr>
                    <w:t>）处理达标后的生活污水一同进入市政污水管网。</w:t>
                  </w:r>
                </w:p>
              </w:tc>
              <w:tc>
                <w:tcPr>
                  <w:tcW w:w="491" w:type="pct"/>
                  <w:vMerge w:val="restart"/>
                  <w:shd w:val="clear" w:color="auto" w:fill="auto"/>
                  <w:tcMar>
                    <w:left w:w="28" w:type="dxa"/>
                    <w:right w:w="28" w:type="dxa"/>
                  </w:tcMar>
                  <w:vAlign w:val="center"/>
                </w:tcPr>
                <w:p w14:paraId="496893FD">
                  <w:pPr>
                    <w:pStyle w:val="31"/>
                  </w:pPr>
                  <w:r>
                    <w:t>否</w:t>
                  </w:r>
                </w:p>
              </w:tc>
            </w:tr>
            <w:tr w14:paraId="6934AB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525" w:type="pct"/>
                  <w:vMerge w:val="continue"/>
                  <w:shd w:val="clear" w:color="auto" w:fill="auto"/>
                  <w:tcMar>
                    <w:left w:w="28" w:type="dxa"/>
                    <w:right w:w="28" w:type="dxa"/>
                  </w:tcMar>
                  <w:vAlign w:val="center"/>
                </w:tcPr>
                <w:p w14:paraId="0B4E4C7E">
                  <w:pPr>
                    <w:pStyle w:val="31"/>
                  </w:pPr>
                </w:p>
              </w:tc>
              <w:tc>
                <w:tcPr>
                  <w:tcW w:w="2317" w:type="pct"/>
                  <w:shd w:val="clear" w:color="auto" w:fill="auto"/>
                  <w:tcMar>
                    <w:left w:w="28" w:type="dxa"/>
                    <w:right w:w="28" w:type="dxa"/>
                  </w:tcMar>
                  <w:vAlign w:val="center"/>
                </w:tcPr>
                <w:p w14:paraId="55D93AB0">
                  <w:pPr>
                    <w:pStyle w:val="31"/>
                  </w:pPr>
                  <w:r>
                    <w:t>新增废水直接排放的污水集中处理厂</w:t>
                  </w:r>
                </w:p>
              </w:tc>
              <w:tc>
                <w:tcPr>
                  <w:tcW w:w="1668" w:type="pct"/>
                  <w:vMerge w:val="continue"/>
                  <w:shd w:val="clear" w:color="auto" w:fill="auto"/>
                  <w:tcMar>
                    <w:left w:w="28" w:type="dxa"/>
                    <w:right w:w="28" w:type="dxa"/>
                  </w:tcMar>
                  <w:vAlign w:val="center"/>
                </w:tcPr>
                <w:p w14:paraId="09AD65A1">
                  <w:pPr>
                    <w:pStyle w:val="31"/>
                  </w:pPr>
                </w:p>
              </w:tc>
              <w:tc>
                <w:tcPr>
                  <w:tcW w:w="491" w:type="pct"/>
                  <w:vMerge w:val="continue"/>
                  <w:shd w:val="clear" w:color="auto" w:fill="auto"/>
                  <w:tcMar>
                    <w:left w:w="28" w:type="dxa"/>
                    <w:right w:w="28" w:type="dxa"/>
                  </w:tcMar>
                  <w:vAlign w:val="center"/>
                </w:tcPr>
                <w:p w14:paraId="5C209659">
                  <w:pPr>
                    <w:pStyle w:val="31"/>
                  </w:pPr>
                </w:p>
              </w:tc>
            </w:tr>
            <w:tr w14:paraId="0A29D8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auto"/>
                  <w:tcMar>
                    <w:left w:w="28" w:type="dxa"/>
                    <w:right w:w="28" w:type="dxa"/>
                  </w:tcMar>
                  <w:vAlign w:val="center"/>
                </w:tcPr>
                <w:p w14:paraId="24A04471">
                  <w:pPr>
                    <w:pStyle w:val="31"/>
                    <w:rPr>
                      <w:b/>
                      <w:bCs/>
                    </w:rPr>
                  </w:pPr>
                  <w:r>
                    <w:rPr>
                      <w:b/>
                      <w:bCs/>
                    </w:rPr>
                    <w:t>环境风险</w:t>
                  </w:r>
                </w:p>
              </w:tc>
              <w:tc>
                <w:tcPr>
                  <w:tcW w:w="2317" w:type="pct"/>
                  <w:shd w:val="clear" w:color="auto" w:fill="auto"/>
                  <w:tcMar>
                    <w:left w:w="28" w:type="dxa"/>
                    <w:right w:w="28" w:type="dxa"/>
                  </w:tcMar>
                  <w:vAlign w:val="center"/>
                </w:tcPr>
                <w:p w14:paraId="336E7B78">
                  <w:pPr>
                    <w:pStyle w:val="31"/>
                    <w:rPr>
                      <w:b/>
                      <w:bCs/>
                    </w:rPr>
                  </w:pPr>
                  <w:r>
                    <w:rPr>
                      <w:b/>
                      <w:bCs/>
                    </w:rPr>
                    <w:t>有毒有害和易燃易爆危险物质存储量超过临界量的建设项目</w:t>
                  </w:r>
                </w:p>
              </w:tc>
              <w:tc>
                <w:tcPr>
                  <w:tcW w:w="1668" w:type="pct"/>
                  <w:shd w:val="clear" w:color="auto" w:fill="auto"/>
                  <w:tcMar>
                    <w:left w:w="28" w:type="dxa"/>
                    <w:right w:w="28" w:type="dxa"/>
                  </w:tcMar>
                  <w:vAlign w:val="center"/>
                </w:tcPr>
                <w:p w14:paraId="30836AF5">
                  <w:pPr>
                    <w:pStyle w:val="31"/>
                    <w:rPr>
                      <w:b/>
                      <w:bCs/>
                    </w:rPr>
                  </w:pPr>
                  <w:r>
                    <w:rPr>
                      <w:rFonts w:hint="eastAsia"/>
                      <w:b/>
                      <w:bCs/>
                    </w:rPr>
                    <w:t>氨水</w:t>
                  </w:r>
                  <w:r>
                    <w:rPr>
                      <w:b/>
                      <w:bCs/>
                    </w:rPr>
                    <w:t>存储量超过临界量</w:t>
                  </w:r>
                </w:p>
              </w:tc>
              <w:tc>
                <w:tcPr>
                  <w:tcW w:w="491" w:type="pct"/>
                  <w:shd w:val="clear" w:color="auto" w:fill="auto"/>
                  <w:tcMar>
                    <w:left w:w="28" w:type="dxa"/>
                    <w:right w:w="28" w:type="dxa"/>
                  </w:tcMar>
                  <w:vAlign w:val="center"/>
                </w:tcPr>
                <w:p w14:paraId="3CAB13F8">
                  <w:pPr>
                    <w:pStyle w:val="31"/>
                    <w:rPr>
                      <w:b/>
                      <w:bCs/>
                    </w:rPr>
                  </w:pPr>
                  <w:r>
                    <w:rPr>
                      <w:rFonts w:hint="eastAsia"/>
                      <w:b/>
                      <w:bCs/>
                    </w:rPr>
                    <w:t>是</w:t>
                  </w:r>
                </w:p>
              </w:tc>
            </w:tr>
            <w:tr w14:paraId="3BB8BD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auto"/>
                  <w:tcMar>
                    <w:left w:w="28" w:type="dxa"/>
                    <w:right w:w="28" w:type="dxa"/>
                  </w:tcMar>
                  <w:vAlign w:val="center"/>
                </w:tcPr>
                <w:p w14:paraId="025804D5">
                  <w:pPr>
                    <w:pStyle w:val="31"/>
                  </w:pPr>
                  <w:r>
                    <w:t>生态</w:t>
                  </w:r>
                </w:p>
              </w:tc>
              <w:tc>
                <w:tcPr>
                  <w:tcW w:w="2317" w:type="pct"/>
                  <w:shd w:val="clear" w:color="auto" w:fill="auto"/>
                  <w:tcMar>
                    <w:left w:w="28" w:type="dxa"/>
                    <w:right w:w="28" w:type="dxa"/>
                  </w:tcMar>
                  <w:vAlign w:val="center"/>
                </w:tcPr>
                <w:p w14:paraId="05BE0CDD">
                  <w:pPr>
                    <w:pStyle w:val="31"/>
                  </w:pPr>
                  <w:r>
                    <w:t>取水口下游500米范围内有重要水生生物的自然产卵场、索饵场、越冬场和洄游通道的新增河道取水的污染类建设项目</w:t>
                  </w:r>
                </w:p>
              </w:tc>
              <w:tc>
                <w:tcPr>
                  <w:tcW w:w="1668" w:type="pct"/>
                  <w:shd w:val="clear" w:color="auto" w:fill="auto"/>
                  <w:tcMar>
                    <w:left w:w="28" w:type="dxa"/>
                    <w:right w:w="28" w:type="dxa"/>
                  </w:tcMar>
                  <w:vAlign w:val="center"/>
                </w:tcPr>
                <w:p w14:paraId="67003794">
                  <w:pPr>
                    <w:pStyle w:val="31"/>
                  </w:pPr>
                  <w:r>
                    <w:t>不涉及</w:t>
                  </w:r>
                </w:p>
              </w:tc>
              <w:tc>
                <w:tcPr>
                  <w:tcW w:w="491" w:type="pct"/>
                  <w:shd w:val="clear" w:color="auto" w:fill="auto"/>
                  <w:tcMar>
                    <w:left w:w="28" w:type="dxa"/>
                    <w:right w:w="28" w:type="dxa"/>
                  </w:tcMar>
                  <w:vAlign w:val="center"/>
                </w:tcPr>
                <w:p w14:paraId="0E610991">
                  <w:pPr>
                    <w:pStyle w:val="31"/>
                  </w:pPr>
                  <w:r>
                    <w:t>否</w:t>
                  </w:r>
                </w:p>
              </w:tc>
            </w:tr>
            <w:tr w14:paraId="2FF21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5" w:type="pct"/>
                  <w:shd w:val="clear" w:color="auto" w:fill="auto"/>
                  <w:tcMar>
                    <w:left w:w="28" w:type="dxa"/>
                    <w:right w:w="28" w:type="dxa"/>
                  </w:tcMar>
                  <w:vAlign w:val="center"/>
                </w:tcPr>
                <w:p w14:paraId="395B9E38">
                  <w:pPr>
                    <w:pStyle w:val="31"/>
                  </w:pPr>
                  <w:r>
                    <w:t>海洋</w:t>
                  </w:r>
                </w:p>
              </w:tc>
              <w:tc>
                <w:tcPr>
                  <w:tcW w:w="2317" w:type="pct"/>
                  <w:shd w:val="clear" w:color="auto" w:fill="auto"/>
                  <w:tcMar>
                    <w:left w:w="28" w:type="dxa"/>
                    <w:right w:w="28" w:type="dxa"/>
                  </w:tcMar>
                  <w:vAlign w:val="center"/>
                </w:tcPr>
                <w:p w14:paraId="0AD191C1">
                  <w:pPr>
                    <w:pStyle w:val="31"/>
                  </w:pPr>
                  <w:r>
                    <w:t>直接向海排放污染物的海洋工程建设项目</w:t>
                  </w:r>
                </w:p>
              </w:tc>
              <w:tc>
                <w:tcPr>
                  <w:tcW w:w="1668" w:type="pct"/>
                  <w:shd w:val="clear" w:color="auto" w:fill="auto"/>
                  <w:tcMar>
                    <w:left w:w="28" w:type="dxa"/>
                    <w:right w:w="28" w:type="dxa"/>
                  </w:tcMar>
                  <w:vAlign w:val="center"/>
                </w:tcPr>
                <w:p w14:paraId="24D15090">
                  <w:pPr>
                    <w:pStyle w:val="31"/>
                  </w:pPr>
                  <w:r>
                    <w:t>不涉及</w:t>
                  </w:r>
                </w:p>
              </w:tc>
              <w:tc>
                <w:tcPr>
                  <w:tcW w:w="491" w:type="pct"/>
                  <w:shd w:val="clear" w:color="auto" w:fill="auto"/>
                  <w:tcMar>
                    <w:left w:w="28" w:type="dxa"/>
                    <w:right w:w="28" w:type="dxa"/>
                  </w:tcMar>
                  <w:vAlign w:val="center"/>
                </w:tcPr>
                <w:p w14:paraId="0D0C67AD">
                  <w:pPr>
                    <w:pStyle w:val="31"/>
                  </w:pPr>
                  <w:r>
                    <w:t>否</w:t>
                  </w:r>
                </w:p>
              </w:tc>
            </w:tr>
          </w:tbl>
          <w:p w14:paraId="755B4D4B">
            <w:pPr>
              <w:ind w:firstLine="480"/>
              <w:rPr>
                <w:szCs w:val="32"/>
              </w:rPr>
            </w:pPr>
            <w:r>
              <w:t>因此，本项目</w:t>
            </w:r>
            <w:r>
              <w:rPr>
                <w:rFonts w:hint="eastAsia"/>
              </w:rPr>
              <w:t>需开展</w:t>
            </w:r>
            <w:r>
              <w:rPr>
                <w:kern w:val="0"/>
              </w:rPr>
              <w:t>环境</w:t>
            </w:r>
            <w:r>
              <w:rPr>
                <w:rFonts w:hint="eastAsia"/>
                <w:kern w:val="0"/>
              </w:rPr>
              <w:t>风险</w:t>
            </w:r>
            <w:r>
              <w:rPr>
                <w:kern w:val="0"/>
              </w:rPr>
              <w:t>专项评价</w:t>
            </w:r>
            <w:r>
              <w:t>工作。</w:t>
            </w:r>
          </w:p>
        </w:tc>
      </w:tr>
      <w:tr w14:paraId="350B9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0A2C9AD8">
            <w:pPr>
              <w:spacing w:line="240" w:lineRule="auto"/>
              <w:ind w:firstLine="0" w:firstLineChars="0"/>
              <w:jc w:val="center"/>
              <w:rPr>
                <w:b/>
                <w:bCs/>
                <w:szCs w:val="32"/>
                <w:highlight w:val="yellow"/>
              </w:rPr>
            </w:pPr>
            <w:r>
              <w:rPr>
                <w:rFonts w:hint="eastAsia"/>
                <w:b/>
                <w:bCs/>
                <w:szCs w:val="32"/>
              </w:rPr>
              <w:t>规划情况</w:t>
            </w:r>
          </w:p>
        </w:tc>
        <w:tc>
          <w:tcPr>
            <w:tcW w:w="7450" w:type="dxa"/>
            <w:gridSpan w:val="4"/>
            <w:vAlign w:val="center"/>
          </w:tcPr>
          <w:p w14:paraId="6C3CFB2D">
            <w:pPr>
              <w:ind w:firstLine="482"/>
              <w:rPr>
                <w:shd w:val="clear" w:color="auto" w:fill="FFFFFF"/>
              </w:rPr>
            </w:pPr>
            <w:r>
              <w:rPr>
                <w:rFonts w:hint="eastAsia"/>
                <w:b/>
              </w:rPr>
              <w:t>规划名称：</w:t>
            </w:r>
            <w:r>
              <w:rPr>
                <w:rFonts w:hint="eastAsia"/>
                <w:bCs/>
              </w:rPr>
              <w:t>《四川大英经济开发区控制性详细规划》</w:t>
            </w:r>
          </w:p>
          <w:p w14:paraId="7A7CDBB7">
            <w:pPr>
              <w:ind w:firstLine="482"/>
            </w:pPr>
            <w:r>
              <w:rPr>
                <w:rFonts w:hint="eastAsia"/>
                <w:b/>
                <w:bCs/>
              </w:rPr>
              <w:t>审批机关：</w:t>
            </w:r>
            <w:r>
              <w:rPr>
                <w:rFonts w:hint="eastAsia"/>
              </w:rPr>
              <w:t>四川省人民政府</w:t>
            </w:r>
          </w:p>
          <w:p w14:paraId="2305EAC0">
            <w:pPr>
              <w:ind w:firstLine="482"/>
              <w:rPr>
                <w:b/>
                <w:bCs/>
              </w:rPr>
            </w:pPr>
            <w:r>
              <w:rPr>
                <w:rFonts w:hint="eastAsia"/>
                <w:b/>
                <w:bCs/>
              </w:rPr>
              <w:t>审查文件名称及文号：</w:t>
            </w:r>
            <w:r>
              <w:rPr>
                <w:rFonts w:hint="eastAsia"/>
              </w:rPr>
              <w:t>《四川省人民政府关于设立四川蒲江经济开发区等64家省级开发区的批复》（川府函〔2019〕20号)</w:t>
            </w:r>
          </w:p>
        </w:tc>
      </w:tr>
      <w:tr w14:paraId="49E6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18C1C0DC">
            <w:pPr>
              <w:spacing w:line="240" w:lineRule="auto"/>
              <w:ind w:firstLine="0" w:firstLineChars="0"/>
              <w:jc w:val="center"/>
              <w:rPr>
                <w:b/>
                <w:bCs/>
                <w:szCs w:val="32"/>
                <w:highlight w:val="yellow"/>
              </w:rPr>
            </w:pPr>
            <w:r>
              <w:rPr>
                <w:rFonts w:hint="eastAsia"/>
                <w:b/>
                <w:bCs/>
                <w:szCs w:val="32"/>
              </w:rPr>
              <w:t>规划环境影响评价情况</w:t>
            </w:r>
          </w:p>
        </w:tc>
        <w:tc>
          <w:tcPr>
            <w:tcW w:w="7450" w:type="dxa"/>
            <w:gridSpan w:val="4"/>
            <w:vAlign w:val="center"/>
          </w:tcPr>
          <w:p w14:paraId="5C107A15">
            <w:pPr>
              <w:ind w:firstLine="482"/>
              <w:rPr>
                <w:rFonts w:cs="Times New Roman"/>
                <w:kern w:val="0"/>
              </w:rPr>
            </w:pPr>
            <w:r>
              <w:rPr>
                <w:rFonts w:hint="eastAsia"/>
                <w:b/>
                <w:bCs/>
              </w:rPr>
              <w:t>文件名称：</w:t>
            </w:r>
            <w:r>
              <w:rPr>
                <w:rFonts w:cs="Times New Roman"/>
                <w:kern w:val="0"/>
              </w:rPr>
              <w:t>《四川大英经济开发区规划环境影响报告书》</w:t>
            </w:r>
          </w:p>
          <w:p w14:paraId="7F286060">
            <w:pPr>
              <w:ind w:firstLine="482"/>
            </w:pPr>
            <w:r>
              <w:rPr>
                <w:rFonts w:hint="eastAsia"/>
                <w:b/>
                <w:bCs/>
              </w:rPr>
              <w:t>审查机关：</w:t>
            </w:r>
            <w:r>
              <w:rPr>
                <w:rFonts w:hint="eastAsia"/>
              </w:rPr>
              <w:t>四川省生态环境厅</w:t>
            </w:r>
          </w:p>
          <w:p w14:paraId="4B064088">
            <w:pPr>
              <w:ind w:firstLine="482"/>
            </w:pPr>
            <w:r>
              <w:rPr>
                <w:rFonts w:hint="eastAsia"/>
                <w:b/>
                <w:bCs/>
              </w:rPr>
              <w:t>审批文号：</w:t>
            </w:r>
            <w:r>
              <w:rPr>
                <w:rFonts w:hint="eastAsia"/>
              </w:rPr>
              <w:t>《四川省生态环境厅关于&lt;四川大英经济开发区规划环境影响报告书&gt;的审查意见》（川环建函〔2019〕48号）</w:t>
            </w:r>
          </w:p>
        </w:tc>
      </w:tr>
      <w:tr w14:paraId="05C76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27D9CB2B">
            <w:pPr>
              <w:spacing w:line="240" w:lineRule="auto"/>
              <w:ind w:firstLine="0" w:firstLineChars="0"/>
              <w:jc w:val="center"/>
              <w:rPr>
                <w:b/>
                <w:bCs/>
                <w:szCs w:val="32"/>
                <w:highlight w:val="yellow"/>
              </w:rPr>
            </w:pPr>
            <w:r>
              <w:rPr>
                <w:rFonts w:hint="eastAsia"/>
                <w:b/>
                <w:bCs/>
                <w:szCs w:val="32"/>
              </w:rPr>
              <w:t>规划及规划环境影响评价符合性分析</w:t>
            </w:r>
          </w:p>
        </w:tc>
        <w:tc>
          <w:tcPr>
            <w:tcW w:w="7450" w:type="dxa"/>
            <w:gridSpan w:val="4"/>
            <w:vAlign w:val="center"/>
          </w:tcPr>
          <w:p w14:paraId="6953EDFC">
            <w:pPr>
              <w:ind w:firstLine="480"/>
              <w:contextualSpacing/>
              <w:rPr>
                <w:rFonts w:cs="Times New Roman"/>
              </w:rPr>
            </w:pPr>
            <w:r>
              <w:rPr>
                <w:rFonts w:cs="Times New Roman"/>
              </w:rPr>
              <w:t>四川大英经济开发区位于大英县城东侧，西连射大路，东至隆盛镇打儿窝，南邻达成铁路，北至成南高速公路，规划面积16.0平方公里，包括石油化工产业园（梁家坝和红花坝片区）、盐化工产业园（聂家坝片区）、机电轻纺产业园（马家坝片区和景家坝片区、梨子坝-尚家坝片区）、电子产业园（聂家坝片区）及配套居住组团，经开区主导发展石化、纺织、机电产业。</w:t>
            </w:r>
          </w:p>
          <w:p w14:paraId="53DDD3AF">
            <w:pPr>
              <w:ind w:firstLine="480"/>
              <w:contextualSpacing/>
              <w:rPr>
                <w:b/>
                <w:bCs/>
                <w:iCs/>
              </w:rPr>
            </w:pPr>
            <w:r>
              <w:rPr>
                <w:rFonts w:cs="Times New Roman"/>
              </w:rPr>
              <w:t>2019年1月，经开区经省人民政府批准设立为省级经济开发区（川府函〔2019〕20号），2019年8月，取得了《四川省生态环境厅关于&lt;四川大英经济开发区规划环境影响报告书&gt;的审查意见》（川环建函〔2019〕48号）。</w:t>
            </w:r>
          </w:p>
          <w:p w14:paraId="000EB313">
            <w:pPr>
              <w:ind w:firstLine="482"/>
              <w:rPr>
                <w:b/>
                <w:bCs/>
              </w:rPr>
            </w:pPr>
            <w:r>
              <w:rPr>
                <w:rFonts w:hint="eastAsia" w:cs="Times New Roman"/>
                <w:b/>
                <w:bCs/>
              </w:rPr>
              <w:t>1</w:t>
            </w:r>
            <w:r>
              <w:rPr>
                <w:rFonts w:cs="Times New Roman"/>
                <w:b/>
                <w:bCs/>
              </w:rPr>
              <w:t>、与</w:t>
            </w:r>
            <w:r>
              <w:rPr>
                <w:rFonts w:cs="Times New Roman"/>
                <w:b/>
                <w:kern w:val="0"/>
                <w:szCs w:val="24"/>
              </w:rPr>
              <w:t>四川大英经济开发区的规划</w:t>
            </w:r>
            <w:r>
              <w:rPr>
                <w:rFonts w:cs="Times New Roman"/>
                <w:b/>
                <w:bCs/>
              </w:rPr>
              <w:t>符合性分析</w:t>
            </w:r>
          </w:p>
          <w:p w14:paraId="4EF892DA">
            <w:pPr>
              <w:ind w:firstLine="480"/>
              <w:contextualSpacing/>
            </w:pPr>
            <w:r>
              <w:rPr>
                <w:rFonts w:cs="Times New Roman"/>
              </w:rPr>
              <w:t>（1）与四川大英经济开发区总体规划符合性分析</w:t>
            </w:r>
          </w:p>
          <w:p w14:paraId="3126A2D1">
            <w:pPr>
              <w:ind w:firstLine="480"/>
              <w:contextualSpacing/>
            </w:pPr>
            <w:r>
              <w:rPr>
                <w:rFonts w:cs="Times New Roman"/>
              </w:rPr>
              <w:t>四川大英经济开发区产业定位为：以石化、纺织、机电等产业为主的综合型园区。</w:t>
            </w:r>
          </w:p>
          <w:p w14:paraId="32410970">
            <w:pPr>
              <w:ind w:firstLine="0" w:firstLineChars="0"/>
            </w:pPr>
            <w:r>
              <mc:AlternateContent>
                <mc:Choice Requires="wps">
                  <w:drawing>
                    <wp:anchor distT="0" distB="0" distL="114300" distR="114300" simplePos="0" relativeHeight="251659264" behindDoc="0" locked="0" layoutInCell="1" allowOverlap="1">
                      <wp:simplePos x="0" y="0"/>
                      <wp:positionH relativeFrom="column">
                        <wp:posOffset>2943225</wp:posOffset>
                      </wp:positionH>
                      <wp:positionV relativeFrom="paragraph">
                        <wp:posOffset>3041650</wp:posOffset>
                      </wp:positionV>
                      <wp:extent cx="1285875" cy="386715"/>
                      <wp:effectExtent l="209550" t="476250" r="28575" b="13335"/>
                      <wp:wrapNone/>
                      <wp:docPr id="12" name="矩形标注 12"/>
                      <wp:cNvGraphicFramePr/>
                      <a:graphic xmlns:a="http://schemas.openxmlformats.org/drawingml/2006/main">
                        <a:graphicData uri="http://schemas.microsoft.com/office/word/2010/wordprocessingShape">
                          <wps:wsp>
                            <wps:cNvSpPr/>
                            <wps:spPr>
                              <a:xfrm>
                                <a:off x="0" y="0"/>
                                <a:ext cx="1285875" cy="386715"/>
                              </a:xfrm>
                              <a:prstGeom prst="wedgeRectCallout">
                                <a:avLst>
                                  <a:gd name="adj1" fmla="val -63211"/>
                                  <a:gd name="adj2" fmla="val -164631"/>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61B8DB7">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31.75pt;margin-top:239.5pt;height:30.45pt;width:101.25pt;z-index:251659264;v-text-anchor:middle;mso-width-relative:page;mso-height-relative:page;" filled="f" stroked="t" coordsize="21600,21600" o:gfxdata="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DVHdqM3QAAAAsBAAAPAAAAAAAAAAEAIAAAACIAAABkcnMv&#10;ZG93bnJldi54bWxQSwECFAAUAAAACACHTuJAbRRsNqkCAAA+BQAADgAAAAAAAAABACAAAAAsAQAA&#10;ZHJzL2Uyb0RvYy54bWxQSwUGAAAAAAYABgBZAQAARwYAAAAA&#10;" adj="-2854,-24760">
                      <v:fill on="f" focussize="0,0"/>
                      <v:stroke weight="1pt" color="#000000 [3213]" miterlimit="8" joinstyle="miter"/>
                      <v:imagedata o:title=""/>
                      <o:lock v:ext="edit" aspectratio="f"/>
                      <v:textbox>
                        <w:txbxContent>
                          <w:p w14:paraId="161B8DB7">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本项目所在地</w:t>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2733675</wp:posOffset>
                      </wp:positionH>
                      <wp:positionV relativeFrom="paragraph">
                        <wp:posOffset>2556510</wp:posOffset>
                      </wp:positionV>
                      <wp:extent cx="52070" cy="60325"/>
                      <wp:effectExtent l="0" t="0" r="24765" b="15875"/>
                      <wp:wrapNone/>
                      <wp:docPr id="832821760" name="椭圆 2"/>
                      <wp:cNvGraphicFramePr/>
                      <a:graphic xmlns:a="http://schemas.openxmlformats.org/drawingml/2006/main">
                        <a:graphicData uri="http://schemas.microsoft.com/office/word/2010/wordprocessingShape">
                          <wps:wsp>
                            <wps:cNvSpPr/>
                            <wps:spPr>
                              <a:xfrm>
                                <a:off x="0" y="0"/>
                                <a:ext cx="51758" cy="60385"/>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2" o:spid="_x0000_s1026" o:spt="3" type="#_x0000_t3" style="position:absolute;left:0pt;margin-left:215.25pt;margin-top:201.3pt;height:4.75pt;width:4.1pt;z-index:251660288;v-text-anchor:middle;mso-width-relative:page;mso-height-relative:page;" fillcolor="#C00000" filled="t" stroked="t" coordsize="21600,21600" o:gfxdata="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PyWuavbAAAACwEAAA8AAAAAAAAAAQAgAAAAIgAAAGRycy9k&#10;b3ducmV2LnhtbFBLAQIUABQAAAAIAIdO4kBD5cLYcQIAAPwEAAAOAAAAAAAAAAEAIAAAACoBAABk&#10;cnMvZTJvRG9jLnhtbFBLBQYAAAAABgAGAFkBAAANBgAAAAA=&#10;">
                      <v:fill on="t" focussize="0,0"/>
                      <v:stroke weight="1pt" color="#C00000 [3204]" miterlimit="8" joinstyle="miter"/>
                      <v:imagedata o:title=""/>
                      <o:lock v:ext="edit" aspectratio="f"/>
                    </v:shape>
                  </w:pict>
                </mc:Fallback>
              </mc:AlternateContent>
            </w:r>
            <w:r>
              <w:drawing>
                <wp:inline distT="0" distB="0" distL="114300" distR="114300">
                  <wp:extent cx="4613910" cy="3415665"/>
                  <wp:effectExtent l="0" t="0" r="0" b="0"/>
                  <wp:docPr id="7" name="图片 8" descr="附图7 大英县工业集中发展区功能分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附图7 大英县工业集中发展区功能分区规划图"/>
                          <pic:cNvPicPr>
                            <a:picLocks noChangeAspect="1"/>
                          </pic:cNvPicPr>
                        </pic:nvPicPr>
                        <pic:blipFill>
                          <a:blip r:embed="rId12"/>
                          <a:stretch>
                            <a:fillRect/>
                          </a:stretch>
                        </pic:blipFill>
                        <pic:spPr>
                          <a:xfrm>
                            <a:off x="0" y="0"/>
                            <a:ext cx="4615425" cy="3416798"/>
                          </a:xfrm>
                          <a:prstGeom prst="rect">
                            <a:avLst/>
                          </a:prstGeom>
                          <a:noFill/>
                          <a:ln>
                            <a:noFill/>
                          </a:ln>
                        </pic:spPr>
                      </pic:pic>
                    </a:graphicData>
                  </a:graphic>
                </wp:inline>
              </w:drawing>
            </w:r>
          </w:p>
          <w:p w14:paraId="0413DB8B">
            <w:pPr>
              <w:pStyle w:val="85"/>
            </w:pPr>
            <w:r>
              <w:rPr>
                <w:rFonts w:hint="eastAsia"/>
              </w:rPr>
              <w:t>园区功能分区图</w:t>
            </w:r>
          </w:p>
          <w:p w14:paraId="08DA0C69">
            <w:pPr>
              <w:ind w:firstLine="480"/>
            </w:pPr>
            <w:r>
              <w:t>由上图可知，本项目位于</w:t>
            </w:r>
            <w:r>
              <w:rPr>
                <w:rFonts w:hint="eastAsia"/>
              </w:rPr>
              <w:t>石化</w:t>
            </w:r>
            <w:r>
              <w:t>产业园内。</w:t>
            </w:r>
          </w:p>
          <w:p w14:paraId="301AD25D">
            <w:pPr>
              <w:ind w:firstLine="480"/>
            </w:pPr>
            <w:r>
              <w:t>四川大英经济开发区环境准入条件及负面清单：</w:t>
            </w:r>
          </w:p>
          <w:p w14:paraId="100518CC">
            <w:pPr>
              <w:ind w:firstLine="480"/>
            </w:pPr>
            <w:r>
              <w:rPr>
                <w:rFonts w:hint="eastAsia"/>
              </w:rPr>
              <w:t>I、</w:t>
            </w:r>
            <w:r>
              <w:t>鼓励类</w:t>
            </w:r>
          </w:p>
          <w:p w14:paraId="2E9509E0">
            <w:pPr>
              <w:ind w:firstLine="480"/>
            </w:pPr>
            <w:r>
              <w:t>1）鼓励发展环境友好的化工新材料和机械制造产业。</w:t>
            </w:r>
          </w:p>
          <w:p w14:paraId="26A89FF5">
            <w:pPr>
              <w:ind w:firstLine="480"/>
            </w:pPr>
            <w:r>
              <w:t>2）与规划区主导产业相配套产业，企业效益明显，对区域不造成明显污染，遵循清洁生产及循环经济的项目。</w:t>
            </w:r>
          </w:p>
          <w:p w14:paraId="2E0D3BB8">
            <w:pPr>
              <w:ind w:firstLine="480"/>
            </w:pPr>
            <w:r>
              <w:rPr>
                <w:rFonts w:hint="eastAsia"/>
              </w:rPr>
              <w:t>II、负面清单</w:t>
            </w:r>
          </w:p>
          <w:p w14:paraId="4CB8C0C8">
            <w:pPr>
              <w:ind w:firstLine="480"/>
            </w:pPr>
            <w:r>
              <w:rPr>
                <w:rFonts w:hint="eastAsia" w:ascii="宋体" w:hAnsi="宋体" w:cs="宋体"/>
              </w:rPr>
              <w:t>①</w:t>
            </w:r>
            <w:r>
              <w:t>不符合国家行业准入条件的项目，列入国家产能过剩的项目，列入产业结构指导目录限制及禁止类的项目。</w:t>
            </w:r>
          </w:p>
          <w:p w14:paraId="66C8A8AC">
            <w:pPr>
              <w:ind w:firstLine="480"/>
            </w:pPr>
            <w:r>
              <w:rPr>
                <w:rFonts w:hint="eastAsia" w:ascii="宋体" w:hAnsi="宋体" w:cs="宋体"/>
              </w:rPr>
              <w:t>②</w:t>
            </w:r>
            <w:r>
              <w:t>不符合国家环保法律法规、各类污染防治规划及要求的项目。</w:t>
            </w:r>
          </w:p>
          <w:p w14:paraId="3AFBBD87">
            <w:pPr>
              <w:ind w:firstLine="480"/>
            </w:pPr>
            <w:r>
              <w:rPr>
                <w:rFonts w:hint="eastAsia" w:ascii="宋体" w:hAnsi="宋体" w:cs="宋体"/>
              </w:rPr>
              <w:t>③</w:t>
            </w:r>
            <w:r>
              <w:t>清洁生产水平不能达到行业清洁生产标准二级标准要求或低于全国同类企业先进清洁生产水平的项目。</w:t>
            </w:r>
          </w:p>
          <w:p w14:paraId="66A2C539">
            <w:pPr>
              <w:ind w:firstLine="480"/>
            </w:pPr>
            <w:r>
              <w:rPr>
                <w:rFonts w:hint="eastAsia" w:ascii="宋体" w:hAnsi="宋体" w:cs="宋体"/>
              </w:rPr>
              <w:t>④</w:t>
            </w:r>
            <w:r>
              <w:t>与园区生活空间冲突或经环保论证与周边企业、规划用地等环境不相容，与居住区紧邻且存在重大危险源的项目。</w:t>
            </w:r>
          </w:p>
          <w:p w14:paraId="0D750C1A">
            <w:pPr>
              <w:ind w:firstLine="480"/>
            </w:pPr>
            <w:r>
              <w:rPr>
                <w:rFonts w:hint="eastAsia" w:ascii="宋体" w:hAnsi="宋体" w:cs="宋体"/>
              </w:rPr>
              <w:t>⑤</w:t>
            </w:r>
            <w:r>
              <w:t>禁止新建燃煤火电、金属冶炼、制浆（含废纸制浆）、屠宰、皮革鞣制、铅蓄电池制造、原油炼制、煤化工及发酵制药项目。</w:t>
            </w:r>
          </w:p>
          <w:p w14:paraId="5E5E069A">
            <w:pPr>
              <w:ind w:firstLine="480"/>
            </w:pPr>
            <w:r>
              <w:rPr>
                <w:rFonts w:hint="eastAsia" w:ascii="宋体" w:hAnsi="宋体" w:cs="宋体"/>
              </w:rPr>
              <w:t>⑥</w:t>
            </w:r>
            <w:r>
              <w:t>禁止新引入印制电路板、集成电路制造、平板及柔性显示器件制造等耗、排水量大的项目。</w:t>
            </w:r>
          </w:p>
          <w:p w14:paraId="583034E2">
            <w:pPr>
              <w:ind w:firstLine="480"/>
            </w:pPr>
            <w:r>
              <w:rPr>
                <w:rFonts w:hint="eastAsia" w:ascii="宋体" w:hAnsi="宋体" w:cs="宋体"/>
              </w:rPr>
              <w:t>⑦</w:t>
            </w:r>
            <w:r>
              <w:t>其他与规划环评要求不符的项目。</w:t>
            </w:r>
          </w:p>
          <w:p w14:paraId="4C69B45E">
            <w:pPr>
              <w:pStyle w:val="35"/>
            </w:pPr>
            <w:r>
              <w:t>四川大英经济开发区主导产业负面清单</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2435"/>
              <w:gridCol w:w="3470"/>
              <w:gridCol w:w="952"/>
            </w:tblGrid>
            <w:tr w14:paraId="3D78C5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tcMar>
                    <w:left w:w="28" w:type="dxa"/>
                    <w:right w:w="28" w:type="dxa"/>
                  </w:tcMar>
                  <w:vAlign w:val="center"/>
                </w:tcPr>
                <w:p w14:paraId="0E395411">
                  <w:pPr>
                    <w:pStyle w:val="31"/>
                    <w:rPr>
                      <w:b/>
                      <w:bCs/>
                    </w:rPr>
                  </w:pPr>
                  <w:r>
                    <w:rPr>
                      <w:b/>
                      <w:bCs/>
                    </w:rPr>
                    <w:t>行业</w:t>
                  </w:r>
                </w:p>
                <w:p w14:paraId="485AC274">
                  <w:pPr>
                    <w:pStyle w:val="31"/>
                    <w:rPr>
                      <w:b/>
                      <w:bCs/>
                    </w:rPr>
                  </w:pPr>
                  <w:r>
                    <w:rPr>
                      <w:b/>
                      <w:bCs/>
                    </w:rPr>
                    <w:t>分类</w:t>
                  </w:r>
                </w:p>
              </w:tc>
              <w:tc>
                <w:tcPr>
                  <w:tcW w:w="1595" w:type="pct"/>
                  <w:tcBorders>
                    <w:tl2br w:val="nil"/>
                    <w:tr2bl w:val="nil"/>
                  </w:tcBorders>
                  <w:tcMar>
                    <w:left w:w="28" w:type="dxa"/>
                    <w:right w:w="28" w:type="dxa"/>
                  </w:tcMar>
                  <w:vAlign w:val="center"/>
                </w:tcPr>
                <w:p w14:paraId="5CE2B168">
                  <w:pPr>
                    <w:pStyle w:val="31"/>
                    <w:rPr>
                      <w:b/>
                      <w:bCs/>
                      <w:kern w:val="0"/>
                    </w:rPr>
                  </w:pPr>
                  <w:r>
                    <w:rPr>
                      <w:b/>
                      <w:bCs/>
                      <w:kern w:val="0"/>
                    </w:rPr>
                    <w:t>大/中类</w:t>
                  </w:r>
                </w:p>
              </w:tc>
              <w:tc>
                <w:tcPr>
                  <w:tcW w:w="2273" w:type="pct"/>
                  <w:tcBorders>
                    <w:tl2br w:val="nil"/>
                    <w:tr2bl w:val="nil"/>
                  </w:tcBorders>
                  <w:tcMar>
                    <w:left w:w="28" w:type="dxa"/>
                    <w:right w:w="28" w:type="dxa"/>
                  </w:tcMar>
                  <w:vAlign w:val="center"/>
                </w:tcPr>
                <w:p w14:paraId="7FBCD7BE">
                  <w:pPr>
                    <w:pStyle w:val="31"/>
                    <w:rPr>
                      <w:b/>
                      <w:bCs/>
                      <w:spacing w:val="-12"/>
                    </w:rPr>
                  </w:pPr>
                  <w:r>
                    <w:rPr>
                      <w:b/>
                      <w:bCs/>
                      <w:spacing w:val="-12"/>
                    </w:rPr>
                    <w:t>禁止类</w:t>
                  </w:r>
                </w:p>
              </w:tc>
              <w:tc>
                <w:tcPr>
                  <w:tcW w:w="623" w:type="pct"/>
                  <w:tcBorders>
                    <w:tl2br w:val="nil"/>
                    <w:tr2bl w:val="nil"/>
                  </w:tcBorders>
                  <w:tcMar>
                    <w:left w:w="28" w:type="dxa"/>
                    <w:right w:w="28" w:type="dxa"/>
                  </w:tcMar>
                  <w:vAlign w:val="center"/>
                </w:tcPr>
                <w:p w14:paraId="0AAD829F">
                  <w:pPr>
                    <w:pStyle w:val="31"/>
                    <w:rPr>
                      <w:b/>
                      <w:bCs/>
                      <w:kern w:val="0"/>
                    </w:rPr>
                  </w:pPr>
                  <w:r>
                    <w:rPr>
                      <w:b/>
                      <w:bCs/>
                      <w:kern w:val="0"/>
                    </w:rPr>
                    <w:t>限制类</w:t>
                  </w:r>
                </w:p>
              </w:tc>
            </w:tr>
            <w:tr w14:paraId="7D4B3D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tcMar>
                    <w:left w:w="28" w:type="dxa"/>
                    <w:right w:w="28" w:type="dxa"/>
                  </w:tcMar>
                  <w:vAlign w:val="center"/>
                </w:tcPr>
                <w:p w14:paraId="5D2F8C1B">
                  <w:pPr>
                    <w:pStyle w:val="31"/>
                  </w:pPr>
                  <w:r>
                    <w:t>石化</w:t>
                  </w:r>
                </w:p>
              </w:tc>
              <w:tc>
                <w:tcPr>
                  <w:tcW w:w="1595" w:type="pct"/>
                  <w:tcBorders>
                    <w:tl2br w:val="nil"/>
                    <w:tr2bl w:val="nil"/>
                  </w:tcBorders>
                  <w:tcMar>
                    <w:left w:w="28" w:type="dxa"/>
                    <w:right w:w="28" w:type="dxa"/>
                  </w:tcMar>
                  <w:vAlign w:val="center"/>
                </w:tcPr>
                <w:p w14:paraId="041ED116">
                  <w:pPr>
                    <w:pStyle w:val="31"/>
                  </w:pPr>
                  <w:r>
                    <w:t>251精炼石油产品制造</w:t>
                  </w:r>
                </w:p>
              </w:tc>
              <w:tc>
                <w:tcPr>
                  <w:tcW w:w="2273" w:type="pct"/>
                  <w:tcBorders>
                    <w:tl2br w:val="nil"/>
                    <w:tr2bl w:val="nil"/>
                  </w:tcBorders>
                  <w:tcMar>
                    <w:left w:w="28" w:type="dxa"/>
                    <w:right w:w="28" w:type="dxa"/>
                  </w:tcMar>
                  <w:vAlign w:val="center"/>
                </w:tcPr>
                <w:p w14:paraId="2D47F456">
                  <w:pPr>
                    <w:pStyle w:val="31"/>
                  </w:pPr>
                  <w:r>
                    <w:rPr>
                      <w:kern w:val="0"/>
                    </w:rPr>
                    <w:t>新建原油炼制、扩建燃料油炼制项目；油品升级项目除外</w:t>
                  </w:r>
                </w:p>
              </w:tc>
              <w:tc>
                <w:tcPr>
                  <w:tcW w:w="623" w:type="pct"/>
                  <w:tcBorders>
                    <w:tl2br w:val="nil"/>
                    <w:tr2bl w:val="nil"/>
                  </w:tcBorders>
                  <w:tcMar>
                    <w:left w:w="28" w:type="dxa"/>
                    <w:right w:w="28" w:type="dxa"/>
                  </w:tcMar>
                  <w:vAlign w:val="center"/>
                </w:tcPr>
                <w:p w14:paraId="3C755BB0">
                  <w:pPr>
                    <w:pStyle w:val="31"/>
                  </w:pPr>
                  <w:r>
                    <w:t>/</w:t>
                  </w:r>
                </w:p>
              </w:tc>
            </w:tr>
            <w:tr w14:paraId="0389D8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tcMar>
                    <w:left w:w="28" w:type="dxa"/>
                    <w:right w:w="28" w:type="dxa"/>
                  </w:tcMar>
                  <w:vAlign w:val="center"/>
                </w:tcPr>
                <w:p w14:paraId="4A877F3C">
                  <w:pPr>
                    <w:pStyle w:val="31"/>
                  </w:pPr>
                  <w:r>
                    <w:t>化工</w:t>
                  </w:r>
                </w:p>
              </w:tc>
              <w:tc>
                <w:tcPr>
                  <w:tcW w:w="1595" w:type="pct"/>
                  <w:tcBorders>
                    <w:tl2br w:val="nil"/>
                    <w:tr2bl w:val="nil"/>
                  </w:tcBorders>
                  <w:tcMar>
                    <w:left w:w="28" w:type="dxa"/>
                    <w:right w:w="28" w:type="dxa"/>
                  </w:tcMar>
                  <w:vAlign w:val="center"/>
                </w:tcPr>
                <w:p w14:paraId="4B28FA7C">
                  <w:pPr>
                    <w:pStyle w:val="31"/>
                  </w:pPr>
                  <w:r>
                    <w:rPr>
                      <w:kern w:val="0"/>
                    </w:rPr>
                    <w:t>261基础化学原料制造</w:t>
                  </w:r>
                </w:p>
              </w:tc>
              <w:tc>
                <w:tcPr>
                  <w:tcW w:w="2273" w:type="pct"/>
                  <w:tcBorders>
                    <w:tl2br w:val="nil"/>
                    <w:tr2bl w:val="nil"/>
                  </w:tcBorders>
                  <w:tcMar>
                    <w:left w:w="28" w:type="dxa"/>
                    <w:right w:w="28" w:type="dxa"/>
                  </w:tcMar>
                  <w:vAlign w:val="center"/>
                </w:tcPr>
                <w:p w14:paraId="7E1E5124">
                  <w:pPr>
                    <w:pStyle w:val="31"/>
                    <w:rPr>
                      <w:kern w:val="0"/>
                    </w:rPr>
                  </w:pPr>
                  <w:r>
                    <w:rPr>
                      <w:kern w:val="0"/>
                    </w:rPr>
                    <w:t>“三酸两碱”（硫酸、盐酸、硝酸，烧碱、纯碱）项目；氯碱（PVC）项目</w:t>
                  </w:r>
                </w:p>
              </w:tc>
              <w:tc>
                <w:tcPr>
                  <w:tcW w:w="623" w:type="pct"/>
                  <w:tcBorders>
                    <w:tl2br w:val="nil"/>
                    <w:tr2bl w:val="nil"/>
                  </w:tcBorders>
                  <w:tcMar>
                    <w:left w:w="28" w:type="dxa"/>
                    <w:right w:w="28" w:type="dxa"/>
                  </w:tcMar>
                  <w:vAlign w:val="center"/>
                </w:tcPr>
                <w:p w14:paraId="6C1BDA12">
                  <w:pPr>
                    <w:pStyle w:val="31"/>
                  </w:pPr>
                  <w:r>
                    <w:t>/</w:t>
                  </w:r>
                </w:p>
              </w:tc>
            </w:tr>
            <w:tr w14:paraId="3BF5E8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5A41B3FA">
                  <w:pPr>
                    <w:pStyle w:val="31"/>
                  </w:pPr>
                </w:p>
              </w:tc>
              <w:tc>
                <w:tcPr>
                  <w:tcW w:w="1595" w:type="pct"/>
                  <w:tcBorders>
                    <w:tl2br w:val="nil"/>
                    <w:tr2bl w:val="nil"/>
                  </w:tcBorders>
                  <w:tcMar>
                    <w:left w:w="28" w:type="dxa"/>
                    <w:right w:w="28" w:type="dxa"/>
                  </w:tcMar>
                  <w:vAlign w:val="center"/>
                </w:tcPr>
                <w:p w14:paraId="25A275DB">
                  <w:pPr>
                    <w:pStyle w:val="31"/>
                  </w:pPr>
                  <w:r>
                    <w:rPr>
                      <w:kern w:val="0"/>
                    </w:rPr>
                    <w:t>262肥料制造</w:t>
                  </w:r>
                </w:p>
              </w:tc>
              <w:tc>
                <w:tcPr>
                  <w:tcW w:w="2273" w:type="pct"/>
                  <w:tcBorders>
                    <w:tl2br w:val="nil"/>
                    <w:tr2bl w:val="nil"/>
                  </w:tcBorders>
                  <w:tcMar>
                    <w:left w:w="28" w:type="dxa"/>
                    <w:right w:w="28" w:type="dxa"/>
                  </w:tcMar>
                  <w:vAlign w:val="center"/>
                </w:tcPr>
                <w:p w14:paraId="64902BF2">
                  <w:pPr>
                    <w:pStyle w:val="31"/>
                  </w:pPr>
                  <w:r>
                    <w:rPr>
                      <w:kern w:val="0"/>
                    </w:rPr>
                    <w:t>除合成氨外的肥料制造项目</w:t>
                  </w:r>
                </w:p>
              </w:tc>
              <w:tc>
                <w:tcPr>
                  <w:tcW w:w="623" w:type="pct"/>
                  <w:tcBorders>
                    <w:tl2br w:val="nil"/>
                    <w:tr2bl w:val="nil"/>
                  </w:tcBorders>
                  <w:tcMar>
                    <w:left w:w="28" w:type="dxa"/>
                    <w:right w:w="28" w:type="dxa"/>
                  </w:tcMar>
                  <w:vAlign w:val="center"/>
                </w:tcPr>
                <w:p w14:paraId="09F2D782">
                  <w:pPr>
                    <w:pStyle w:val="31"/>
                    <w:rPr>
                      <w:kern w:val="0"/>
                    </w:rPr>
                  </w:pPr>
                  <w:r>
                    <w:rPr>
                      <w:kern w:val="0"/>
                    </w:rPr>
                    <w:t>合成氨</w:t>
                  </w:r>
                </w:p>
                <w:p w14:paraId="44423B9E">
                  <w:pPr>
                    <w:pStyle w:val="31"/>
                  </w:pPr>
                  <w:r>
                    <w:rPr>
                      <w:kern w:val="0"/>
                    </w:rPr>
                    <w:t>项目</w:t>
                  </w:r>
                </w:p>
              </w:tc>
            </w:tr>
            <w:tr w14:paraId="09755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63E08BC1">
                  <w:pPr>
                    <w:pStyle w:val="31"/>
                  </w:pPr>
                </w:p>
              </w:tc>
              <w:tc>
                <w:tcPr>
                  <w:tcW w:w="1595" w:type="pct"/>
                  <w:tcBorders>
                    <w:tl2br w:val="nil"/>
                    <w:tr2bl w:val="nil"/>
                  </w:tcBorders>
                  <w:tcMar>
                    <w:left w:w="28" w:type="dxa"/>
                    <w:right w:w="28" w:type="dxa"/>
                  </w:tcMar>
                  <w:vAlign w:val="center"/>
                </w:tcPr>
                <w:p w14:paraId="385E65FF">
                  <w:pPr>
                    <w:pStyle w:val="31"/>
                  </w:pPr>
                  <w:r>
                    <w:rPr>
                      <w:kern w:val="0"/>
                    </w:rPr>
                    <w:t>263农药制造</w:t>
                  </w:r>
                </w:p>
              </w:tc>
              <w:tc>
                <w:tcPr>
                  <w:tcW w:w="2273" w:type="pct"/>
                  <w:tcBorders>
                    <w:tl2br w:val="nil"/>
                    <w:tr2bl w:val="nil"/>
                  </w:tcBorders>
                  <w:tcMar>
                    <w:left w:w="28" w:type="dxa"/>
                    <w:right w:w="28" w:type="dxa"/>
                  </w:tcMar>
                  <w:vAlign w:val="center"/>
                </w:tcPr>
                <w:p w14:paraId="187BBD48">
                  <w:pPr>
                    <w:pStyle w:val="31"/>
                    <w:rPr>
                      <w:spacing w:val="-12"/>
                    </w:rPr>
                  </w:pPr>
                  <w:r>
                    <w:rPr>
                      <w:kern w:val="0"/>
                    </w:rPr>
                    <w:t>全部</w:t>
                  </w:r>
                </w:p>
              </w:tc>
              <w:tc>
                <w:tcPr>
                  <w:tcW w:w="623" w:type="pct"/>
                  <w:tcBorders>
                    <w:tl2br w:val="nil"/>
                    <w:tr2bl w:val="nil"/>
                  </w:tcBorders>
                  <w:tcMar>
                    <w:left w:w="28" w:type="dxa"/>
                    <w:right w:w="28" w:type="dxa"/>
                  </w:tcMar>
                  <w:vAlign w:val="center"/>
                </w:tcPr>
                <w:p w14:paraId="5E193E3C">
                  <w:pPr>
                    <w:pStyle w:val="31"/>
                    <w:rPr>
                      <w:spacing w:val="-12"/>
                    </w:rPr>
                  </w:pPr>
                  <w:r>
                    <w:t>/</w:t>
                  </w:r>
                </w:p>
              </w:tc>
            </w:tr>
            <w:tr w14:paraId="56A44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769BC7A0">
                  <w:pPr>
                    <w:pStyle w:val="31"/>
                  </w:pPr>
                </w:p>
              </w:tc>
              <w:tc>
                <w:tcPr>
                  <w:tcW w:w="1595" w:type="pct"/>
                  <w:tcBorders>
                    <w:tl2br w:val="nil"/>
                    <w:tr2bl w:val="nil"/>
                  </w:tcBorders>
                  <w:tcMar>
                    <w:left w:w="28" w:type="dxa"/>
                    <w:right w:w="28" w:type="dxa"/>
                  </w:tcMar>
                  <w:vAlign w:val="center"/>
                </w:tcPr>
                <w:p w14:paraId="51463CA3">
                  <w:pPr>
                    <w:pStyle w:val="31"/>
                  </w:pPr>
                  <w:r>
                    <w:rPr>
                      <w:kern w:val="0"/>
                    </w:rPr>
                    <w:t>264涂料、油墨、颜料及类似产品制造</w:t>
                  </w:r>
                </w:p>
              </w:tc>
              <w:tc>
                <w:tcPr>
                  <w:tcW w:w="2273" w:type="pct"/>
                  <w:tcBorders>
                    <w:tl2br w:val="nil"/>
                    <w:tr2bl w:val="nil"/>
                  </w:tcBorders>
                  <w:tcMar>
                    <w:left w:w="28" w:type="dxa"/>
                    <w:right w:w="28" w:type="dxa"/>
                  </w:tcMar>
                  <w:vAlign w:val="center"/>
                </w:tcPr>
                <w:p w14:paraId="0E910844">
                  <w:pPr>
                    <w:pStyle w:val="31"/>
                  </w:pPr>
                  <w:r>
                    <w:rPr>
                      <w:kern w:val="0"/>
                    </w:rPr>
                    <w:t>涉及有机溶剂使用和挥发性有机物排放的低固份油性涂料生产</w:t>
                  </w:r>
                </w:p>
              </w:tc>
              <w:tc>
                <w:tcPr>
                  <w:tcW w:w="623" w:type="pct"/>
                  <w:tcBorders>
                    <w:tl2br w:val="nil"/>
                    <w:tr2bl w:val="nil"/>
                  </w:tcBorders>
                  <w:tcMar>
                    <w:left w:w="28" w:type="dxa"/>
                    <w:right w:w="28" w:type="dxa"/>
                  </w:tcMar>
                  <w:vAlign w:val="center"/>
                </w:tcPr>
                <w:p w14:paraId="6CF6E461">
                  <w:pPr>
                    <w:pStyle w:val="31"/>
                  </w:pPr>
                  <w:r>
                    <w:t>/</w:t>
                  </w:r>
                </w:p>
              </w:tc>
            </w:tr>
            <w:tr w14:paraId="6387A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77826DBF">
                  <w:pPr>
                    <w:pStyle w:val="31"/>
                  </w:pPr>
                </w:p>
              </w:tc>
              <w:tc>
                <w:tcPr>
                  <w:tcW w:w="1595" w:type="pct"/>
                  <w:tcBorders>
                    <w:tl2br w:val="nil"/>
                    <w:tr2bl w:val="nil"/>
                  </w:tcBorders>
                  <w:tcMar>
                    <w:left w:w="28" w:type="dxa"/>
                    <w:right w:w="28" w:type="dxa"/>
                  </w:tcMar>
                  <w:vAlign w:val="center"/>
                </w:tcPr>
                <w:p w14:paraId="61B939DC">
                  <w:pPr>
                    <w:pStyle w:val="31"/>
                  </w:pPr>
                  <w:r>
                    <w:rPr>
                      <w:kern w:val="0"/>
                    </w:rPr>
                    <w:t>265合成材料</w:t>
                  </w:r>
                </w:p>
              </w:tc>
              <w:tc>
                <w:tcPr>
                  <w:tcW w:w="2273" w:type="pct"/>
                  <w:tcBorders>
                    <w:tl2br w:val="nil"/>
                    <w:tr2bl w:val="nil"/>
                  </w:tcBorders>
                  <w:tcMar>
                    <w:left w:w="28" w:type="dxa"/>
                    <w:right w:w="28" w:type="dxa"/>
                  </w:tcMar>
                  <w:vAlign w:val="center"/>
                </w:tcPr>
                <w:p w14:paraId="19EDA855">
                  <w:pPr>
                    <w:pStyle w:val="31"/>
                    <w:rPr>
                      <w:kern w:val="0"/>
                    </w:rPr>
                  </w:pPr>
                  <w:r>
                    <w:rPr>
                      <w:kern w:val="0"/>
                    </w:rPr>
                    <w:t>新建、改扩建溶剂型氯丁橡胶类、丁苯热塑性橡胶类、聚氨酯类和聚丙烯酸酯类等通用型胶粘剂生产项目；石油化学合成材料制造（丙烯、C4馏分下游产品制造除外）</w:t>
                  </w:r>
                </w:p>
              </w:tc>
              <w:tc>
                <w:tcPr>
                  <w:tcW w:w="623" w:type="pct"/>
                  <w:tcBorders>
                    <w:tl2br w:val="nil"/>
                    <w:tr2bl w:val="nil"/>
                  </w:tcBorders>
                  <w:tcMar>
                    <w:left w:w="28" w:type="dxa"/>
                    <w:right w:w="28" w:type="dxa"/>
                  </w:tcMar>
                  <w:vAlign w:val="center"/>
                </w:tcPr>
                <w:p w14:paraId="4D5F7E93">
                  <w:pPr>
                    <w:pStyle w:val="31"/>
                  </w:pPr>
                  <w:r>
                    <w:t>/</w:t>
                  </w:r>
                </w:p>
              </w:tc>
            </w:tr>
            <w:tr w14:paraId="3EF6C5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655E903F">
                  <w:pPr>
                    <w:pStyle w:val="31"/>
                  </w:pPr>
                </w:p>
              </w:tc>
              <w:tc>
                <w:tcPr>
                  <w:tcW w:w="1595" w:type="pct"/>
                  <w:tcBorders>
                    <w:tl2br w:val="nil"/>
                    <w:tr2bl w:val="nil"/>
                  </w:tcBorders>
                  <w:tcMar>
                    <w:left w:w="28" w:type="dxa"/>
                    <w:right w:w="28" w:type="dxa"/>
                  </w:tcMar>
                  <w:vAlign w:val="center"/>
                </w:tcPr>
                <w:p w14:paraId="77D0AE34">
                  <w:pPr>
                    <w:pStyle w:val="31"/>
                  </w:pPr>
                  <w:r>
                    <w:rPr>
                      <w:kern w:val="0"/>
                    </w:rPr>
                    <w:t>266专用化学产品制造</w:t>
                  </w:r>
                </w:p>
              </w:tc>
              <w:tc>
                <w:tcPr>
                  <w:tcW w:w="2273" w:type="pct"/>
                  <w:tcBorders>
                    <w:tl2br w:val="nil"/>
                    <w:tr2bl w:val="nil"/>
                  </w:tcBorders>
                  <w:tcMar>
                    <w:left w:w="28" w:type="dxa"/>
                    <w:right w:w="28" w:type="dxa"/>
                  </w:tcMar>
                  <w:vAlign w:val="center"/>
                </w:tcPr>
                <w:p w14:paraId="1BB8019F">
                  <w:pPr>
                    <w:pStyle w:val="31"/>
                  </w:pPr>
                  <w:r>
                    <w:rPr>
                      <w:kern w:val="0"/>
                    </w:rPr>
                    <w:t>动物胶制造</w:t>
                  </w:r>
                </w:p>
              </w:tc>
              <w:tc>
                <w:tcPr>
                  <w:tcW w:w="623" w:type="pct"/>
                  <w:tcBorders>
                    <w:tl2br w:val="nil"/>
                    <w:tr2bl w:val="nil"/>
                  </w:tcBorders>
                  <w:tcMar>
                    <w:left w:w="28" w:type="dxa"/>
                    <w:right w:w="28" w:type="dxa"/>
                  </w:tcMar>
                  <w:vAlign w:val="center"/>
                </w:tcPr>
                <w:p w14:paraId="7D22E6A2">
                  <w:pPr>
                    <w:pStyle w:val="31"/>
                  </w:pPr>
                  <w:r>
                    <w:t>/</w:t>
                  </w:r>
                </w:p>
              </w:tc>
            </w:tr>
            <w:tr w14:paraId="5D3A75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1C0B066C">
                  <w:pPr>
                    <w:pStyle w:val="31"/>
                  </w:pPr>
                </w:p>
              </w:tc>
              <w:tc>
                <w:tcPr>
                  <w:tcW w:w="1595" w:type="pct"/>
                  <w:tcBorders>
                    <w:tl2br w:val="nil"/>
                    <w:tr2bl w:val="nil"/>
                  </w:tcBorders>
                  <w:tcMar>
                    <w:left w:w="28" w:type="dxa"/>
                    <w:right w:w="28" w:type="dxa"/>
                  </w:tcMar>
                  <w:vAlign w:val="center"/>
                </w:tcPr>
                <w:p w14:paraId="6E021F05">
                  <w:pPr>
                    <w:pStyle w:val="31"/>
                  </w:pPr>
                  <w:r>
                    <w:rPr>
                      <w:kern w:val="0"/>
                    </w:rPr>
                    <w:t>267炸药、火工及焰火产品制造</w:t>
                  </w:r>
                </w:p>
              </w:tc>
              <w:tc>
                <w:tcPr>
                  <w:tcW w:w="2273" w:type="pct"/>
                  <w:tcBorders>
                    <w:tl2br w:val="nil"/>
                    <w:tr2bl w:val="nil"/>
                  </w:tcBorders>
                  <w:tcMar>
                    <w:left w:w="28" w:type="dxa"/>
                    <w:right w:w="28" w:type="dxa"/>
                  </w:tcMar>
                  <w:vAlign w:val="center"/>
                </w:tcPr>
                <w:p w14:paraId="626CEF16">
                  <w:pPr>
                    <w:pStyle w:val="31"/>
                  </w:pPr>
                  <w:r>
                    <w:rPr>
                      <w:kern w:val="0"/>
                    </w:rPr>
                    <w:t>全部</w:t>
                  </w:r>
                </w:p>
              </w:tc>
              <w:tc>
                <w:tcPr>
                  <w:tcW w:w="623" w:type="pct"/>
                  <w:tcBorders>
                    <w:tl2br w:val="nil"/>
                    <w:tr2bl w:val="nil"/>
                  </w:tcBorders>
                  <w:tcMar>
                    <w:left w:w="28" w:type="dxa"/>
                    <w:right w:w="28" w:type="dxa"/>
                  </w:tcMar>
                  <w:vAlign w:val="center"/>
                </w:tcPr>
                <w:p w14:paraId="081D0AF8">
                  <w:pPr>
                    <w:pStyle w:val="31"/>
                  </w:pPr>
                  <w:r>
                    <w:t>/</w:t>
                  </w:r>
                </w:p>
              </w:tc>
            </w:tr>
            <w:tr w14:paraId="5D1B0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tcMar>
                    <w:left w:w="28" w:type="dxa"/>
                    <w:right w:w="28" w:type="dxa"/>
                  </w:tcMar>
                  <w:vAlign w:val="center"/>
                </w:tcPr>
                <w:p w14:paraId="26C446A8">
                  <w:pPr>
                    <w:pStyle w:val="31"/>
                  </w:pPr>
                  <w:r>
                    <w:t>纺织</w:t>
                  </w:r>
                </w:p>
              </w:tc>
              <w:tc>
                <w:tcPr>
                  <w:tcW w:w="1595" w:type="pct"/>
                  <w:tcBorders>
                    <w:tl2br w:val="nil"/>
                    <w:tr2bl w:val="nil"/>
                  </w:tcBorders>
                  <w:tcMar>
                    <w:left w:w="28" w:type="dxa"/>
                    <w:right w:w="28" w:type="dxa"/>
                  </w:tcMar>
                  <w:vAlign w:val="center"/>
                </w:tcPr>
                <w:p w14:paraId="52D750D4">
                  <w:pPr>
                    <w:pStyle w:val="31"/>
                  </w:pPr>
                  <w:r>
                    <w:rPr>
                      <w:kern w:val="0"/>
                    </w:rPr>
                    <w:t>17纺织业</w:t>
                  </w:r>
                </w:p>
              </w:tc>
              <w:tc>
                <w:tcPr>
                  <w:tcW w:w="2273" w:type="pct"/>
                  <w:tcBorders>
                    <w:tl2br w:val="nil"/>
                    <w:tr2bl w:val="nil"/>
                  </w:tcBorders>
                  <w:tcMar>
                    <w:left w:w="28" w:type="dxa"/>
                    <w:right w:w="28" w:type="dxa"/>
                  </w:tcMar>
                  <w:vAlign w:val="center"/>
                </w:tcPr>
                <w:p w14:paraId="2944BEE4">
                  <w:pPr>
                    <w:pStyle w:val="31"/>
                    <w:rPr>
                      <w:spacing w:val="-12"/>
                    </w:rPr>
                  </w:pPr>
                  <w:r>
                    <w:rPr>
                      <w:kern w:val="0"/>
                    </w:rPr>
                    <w:t>涉及印染、染整、脱胶工序或产生缫丝、精炼废水的项目</w:t>
                  </w:r>
                </w:p>
              </w:tc>
              <w:tc>
                <w:tcPr>
                  <w:tcW w:w="623" w:type="pct"/>
                  <w:tcBorders>
                    <w:tl2br w:val="nil"/>
                    <w:tr2bl w:val="nil"/>
                  </w:tcBorders>
                  <w:tcMar>
                    <w:left w:w="28" w:type="dxa"/>
                    <w:right w:w="28" w:type="dxa"/>
                  </w:tcMar>
                  <w:vAlign w:val="center"/>
                </w:tcPr>
                <w:p w14:paraId="4D5BFD8E">
                  <w:pPr>
                    <w:pStyle w:val="31"/>
                    <w:rPr>
                      <w:spacing w:val="-12"/>
                    </w:rPr>
                  </w:pPr>
                  <w:r>
                    <w:t>/</w:t>
                  </w:r>
                </w:p>
              </w:tc>
            </w:tr>
            <w:tr w14:paraId="1C691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tcMar>
                    <w:left w:w="28" w:type="dxa"/>
                    <w:right w:w="28" w:type="dxa"/>
                  </w:tcMar>
                  <w:vAlign w:val="center"/>
                </w:tcPr>
                <w:p w14:paraId="716BC944">
                  <w:pPr>
                    <w:pStyle w:val="31"/>
                  </w:pPr>
                  <w:r>
                    <w:t>建材</w:t>
                  </w:r>
                </w:p>
              </w:tc>
              <w:tc>
                <w:tcPr>
                  <w:tcW w:w="1595" w:type="pct"/>
                  <w:tcBorders>
                    <w:tl2br w:val="nil"/>
                    <w:tr2bl w:val="nil"/>
                  </w:tcBorders>
                  <w:tcMar>
                    <w:left w:w="28" w:type="dxa"/>
                    <w:right w:w="28" w:type="dxa"/>
                  </w:tcMar>
                  <w:vAlign w:val="center"/>
                </w:tcPr>
                <w:p w14:paraId="4F153575">
                  <w:pPr>
                    <w:pStyle w:val="31"/>
                  </w:pPr>
                  <w:r>
                    <w:rPr>
                      <w:kern w:val="0"/>
                    </w:rPr>
                    <w:t>201木材加工</w:t>
                  </w:r>
                </w:p>
              </w:tc>
              <w:tc>
                <w:tcPr>
                  <w:tcW w:w="2273" w:type="pct"/>
                  <w:vMerge w:val="restart"/>
                  <w:tcBorders>
                    <w:tl2br w:val="nil"/>
                    <w:tr2bl w:val="nil"/>
                  </w:tcBorders>
                  <w:tcMar>
                    <w:left w:w="28" w:type="dxa"/>
                    <w:right w:w="28" w:type="dxa"/>
                  </w:tcMar>
                  <w:vAlign w:val="center"/>
                </w:tcPr>
                <w:p w14:paraId="7BB097CD">
                  <w:pPr>
                    <w:pStyle w:val="31"/>
                  </w:pPr>
                  <w:r>
                    <w:rPr>
                      <w:kern w:val="0"/>
                    </w:rPr>
                    <w:t>涉及有机溶剂使用和挥发性有机物排放的沥青类防水材料生产、人造板项目</w:t>
                  </w:r>
                </w:p>
              </w:tc>
              <w:tc>
                <w:tcPr>
                  <w:tcW w:w="623" w:type="pct"/>
                  <w:tcBorders>
                    <w:tl2br w:val="nil"/>
                    <w:tr2bl w:val="nil"/>
                  </w:tcBorders>
                  <w:tcMar>
                    <w:left w:w="28" w:type="dxa"/>
                    <w:right w:w="28" w:type="dxa"/>
                  </w:tcMar>
                  <w:vAlign w:val="center"/>
                </w:tcPr>
                <w:p w14:paraId="40BC8C8F">
                  <w:pPr>
                    <w:pStyle w:val="31"/>
                  </w:pPr>
                  <w:r>
                    <w:t>/</w:t>
                  </w:r>
                </w:p>
              </w:tc>
            </w:tr>
            <w:tr w14:paraId="1E67B5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05DCED19">
                  <w:pPr>
                    <w:pStyle w:val="31"/>
                  </w:pPr>
                </w:p>
              </w:tc>
              <w:tc>
                <w:tcPr>
                  <w:tcW w:w="1595" w:type="pct"/>
                  <w:tcBorders>
                    <w:tl2br w:val="nil"/>
                    <w:tr2bl w:val="nil"/>
                  </w:tcBorders>
                  <w:tcMar>
                    <w:left w:w="28" w:type="dxa"/>
                    <w:right w:w="28" w:type="dxa"/>
                  </w:tcMar>
                  <w:vAlign w:val="center"/>
                </w:tcPr>
                <w:p w14:paraId="078082B8">
                  <w:pPr>
                    <w:pStyle w:val="31"/>
                  </w:pPr>
                  <w:r>
                    <w:rPr>
                      <w:kern w:val="0"/>
                    </w:rPr>
                    <w:t>202人造板制造</w:t>
                  </w:r>
                </w:p>
              </w:tc>
              <w:tc>
                <w:tcPr>
                  <w:tcW w:w="2273" w:type="pct"/>
                  <w:vMerge w:val="continue"/>
                  <w:tcBorders>
                    <w:tl2br w:val="nil"/>
                    <w:tr2bl w:val="nil"/>
                  </w:tcBorders>
                  <w:tcMar>
                    <w:left w:w="28" w:type="dxa"/>
                    <w:right w:w="28" w:type="dxa"/>
                  </w:tcMar>
                  <w:vAlign w:val="center"/>
                </w:tcPr>
                <w:p w14:paraId="68238DE1">
                  <w:pPr>
                    <w:pStyle w:val="31"/>
                  </w:pPr>
                </w:p>
              </w:tc>
              <w:tc>
                <w:tcPr>
                  <w:tcW w:w="623" w:type="pct"/>
                  <w:tcBorders>
                    <w:tl2br w:val="nil"/>
                    <w:tr2bl w:val="nil"/>
                  </w:tcBorders>
                  <w:tcMar>
                    <w:left w:w="28" w:type="dxa"/>
                    <w:right w:w="28" w:type="dxa"/>
                  </w:tcMar>
                  <w:vAlign w:val="center"/>
                </w:tcPr>
                <w:p w14:paraId="3706E40E">
                  <w:pPr>
                    <w:pStyle w:val="31"/>
                  </w:pPr>
                  <w:r>
                    <w:t>/</w:t>
                  </w:r>
                </w:p>
              </w:tc>
            </w:tr>
            <w:tr w14:paraId="36885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tcMar>
                    <w:left w:w="28" w:type="dxa"/>
                    <w:right w:w="28" w:type="dxa"/>
                  </w:tcMar>
                  <w:vAlign w:val="center"/>
                </w:tcPr>
                <w:p w14:paraId="0BA981E8">
                  <w:pPr>
                    <w:pStyle w:val="31"/>
                  </w:pPr>
                </w:p>
              </w:tc>
              <w:tc>
                <w:tcPr>
                  <w:tcW w:w="1595" w:type="pct"/>
                  <w:tcBorders>
                    <w:tl2br w:val="nil"/>
                    <w:tr2bl w:val="nil"/>
                  </w:tcBorders>
                  <w:tcMar>
                    <w:left w:w="28" w:type="dxa"/>
                    <w:right w:w="28" w:type="dxa"/>
                  </w:tcMar>
                  <w:vAlign w:val="center"/>
                </w:tcPr>
                <w:p w14:paraId="00E9556F">
                  <w:pPr>
                    <w:pStyle w:val="31"/>
                  </w:pPr>
                  <w:r>
                    <w:rPr>
                      <w:kern w:val="0"/>
                    </w:rPr>
                    <w:t>203木质制品制造</w:t>
                  </w:r>
                </w:p>
              </w:tc>
              <w:tc>
                <w:tcPr>
                  <w:tcW w:w="2273" w:type="pct"/>
                  <w:tcBorders>
                    <w:tl2br w:val="nil"/>
                    <w:tr2bl w:val="nil"/>
                  </w:tcBorders>
                  <w:tcMar>
                    <w:left w:w="28" w:type="dxa"/>
                    <w:right w:w="28" w:type="dxa"/>
                  </w:tcMar>
                  <w:vAlign w:val="center"/>
                </w:tcPr>
                <w:p w14:paraId="127F46FD">
                  <w:pPr>
                    <w:pStyle w:val="31"/>
                  </w:pPr>
                  <w:r>
                    <w:rPr>
                      <w:kern w:val="0"/>
                    </w:rPr>
                    <w:t>使用粉末喷涂、水性涂料及UV涂料以及进入共享喷涂中心的项目除外</w:t>
                  </w:r>
                </w:p>
              </w:tc>
              <w:tc>
                <w:tcPr>
                  <w:tcW w:w="623" w:type="pct"/>
                  <w:tcBorders>
                    <w:tl2br w:val="nil"/>
                    <w:tr2bl w:val="nil"/>
                  </w:tcBorders>
                  <w:tcMar>
                    <w:left w:w="28" w:type="dxa"/>
                    <w:right w:w="28" w:type="dxa"/>
                  </w:tcMar>
                  <w:vAlign w:val="center"/>
                </w:tcPr>
                <w:p w14:paraId="37D30C36">
                  <w:pPr>
                    <w:pStyle w:val="31"/>
                  </w:pPr>
                  <w:r>
                    <w:t>/</w:t>
                  </w:r>
                </w:p>
              </w:tc>
            </w:tr>
            <w:tr w14:paraId="1DA46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tcMar>
                    <w:left w:w="28" w:type="dxa"/>
                    <w:right w:w="28" w:type="dxa"/>
                  </w:tcMar>
                  <w:vAlign w:val="center"/>
                </w:tcPr>
                <w:p w14:paraId="268D5D97">
                  <w:pPr>
                    <w:pStyle w:val="31"/>
                  </w:pPr>
                  <w:r>
                    <w:rPr>
                      <w:kern w:val="0"/>
                    </w:rPr>
                    <w:t>食品</w:t>
                  </w:r>
                </w:p>
              </w:tc>
              <w:tc>
                <w:tcPr>
                  <w:tcW w:w="1595" w:type="pct"/>
                  <w:tcBorders>
                    <w:tl2br w:val="nil"/>
                    <w:tr2bl w:val="nil"/>
                  </w:tcBorders>
                  <w:tcMar>
                    <w:left w:w="28" w:type="dxa"/>
                    <w:right w:w="28" w:type="dxa"/>
                  </w:tcMar>
                  <w:vAlign w:val="center"/>
                </w:tcPr>
                <w:p w14:paraId="184C2CEB">
                  <w:pPr>
                    <w:pStyle w:val="31"/>
                  </w:pPr>
                  <w:r>
                    <w:rPr>
                      <w:kern w:val="0"/>
                    </w:rPr>
                    <w:t>食品制造业</w:t>
                  </w:r>
                </w:p>
              </w:tc>
              <w:tc>
                <w:tcPr>
                  <w:tcW w:w="2273" w:type="pct"/>
                  <w:tcBorders>
                    <w:tl2br w:val="nil"/>
                    <w:tr2bl w:val="nil"/>
                  </w:tcBorders>
                  <w:tcMar>
                    <w:left w:w="28" w:type="dxa"/>
                    <w:right w:w="28" w:type="dxa"/>
                  </w:tcMar>
                  <w:vAlign w:val="center"/>
                </w:tcPr>
                <w:p w14:paraId="3D63FCA7">
                  <w:pPr>
                    <w:pStyle w:val="31"/>
                  </w:pPr>
                  <w:r>
                    <w:rPr>
                      <w:kern w:val="0"/>
                    </w:rPr>
                    <w:t>全部</w:t>
                  </w:r>
                </w:p>
              </w:tc>
              <w:tc>
                <w:tcPr>
                  <w:tcW w:w="623" w:type="pct"/>
                  <w:tcBorders>
                    <w:tl2br w:val="nil"/>
                    <w:tr2bl w:val="nil"/>
                  </w:tcBorders>
                  <w:tcMar>
                    <w:left w:w="28" w:type="dxa"/>
                    <w:right w:w="28" w:type="dxa"/>
                  </w:tcMar>
                  <w:vAlign w:val="center"/>
                </w:tcPr>
                <w:p w14:paraId="3FE05EDF">
                  <w:pPr>
                    <w:pStyle w:val="31"/>
                  </w:pPr>
                  <w:r>
                    <w:t>/</w:t>
                  </w:r>
                </w:p>
              </w:tc>
            </w:tr>
          </w:tbl>
          <w:p w14:paraId="461470D8">
            <w:pPr>
              <w:ind w:firstLine="480"/>
            </w:pPr>
            <w:r>
              <w:t>（2）允许类</w:t>
            </w:r>
          </w:p>
          <w:p w14:paraId="1939E53D">
            <w:pPr>
              <w:ind w:firstLine="480"/>
            </w:pPr>
            <w:r>
              <w:t>原则上未被列入上述鼓励类、负面清单的属允许发展类，但在具体实施过程中切不可盲目引进项目，应注意按如下原则要求：</w:t>
            </w:r>
          </w:p>
          <w:p w14:paraId="5D1C15AC">
            <w:pPr>
              <w:ind w:firstLine="480"/>
              <w:rPr>
                <w:bCs/>
              </w:rPr>
            </w:pPr>
            <w:r>
              <w:t>对于不属于规划区规划主导产业和重点发展方向的建设项目，若与规划区产业定位有互补作用，或属于规划区重要项目的下游企业，或属于高品质、高附加值、低污染的企业，或</w:t>
            </w:r>
            <w:bookmarkStart w:id="3" w:name="_Hlk42026673"/>
            <w:r>
              <w:t>有利于规划区实现循环经济理念和可持续发展</w:t>
            </w:r>
            <w:bookmarkEnd w:id="3"/>
            <w:r>
              <w:t>，这一类企业若在建设项目环评中经论证分析</w:t>
            </w:r>
            <w:bookmarkStart w:id="4" w:name="_Hlk42026692"/>
            <w:r>
              <w:t>与规划区规划无明显冲突，不会影响规划区规划实施的</w:t>
            </w:r>
            <w:bookmarkEnd w:id="4"/>
            <w:r>
              <w:t>，建议允许此类建设项目入驻。</w:t>
            </w:r>
          </w:p>
          <w:p w14:paraId="19785063">
            <w:pPr>
              <w:ind w:firstLine="480"/>
            </w:pPr>
            <w:bookmarkStart w:id="5" w:name="_Hlk32072544"/>
            <w:r>
              <w:rPr>
                <w:rFonts w:hint="eastAsia"/>
              </w:rPr>
              <w:t>本项目位于四川大英经济开发区内，使用能源为生物质气，为集中供热项目，</w:t>
            </w:r>
            <w:r>
              <w:t>未被列入上述鼓励类、负面清单</w:t>
            </w:r>
            <w:r>
              <w:rPr>
                <w:rFonts w:hint="eastAsia"/>
              </w:rPr>
              <w:t>，</w:t>
            </w:r>
            <w:r>
              <w:t>属允许发展类</w:t>
            </w:r>
            <w:r>
              <w:rPr>
                <w:rFonts w:hint="eastAsia"/>
              </w:rPr>
              <w:t>。</w:t>
            </w:r>
          </w:p>
          <w:p w14:paraId="37B0A4D5">
            <w:pPr>
              <w:ind w:firstLine="480"/>
            </w:pPr>
            <w:r>
              <w:rPr>
                <w:rFonts w:hint="eastAsia"/>
              </w:rPr>
              <w:t>综上，本项目符合四川大英经济开发区产业规划和布局要求</w:t>
            </w:r>
            <w:r>
              <w:t>。</w:t>
            </w:r>
          </w:p>
          <w:bookmarkEnd w:id="5"/>
          <w:p w14:paraId="0EB04212">
            <w:pPr>
              <w:ind w:firstLine="482"/>
              <w:rPr>
                <w:b/>
                <w:bCs/>
              </w:rPr>
            </w:pPr>
            <w:r>
              <w:rPr>
                <w:rFonts w:hint="eastAsia" w:cs="Times New Roman"/>
                <w:b/>
                <w:bCs/>
              </w:rPr>
              <w:t>2</w:t>
            </w:r>
            <w:r>
              <w:rPr>
                <w:rFonts w:cs="Times New Roman"/>
                <w:b/>
                <w:bCs/>
              </w:rPr>
              <w:t>、</w:t>
            </w:r>
            <w:r>
              <w:rPr>
                <w:rFonts w:hint="eastAsia" w:cs="Times New Roman"/>
                <w:b/>
                <w:bCs/>
              </w:rPr>
              <w:t>本</w:t>
            </w:r>
            <w:r>
              <w:rPr>
                <w:rFonts w:cs="Times New Roman"/>
                <w:b/>
                <w:bCs/>
              </w:rPr>
              <w:t>项目与园区规划环评生态环境准入要求符合性分析</w:t>
            </w:r>
          </w:p>
          <w:p w14:paraId="1AE352FB">
            <w:pPr>
              <w:ind w:firstLine="480"/>
            </w:pPr>
            <w:r>
              <w:rPr>
                <w:rFonts w:cs="Times New Roman"/>
                <w:szCs w:val="24"/>
              </w:rPr>
              <w:t>项目与四川大英经济开发区规划环评及环评批复的符合性见下表。</w:t>
            </w:r>
          </w:p>
          <w:p w14:paraId="1DF321A1">
            <w:pPr>
              <w:pStyle w:val="35"/>
            </w:pPr>
            <w:r>
              <w:t>项目与发展区规划环评及环评批复的符合性</w:t>
            </w:r>
          </w:p>
          <w:tbl>
            <w:tblPr>
              <w:tblStyle w:val="2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332"/>
              <w:gridCol w:w="3678"/>
              <w:gridCol w:w="618"/>
            </w:tblGrid>
            <w:tr w14:paraId="4D954E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184" w:type="pct"/>
                  <w:tcBorders>
                    <w:tl2br w:val="nil"/>
                    <w:tr2bl w:val="nil"/>
                  </w:tcBorders>
                  <w:vAlign w:val="center"/>
                </w:tcPr>
                <w:p w14:paraId="135DEB0B">
                  <w:pPr>
                    <w:pStyle w:val="31"/>
                    <w:rPr>
                      <w:b/>
                      <w:bCs/>
                    </w:rPr>
                  </w:pPr>
                  <w:r>
                    <w:rPr>
                      <w:b/>
                      <w:bCs/>
                    </w:rPr>
                    <w:t>规划环评要求</w:t>
                  </w:r>
                </w:p>
              </w:tc>
              <w:tc>
                <w:tcPr>
                  <w:tcW w:w="2411" w:type="pct"/>
                  <w:tcBorders>
                    <w:tl2br w:val="nil"/>
                    <w:tr2bl w:val="nil"/>
                  </w:tcBorders>
                  <w:vAlign w:val="center"/>
                </w:tcPr>
                <w:p w14:paraId="150EB866">
                  <w:pPr>
                    <w:pStyle w:val="31"/>
                    <w:rPr>
                      <w:b/>
                      <w:bCs/>
                    </w:rPr>
                  </w:pPr>
                  <w:r>
                    <w:rPr>
                      <w:b/>
                      <w:bCs/>
                    </w:rPr>
                    <w:t>本项目</w:t>
                  </w:r>
                </w:p>
              </w:tc>
              <w:tc>
                <w:tcPr>
                  <w:tcW w:w="405" w:type="pct"/>
                  <w:tcBorders>
                    <w:tl2br w:val="nil"/>
                    <w:tr2bl w:val="nil"/>
                  </w:tcBorders>
                  <w:vAlign w:val="center"/>
                </w:tcPr>
                <w:p w14:paraId="70C4EBC1">
                  <w:pPr>
                    <w:pStyle w:val="31"/>
                    <w:rPr>
                      <w:b/>
                      <w:bCs/>
                    </w:rPr>
                  </w:pPr>
                  <w:r>
                    <w:rPr>
                      <w:b/>
                      <w:bCs/>
                    </w:rPr>
                    <w:t>符合性</w:t>
                  </w:r>
                </w:p>
              </w:tc>
            </w:tr>
            <w:tr w14:paraId="77F35B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184" w:type="pct"/>
                  <w:tcBorders>
                    <w:tl2br w:val="nil"/>
                    <w:tr2bl w:val="nil"/>
                  </w:tcBorders>
                  <w:vAlign w:val="center"/>
                </w:tcPr>
                <w:p w14:paraId="74040DC2">
                  <w:pPr>
                    <w:pStyle w:val="31"/>
                  </w:pPr>
                  <w:r>
                    <w:t>优化能源结构，除久大盐化现有锅炉外禁止使用燃煤等高污染燃料，以天然气、电等清洁能源为主，新建燃气锅炉加装低氮燃烧装置，鼓励引入天然气分布式能源。</w:t>
                  </w:r>
                </w:p>
              </w:tc>
              <w:tc>
                <w:tcPr>
                  <w:tcW w:w="2411" w:type="pct"/>
                  <w:tcBorders>
                    <w:tl2br w:val="nil"/>
                    <w:tr2bl w:val="nil"/>
                  </w:tcBorders>
                  <w:vAlign w:val="center"/>
                </w:tcPr>
                <w:p w14:paraId="5A90C11D">
                  <w:pPr>
                    <w:pStyle w:val="31"/>
                  </w:pPr>
                  <w:r>
                    <w:rPr>
                      <w:rFonts w:hint="eastAsia"/>
                      <w:bCs/>
                    </w:rPr>
                    <w:t>根据《高污染燃料目录》（国环规大气〔2017〕2号），本项目燃料为生物质气，不属于燃煤等高污染燃料。</w:t>
                  </w:r>
                </w:p>
              </w:tc>
              <w:tc>
                <w:tcPr>
                  <w:tcW w:w="405" w:type="pct"/>
                  <w:tcBorders>
                    <w:tl2br w:val="nil"/>
                    <w:tr2bl w:val="nil"/>
                  </w:tcBorders>
                  <w:vAlign w:val="center"/>
                </w:tcPr>
                <w:p w14:paraId="7E4D5644">
                  <w:pPr>
                    <w:pStyle w:val="31"/>
                  </w:pPr>
                  <w:r>
                    <w:rPr>
                      <w:rFonts w:hint="eastAsia"/>
                      <w:bCs/>
                    </w:rPr>
                    <w:t>符合</w:t>
                  </w:r>
                </w:p>
              </w:tc>
            </w:tr>
            <w:tr w14:paraId="5E180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4" w:type="pct"/>
                  <w:tcBorders>
                    <w:tl2br w:val="nil"/>
                    <w:tr2bl w:val="nil"/>
                  </w:tcBorders>
                  <w:vAlign w:val="center"/>
                </w:tcPr>
                <w:p w14:paraId="4E0FCD57">
                  <w:pPr>
                    <w:pStyle w:val="31"/>
                  </w:pPr>
                  <w:r>
                    <w:t>（一）禁止引入不符合国家行业准入条件的项目，列入国家产能过剩类别的项目，列入产业结构指导目录限制及禁止类的项目。</w:t>
                  </w:r>
                </w:p>
              </w:tc>
              <w:tc>
                <w:tcPr>
                  <w:tcW w:w="2411" w:type="pct"/>
                  <w:tcBorders>
                    <w:tl2br w:val="nil"/>
                    <w:tr2bl w:val="nil"/>
                  </w:tcBorders>
                  <w:vAlign w:val="center"/>
                </w:tcPr>
                <w:p w14:paraId="4F455AF2">
                  <w:pPr>
                    <w:pStyle w:val="31"/>
                  </w:pPr>
                  <w:r>
                    <w:t>根据《国民经济行业分类》（GB/T4754-2017），本项目属于D4430热力生产和供应，</w:t>
                  </w:r>
                  <w:r>
                    <w:rPr>
                      <w:rFonts w:hint="eastAsia"/>
                    </w:rPr>
                    <w:t>根据《产业结构调整指导目录（</w:t>
                  </w:r>
                  <w:r>
                    <w:t>2024</w:t>
                  </w:r>
                  <w:r>
                    <w:rPr>
                      <w:rFonts w:hint="eastAsia"/>
                    </w:rPr>
                    <w:t>年本）》，</w:t>
                  </w:r>
                  <w:r>
                    <w:rPr>
                      <w:rFonts w:hint="eastAsia"/>
                      <w:lang w:val="zh-CN"/>
                    </w:rPr>
                    <w:t>本项目属于“鼓励类”。</w:t>
                  </w:r>
                </w:p>
              </w:tc>
              <w:tc>
                <w:tcPr>
                  <w:tcW w:w="405" w:type="pct"/>
                  <w:tcBorders>
                    <w:tl2br w:val="nil"/>
                    <w:tr2bl w:val="nil"/>
                  </w:tcBorders>
                  <w:vAlign w:val="center"/>
                </w:tcPr>
                <w:p w14:paraId="32BED5AC">
                  <w:pPr>
                    <w:pStyle w:val="31"/>
                  </w:pPr>
                  <w:r>
                    <w:t>符合</w:t>
                  </w:r>
                </w:p>
              </w:tc>
            </w:tr>
            <w:tr w14:paraId="5FEE6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4" w:type="pct"/>
                  <w:tcBorders>
                    <w:tl2br w:val="nil"/>
                    <w:tr2bl w:val="nil"/>
                  </w:tcBorders>
                  <w:vAlign w:val="center"/>
                </w:tcPr>
                <w:p w14:paraId="5AC0D5C5">
                  <w:pPr>
                    <w:pStyle w:val="31"/>
                  </w:pPr>
                  <w:r>
                    <w:t>（二）禁止引入不符合国家环保法律法规、各类污染防治规划及要求的项目。</w:t>
                  </w:r>
                </w:p>
              </w:tc>
              <w:tc>
                <w:tcPr>
                  <w:tcW w:w="2411" w:type="pct"/>
                  <w:tcBorders>
                    <w:tl2br w:val="nil"/>
                    <w:tr2bl w:val="nil"/>
                  </w:tcBorders>
                  <w:vAlign w:val="center"/>
                </w:tcPr>
                <w:p w14:paraId="32D5D264">
                  <w:pPr>
                    <w:pStyle w:val="31"/>
                    <w:rPr>
                      <w:lang w:bidi="ar"/>
                    </w:rPr>
                  </w:pPr>
                  <w:r>
                    <w:t>本项目位于工业园区内，属于</w:t>
                  </w:r>
                  <w:r>
                    <w:rPr>
                      <w:rFonts w:hint="eastAsia"/>
                    </w:rPr>
                    <w:t>热力生产供应</w:t>
                  </w:r>
                  <w:r>
                    <w:t>，主要大气污染物为</w:t>
                  </w:r>
                  <w:r>
                    <w:rPr>
                      <w:rFonts w:hint="eastAsia"/>
                    </w:rPr>
                    <w:t>颗粒物、SO</w:t>
                  </w:r>
                  <w:r>
                    <w:rPr>
                      <w:rFonts w:hint="eastAsia"/>
                      <w:vertAlign w:val="subscript"/>
                    </w:rPr>
                    <w:t>2</w:t>
                  </w:r>
                  <w:r>
                    <w:rPr>
                      <w:rFonts w:hint="eastAsia"/>
                    </w:rPr>
                    <w:t>和NO</w:t>
                  </w:r>
                  <w:r>
                    <w:rPr>
                      <w:rFonts w:hint="eastAsia"/>
                      <w:vertAlign w:val="subscript"/>
                    </w:rPr>
                    <w:t>x</w:t>
                  </w:r>
                  <w:r>
                    <w:t>，</w:t>
                  </w:r>
                  <w:r>
                    <w:rPr>
                      <w:rFonts w:hint="eastAsia"/>
                    </w:rPr>
                    <w:t>本</w:t>
                  </w:r>
                  <w:r>
                    <w:t>项目</w:t>
                  </w:r>
                  <w:r>
                    <w:rPr>
                      <w:rFonts w:hint="eastAsia"/>
                    </w:rPr>
                    <w:t>锅炉废气</w:t>
                  </w:r>
                  <w:r>
                    <w:t>经</w:t>
                  </w:r>
                  <w:r>
                    <w:rPr>
                      <w:rFonts w:hint="eastAsia"/>
                    </w:rPr>
                    <w:t>“</w:t>
                  </w:r>
                  <w:r>
                    <w:rPr>
                      <w:rFonts w:hint="eastAsia"/>
                      <w:szCs w:val="20"/>
                    </w:rPr>
                    <w:t>低氮燃烧+</w:t>
                  </w:r>
                  <w:r>
                    <w:rPr>
                      <w:rFonts w:hint="eastAsia"/>
                    </w:rPr>
                    <w:t>SCR脱硝+喷淋式水膜除尘器”处理后由2根26m高排气筒排放</w:t>
                  </w:r>
                  <w:r>
                    <w:rPr>
                      <w:lang w:bidi="ar"/>
                    </w:rPr>
                    <w:t>；</w:t>
                  </w:r>
                </w:p>
                <w:p w14:paraId="4FF5086A">
                  <w:pPr>
                    <w:pStyle w:val="31"/>
                    <w:rPr>
                      <w:lang w:bidi="ar"/>
                    </w:rPr>
                  </w:pPr>
                  <w:r>
                    <w:rPr>
                      <w:rFonts w:hint="eastAsia"/>
                      <w:lang w:bidi="ar"/>
                    </w:rPr>
                    <w:t>未用于厂区绿化和降尘的锅炉废水</w:t>
                  </w:r>
                  <w:r>
                    <w:rPr>
                      <w:rFonts w:hint="eastAsia"/>
                    </w:rPr>
                    <w:t>（优先用于厂区绿化浇水和除尘设备用水）</w:t>
                  </w:r>
                  <w:r>
                    <w:rPr>
                      <w:rFonts w:hint="eastAsia"/>
                      <w:lang w:bidi="ar"/>
                    </w:rPr>
                    <w:t>和经预处理池（6m</w:t>
                  </w:r>
                  <w:r>
                    <w:rPr>
                      <w:rFonts w:hint="eastAsia"/>
                      <w:vertAlign w:val="superscript"/>
                      <w:lang w:bidi="ar"/>
                    </w:rPr>
                    <w:t>3</w:t>
                  </w:r>
                  <w:r>
                    <w:rPr>
                      <w:rFonts w:hint="eastAsia"/>
                      <w:lang w:bidi="ar"/>
                    </w:rPr>
                    <w:t>）处理达标后的生活污水一同进入市政污水管网，经大英经济开发区污水处理厂处理达标后排入郪江。</w:t>
                  </w:r>
                  <w:r>
                    <w:rPr>
                      <w:rFonts w:hint="eastAsia"/>
                    </w:rPr>
                    <w:t>气化冷却水全部用于厂区绿化。除尘设备用水均循环使用，不外排。固废合理处置。综上，本项目</w:t>
                  </w:r>
                  <w:r>
                    <w:t>符合国家法律法规、符合各类污染防治规划要求</w:t>
                  </w:r>
                  <w:r>
                    <w:rPr>
                      <w:rFonts w:hint="eastAsia"/>
                    </w:rPr>
                    <w:t>。</w:t>
                  </w:r>
                </w:p>
              </w:tc>
              <w:tc>
                <w:tcPr>
                  <w:tcW w:w="405" w:type="pct"/>
                  <w:tcBorders>
                    <w:tl2br w:val="nil"/>
                    <w:tr2bl w:val="nil"/>
                  </w:tcBorders>
                  <w:vAlign w:val="center"/>
                </w:tcPr>
                <w:p w14:paraId="0650AC4B">
                  <w:pPr>
                    <w:pStyle w:val="31"/>
                    <w:rPr>
                      <w:kern w:val="0"/>
                    </w:rPr>
                  </w:pPr>
                  <w:r>
                    <w:t>符合</w:t>
                  </w:r>
                </w:p>
              </w:tc>
            </w:tr>
            <w:tr w14:paraId="368B2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4" w:type="pct"/>
                  <w:tcBorders>
                    <w:tl2br w:val="nil"/>
                    <w:tr2bl w:val="nil"/>
                  </w:tcBorders>
                  <w:vAlign w:val="center"/>
                </w:tcPr>
                <w:p w14:paraId="590A2429">
                  <w:pPr>
                    <w:pStyle w:val="31"/>
                  </w:pPr>
                  <w:r>
                    <w:t>（三）禁止新建燃煤火电、金属冶炼、制浆（含废纸制浆）屠宰、皮革鞣制、铅蓄电池制造、原油炼制、煤化工、印染项目，具体清单见《报告书》。</w:t>
                  </w:r>
                </w:p>
              </w:tc>
              <w:tc>
                <w:tcPr>
                  <w:tcW w:w="2411" w:type="pct"/>
                  <w:tcBorders>
                    <w:tl2br w:val="nil"/>
                    <w:tr2bl w:val="nil"/>
                  </w:tcBorders>
                  <w:vAlign w:val="center"/>
                </w:tcPr>
                <w:p w14:paraId="751A2ED4">
                  <w:pPr>
                    <w:pStyle w:val="31"/>
                    <w:rPr>
                      <w:kern w:val="0"/>
                    </w:rPr>
                  </w:pPr>
                  <w:r>
                    <w:rPr>
                      <w:kern w:val="0"/>
                    </w:rPr>
                    <w:t>不涉及</w:t>
                  </w:r>
                </w:p>
              </w:tc>
              <w:tc>
                <w:tcPr>
                  <w:tcW w:w="405" w:type="pct"/>
                  <w:tcBorders>
                    <w:tl2br w:val="nil"/>
                    <w:tr2bl w:val="nil"/>
                  </w:tcBorders>
                  <w:vAlign w:val="center"/>
                </w:tcPr>
                <w:p w14:paraId="0883777A">
                  <w:pPr>
                    <w:pStyle w:val="31"/>
                  </w:pPr>
                  <w:r>
                    <w:t>符合</w:t>
                  </w:r>
                </w:p>
              </w:tc>
            </w:tr>
            <w:tr w14:paraId="2849ED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184" w:type="pct"/>
                  <w:tcBorders>
                    <w:tl2br w:val="nil"/>
                    <w:tr2bl w:val="nil"/>
                  </w:tcBorders>
                  <w:vAlign w:val="center"/>
                </w:tcPr>
                <w:p w14:paraId="1412D52F">
                  <w:pPr>
                    <w:pStyle w:val="31"/>
                  </w:pPr>
                  <w:r>
                    <w:t>（四）经开区内现有盛马化工燃料油炼制规模不再扩大。</w:t>
                  </w:r>
                </w:p>
              </w:tc>
              <w:tc>
                <w:tcPr>
                  <w:tcW w:w="2411" w:type="pct"/>
                  <w:tcBorders>
                    <w:tl2br w:val="nil"/>
                    <w:tr2bl w:val="nil"/>
                  </w:tcBorders>
                  <w:vAlign w:val="center"/>
                </w:tcPr>
                <w:p w14:paraId="31892373">
                  <w:pPr>
                    <w:pStyle w:val="31"/>
                    <w:rPr>
                      <w:kern w:val="0"/>
                    </w:rPr>
                  </w:pPr>
                  <w:r>
                    <w:rPr>
                      <w:kern w:val="0"/>
                    </w:rPr>
                    <w:t>不涉及</w:t>
                  </w:r>
                </w:p>
              </w:tc>
              <w:tc>
                <w:tcPr>
                  <w:tcW w:w="405" w:type="pct"/>
                  <w:tcBorders>
                    <w:tl2br w:val="nil"/>
                    <w:tr2bl w:val="nil"/>
                  </w:tcBorders>
                  <w:vAlign w:val="center"/>
                </w:tcPr>
                <w:p w14:paraId="7521AF2B">
                  <w:pPr>
                    <w:pStyle w:val="31"/>
                  </w:pPr>
                  <w:r>
                    <w:t>符合</w:t>
                  </w:r>
                </w:p>
              </w:tc>
            </w:tr>
          </w:tbl>
          <w:p w14:paraId="37384BF9">
            <w:pPr>
              <w:ind w:firstLine="482"/>
              <w:rPr>
                <w:highlight w:val="yellow"/>
              </w:rPr>
            </w:pPr>
            <w:r>
              <w:rPr>
                <w:rFonts w:cs="Times New Roman"/>
                <w:b/>
                <w:bCs/>
                <w:kern w:val="0"/>
                <w:szCs w:val="24"/>
              </w:rPr>
              <w:t>综上，本项目符合四川大英经济开发区规划要求</w:t>
            </w:r>
            <w:r>
              <w:rPr>
                <w:rFonts w:hint="eastAsia" w:cs="Times New Roman"/>
                <w:b/>
                <w:bCs/>
                <w:kern w:val="0"/>
                <w:szCs w:val="24"/>
              </w:rPr>
              <w:t>。</w:t>
            </w:r>
          </w:p>
        </w:tc>
      </w:tr>
      <w:tr w14:paraId="05DD4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846" w:type="dxa"/>
            <w:vAlign w:val="center"/>
          </w:tcPr>
          <w:p w14:paraId="4E5BB791">
            <w:pPr>
              <w:spacing w:line="240" w:lineRule="auto"/>
              <w:ind w:firstLine="0" w:firstLineChars="0"/>
              <w:jc w:val="center"/>
              <w:rPr>
                <w:b/>
                <w:bCs/>
                <w:szCs w:val="32"/>
              </w:rPr>
            </w:pPr>
            <w:r>
              <w:rPr>
                <w:rFonts w:hint="eastAsia"/>
                <w:b/>
                <w:bCs/>
                <w:szCs w:val="32"/>
              </w:rPr>
              <w:t>其他符合性分析</w:t>
            </w:r>
          </w:p>
        </w:tc>
        <w:tc>
          <w:tcPr>
            <w:tcW w:w="7450" w:type="dxa"/>
            <w:gridSpan w:val="4"/>
            <w:vAlign w:val="center"/>
          </w:tcPr>
          <w:p w14:paraId="2F9E0540">
            <w:pPr>
              <w:ind w:firstLine="482"/>
              <w:rPr>
                <w:b/>
                <w:bCs/>
              </w:rPr>
            </w:pPr>
            <w:r>
              <w:rPr>
                <w:rFonts w:hint="eastAsia"/>
                <w:b/>
                <w:bCs/>
              </w:rPr>
              <w:t>一、生态环境分区管控符合性分析</w:t>
            </w:r>
          </w:p>
          <w:p w14:paraId="5C3C3E57">
            <w:pPr>
              <w:ind w:firstLine="482"/>
              <w:rPr>
                <w:b/>
                <w:bCs/>
              </w:rPr>
            </w:pPr>
            <w:r>
              <w:rPr>
                <w:rFonts w:hint="eastAsia"/>
                <w:b/>
                <w:bCs/>
              </w:rPr>
              <w:t>（</w:t>
            </w:r>
            <w:r>
              <w:rPr>
                <w:b/>
                <w:bCs/>
              </w:rPr>
              <w:t>1</w:t>
            </w:r>
            <w:r>
              <w:rPr>
                <w:rFonts w:hint="eastAsia"/>
                <w:b/>
                <w:bCs/>
              </w:rPr>
              <w:t>）与遂宁市生态环境分区管控符合性分析</w:t>
            </w:r>
          </w:p>
          <w:p w14:paraId="0E30847F">
            <w:pPr>
              <w:ind w:firstLine="480"/>
            </w:pPr>
            <w:r>
              <w:rPr>
                <w:rFonts w:hint="eastAsia"/>
              </w:rPr>
              <w:t>根据《遂宁市人民政府关于落实生态保护红线、环境质量底线、资源</w:t>
            </w:r>
            <w:r>
              <w:t xml:space="preserve"> </w:t>
            </w:r>
            <w:r>
              <w:rPr>
                <w:rFonts w:hint="eastAsia"/>
              </w:rPr>
              <w:t>利用上线和生态环境准入清单实施生态环境分区管控的通知》（遂府函〔</w:t>
            </w:r>
            <w:r>
              <w:t>2021</w:t>
            </w:r>
            <w:r>
              <w:rPr>
                <w:rFonts w:hint="eastAsia"/>
              </w:rPr>
              <w:t>〕</w:t>
            </w:r>
            <w:r>
              <w:t>74</w:t>
            </w:r>
            <w:r>
              <w:rPr>
                <w:rFonts w:hint="eastAsia"/>
              </w:rPr>
              <w:t>号）：</w:t>
            </w:r>
          </w:p>
          <w:p w14:paraId="7657BD65">
            <w:pPr>
              <w:ind w:firstLine="0" w:firstLineChars="0"/>
              <w:jc w:val="center"/>
            </w:pPr>
            <w:r>
              <mc:AlternateContent>
                <mc:Choice Requires="wps">
                  <w:drawing>
                    <wp:anchor distT="0" distB="0" distL="114300" distR="114300" simplePos="0" relativeHeight="251662336" behindDoc="0" locked="0" layoutInCell="1" allowOverlap="1">
                      <wp:simplePos x="0" y="0"/>
                      <wp:positionH relativeFrom="column">
                        <wp:posOffset>137160</wp:posOffset>
                      </wp:positionH>
                      <wp:positionV relativeFrom="paragraph">
                        <wp:posOffset>769620</wp:posOffset>
                      </wp:positionV>
                      <wp:extent cx="1285875" cy="386715"/>
                      <wp:effectExtent l="0" t="0" r="66675" b="927735"/>
                      <wp:wrapNone/>
                      <wp:docPr id="1969208653" name="矩形标注 12"/>
                      <wp:cNvGraphicFramePr/>
                      <a:graphic xmlns:a="http://schemas.openxmlformats.org/drawingml/2006/main">
                        <a:graphicData uri="http://schemas.microsoft.com/office/word/2010/wordprocessingShape">
                          <wps:wsp>
                            <wps:cNvSpPr/>
                            <wps:spPr>
                              <a:xfrm>
                                <a:off x="0" y="0"/>
                                <a:ext cx="1285875" cy="386715"/>
                              </a:xfrm>
                              <a:prstGeom prst="wedgeRectCallout">
                                <a:avLst>
                                  <a:gd name="adj1" fmla="val 51506"/>
                                  <a:gd name="adj2" fmla="val 277046"/>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73B5115">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本项目所在地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矩形标注 12" o:spid="_x0000_s1026" o:spt="61" type="#_x0000_t61" style="position:absolute;left:0pt;margin-left:10.8pt;margin-top:60.6pt;height:30.45pt;width:101.25pt;z-index:251662336;v-text-anchor:middle;mso-width-relative:page;mso-height-relative:page;" filled="f" stroked="t" coordsize="21600,21600" o:gfxdata="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KbC6wLUAAAACgEAAA8AAAAAAAAAAQAgAAAAIgAAAGRycy9kb3du&#10;cmV2LnhtbFBLAQIUABQAAAAIAIdO4kB6rOTArgIAAEQFAAAOAAAAAAAAAAEAIAAAACMBAABkcnMv&#10;ZTJvRG9jLnhtbFBLBQYAAAAABgAGAFkBAABDBgAAAAA=&#10;" adj="21925,70642">
                      <v:fill on="f" focussize="0,0"/>
                      <v:stroke weight="1pt" color="#000000 [3213]" miterlimit="8" joinstyle="miter"/>
                      <v:imagedata o:title=""/>
                      <o:lock v:ext="edit" aspectratio="f"/>
                      <v:textbox>
                        <w:txbxContent>
                          <w:p w14:paraId="573B5115">
                            <w:pPr>
                              <w:ind w:firstLine="0" w:firstLineChars="0"/>
                              <w:jc w:val="center"/>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本项目所在地</w:t>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1424305</wp:posOffset>
                      </wp:positionH>
                      <wp:positionV relativeFrom="paragraph">
                        <wp:posOffset>2038985</wp:posOffset>
                      </wp:positionV>
                      <wp:extent cx="45720" cy="45720"/>
                      <wp:effectExtent l="0" t="0" r="12065" b="12065"/>
                      <wp:wrapNone/>
                      <wp:docPr id="2089911942" name="椭圆 4"/>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C000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椭圆 4" o:spid="_x0000_s1026" o:spt="3" type="#_x0000_t3" style="position:absolute;left:0pt;margin-left:112.15pt;margin-top:160.55pt;height:3.6pt;width:3.6pt;z-index:251661312;v-text-anchor:middle;mso-width-relative:page;mso-height-relative:page;" fillcolor="#C00000" filled="t" stroked="t" coordsize="21600,21600" o:gfxdata="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Ts20PaAAAACwEAAA8AAAAAAAAAAQAgAAAAIgAAAGRycy9k&#10;b3ducmV2LnhtbFBLAQIUABQAAAAIAIdO4kBM+A3IcgIAAP0EAAAOAAAAAAAAAAEAIAAAACkBAABk&#10;cnMvZTJvRG9jLnhtbFBLBQYAAAAABgAGAFkBAAANBgAAAAA=&#10;">
                      <v:fill on="t" focussize="0,0"/>
                      <v:stroke weight="1pt" color="#000000 [3213]" miterlimit="8" joinstyle="miter"/>
                      <v:imagedata o:title=""/>
                      <o:lock v:ext="edit" aspectratio="f"/>
                    </v:shape>
                  </w:pict>
                </mc:Fallback>
              </mc:AlternateContent>
            </w:r>
            <w:r>
              <w:drawing>
                <wp:inline distT="0" distB="0" distL="0" distR="0">
                  <wp:extent cx="4593590" cy="3316605"/>
                  <wp:effectExtent l="0" t="0" r="0" b="5080"/>
                  <wp:docPr id="11989238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23817" name="图片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593590" cy="3316605"/>
                          </a:xfrm>
                          <a:prstGeom prst="rect">
                            <a:avLst/>
                          </a:prstGeom>
                          <a:noFill/>
                          <a:ln>
                            <a:noFill/>
                          </a:ln>
                        </pic:spPr>
                      </pic:pic>
                    </a:graphicData>
                  </a:graphic>
                </wp:inline>
              </w:drawing>
            </w:r>
          </w:p>
          <w:p w14:paraId="1F09D3EA">
            <w:pPr>
              <w:pStyle w:val="85"/>
            </w:pPr>
            <w:r>
              <w:rPr>
                <w:rFonts w:hint="eastAsia"/>
              </w:rPr>
              <w:t>遂宁</w:t>
            </w:r>
            <w:r>
              <w:t>市环境管控单元分布图</w:t>
            </w:r>
          </w:p>
          <w:p w14:paraId="5713742D">
            <w:pPr>
              <w:ind w:firstLine="480"/>
            </w:pPr>
            <w:r>
              <w:rPr>
                <w:rFonts w:hint="eastAsia"/>
              </w:rPr>
              <w:t>本项目位于大英经济开发区</w:t>
            </w:r>
            <w:r>
              <w:rPr>
                <w:rFonts w:hint="eastAsia"/>
                <w:lang w:val="zh-CN"/>
              </w:rPr>
              <w:t>，属于工业重点管控单元。</w:t>
            </w:r>
          </w:p>
          <w:p w14:paraId="205CB6B8">
            <w:pPr>
              <w:pStyle w:val="35"/>
            </w:pPr>
            <w:r>
              <w:t xml:space="preserve">  </w:t>
            </w:r>
            <w:r>
              <w:rPr>
                <w:rFonts w:hint="eastAsia"/>
              </w:rPr>
              <w:t>本项目与遂府函〔</w:t>
            </w:r>
            <w:r>
              <w:t>2021</w:t>
            </w:r>
            <w:r>
              <w:rPr>
                <w:rFonts w:hint="eastAsia"/>
              </w:rPr>
              <w:t>〕</w:t>
            </w:r>
            <w:r>
              <w:t>74</w:t>
            </w:r>
            <w:r>
              <w:rPr>
                <w:rFonts w:hint="eastAsia"/>
              </w:rPr>
              <w:t>号符合性分析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5032"/>
              <w:gridCol w:w="973"/>
              <w:gridCol w:w="910"/>
            </w:tblGrid>
            <w:tr w14:paraId="60E059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71" w:type="pct"/>
                  <w:shd w:val="clear" w:color="auto" w:fill="auto"/>
                  <w:tcMar>
                    <w:left w:w="28" w:type="dxa"/>
                    <w:right w:w="28" w:type="dxa"/>
                  </w:tcMar>
                  <w:vAlign w:val="center"/>
                </w:tcPr>
                <w:p w14:paraId="1FDA788D">
                  <w:pPr>
                    <w:pStyle w:val="31"/>
                    <w:rPr>
                      <w:b/>
                    </w:rPr>
                  </w:pPr>
                  <w:r>
                    <w:rPr>
                      <w:rFonts w:hint="eastAsia"/>
                      <w:b/>
                    </w:rPr>
                    <w:t>区域</w:t>
                  </w:r>
                </w:p>
              </w:tc>
              <w:tc>
                <w:tcPr>
                  <w:tcW w:w="3296" w:type="pct"/>
                  <w:shd w:val="clear" w:color="auto" w:fill="auto"/>
                  <w:tcMar>
                    <w:left w:w="28" w:type="dxa"/>
                    <w:right w:w="28" w:type="dxa"/>
                  </w:tcMar>
                  <w:vAlign w:val="center"/>
                </w:tcPr>
                <w:p w14:paraId="1B4F8C8C">
                  <w:pPr>
                    <w:pStyle w:val="31"/>
                    <w:rPr>
                      <w:b/>
                    </w:rPr>
                  </w:pPr>
                  <w:r>
                    <w:rPr>
                      <w:rFonts w:hint="eastAsia"/>
                      <w:b/>
                    </w:rPr>
                    <w:t>总体生态环境管控要求</w:t>
                  </w:r>
                </w:p>
              </w:tc>
              <w:tc>
                <w:tcPr>
                  <w:tcW w:w="637" w:type="pct"/>
                  <w:shd w:val="clear" w:color="auto" w:fill="auto"/>
                  <w:tcMar>
                    <w:left w:w="28" w:type="dxa"/>
                    <w:right w:w="28" w:type="dxa"/>
                  </w:tcMar>
                  <w:vAlign w:val="center"/>
                </w:tcPr>
                <w:p w14:paraId="55CF89BC">
                  <w:pPr>
                    <w:pStyle w:val="31"/>
                    <w:rPr>
                      <w:b/>
                    </w:rPr>
                  </w:pPr>
                  <w:r>
                    <w:rPr>
                      <w:rFonts w:hint="eastAsia"/>
                      <w:b/>
                    </w:rPr>
                    <w:t>本项目</w:t>
                  </w:r>
                </w:p>
              </w:tc>
              <w:tc>
                <w:tcPr>
                  <w:tcW w:w="596" w:type="pct"/>
                  <w:shd w:val="clear" w:color="auto" w:fill="auto"/>
                  <w:tcMar>
                    <w:left w:w="28" w:type="dxa"/>
                    <w:right w:w="28" w:type="dxa"/>
                  </w:tcMar>
                  <w:vAlign w:val="center"/>
                </w:tcPr>
                <w:p w14:paraId="15E3D7F4">
                  <w:pPr>
                    <w:pStyle w:val="31"/>
                    <w:rPr>
                      <w:b/>
                    </w:rPr>
                  </w:pPr>
                  <w:r>
                    <w:rPr>
                      <w:rFonts w:hint="eastAsia"/>
                      <w:b/>
                    </w:rPr>
                    <w:t>符合性</w:t>
                  </w:r>
                </w:p>
              </w:tc>
            </w:tr>
            <w:tr w14:paraId="5A99D0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471" w:type="pct"/>
                  <w:shd w:val="clear" w:color="auto" w:fill="auto"/>
                  <w:tcMar>
                    <w:left w:w="28" w:type="dxa"/>
                    <w:right w:w="28" w:type="dxa"/>
                  </w:tcMar>
                  <w:vAlign w:val="center"/>
                </w:tcPr>
                <w:p w14:paraId="19CD9DA9">
                  <w:pPr>
                    <w:pStyle w:val="31"/>
                  </w:pPr>
                  <w:r>
                    <w:rPr>
                      <w:rFonts w:hint="eastAsia"/>
                    </w:rPr>
                    <w:t>遂宁市</w:t>
                  </w:r>
                </w:p>
              </w:tc>
              <w:tc>
                <w:tcPr>
                  <w:tcW w:w="3296" w:type="pct"/>
                  <w:shd w:val="clear" w:color="auto" w:fill="auto"/>
                  <w:tcMar>
                    <w:left w:w="28" w:type="dxa"/>
                    <w:right w:w="28" w:type="dxa"/>
                  </w:tcMar>
                  <w:vAlign w:val="center"/>
                </w:tcPr>
                <w:p w14:paraId="00261DF6">
                  <w:pPr>
                    <w:pStyle w:val="31"/>
                    <w:jc w:val="both"/>
                  </w:pPr>
                  <w:r>
                    <w:rPr>
                      <w:rFonts w:hint="eastAsia"/>
                    </w:rPr>
                    <w:t>（</w:t>
                  </w:r>
                  <w:r>
                    <w:t>1</w:t>
                  </w:r>
                  <w:r>
                    <w:rPr>
                      <w:rFonts w:hint="eastAsia"/>
                    </w:rPr>
                    <w:t>）新建、改建、扩建增加重点重金属污染物排放的建设项目需满足区域重点重金属总量管控要求，对有色冶炼、电镀、采选、化工、铅蓄电池制造业、皮革等涉重企业含重点重金属（汞、镉、铅、砷、铬）执行严格的准入条件，严控环境风险；</w:t>
                  </w:r>
                </w:p>
                <w:p w14:paraId="5158175F">
                  <w:pPr>
                    <w:pStyle w:val="31"/>
                    <w:jc w:val="both"/>
                  </w:pPr>
                  <w:r>
                    <w:rPr>
                      <w:rFonts w:hint="eastAsia"/>
                    </w:rPr>
                    <w:t>（</w:t>
                  </w:r>
                  <w:r>
                    <w:t>2</w:t>
                  </w:r>
                  <w:r>
                    <w:rPr>
                      <w:rFonts w:hint="eastAsia"/>
                    </w:rPr>
                    <w:t>）锂电产业中锂离子电池行业引入，严格执行其行业资源环境绩效指标准入要求；</w:t>
                  </w:r>
                </w:p>
                <w:p w14:paraId="3B856969">
                  <w:pPr>
                    <w:pStyle w:val="31"/>
                    <w:jc w:val="both"/>
                  </w:pPr>
                  <w:r>
                    <w:rPr>
                      <w:rFonts w:hint="eastAsia"/>
                    </w:rPr>
                    <w:t>（</w:t>
                  </w:r>
                  <w:r>
                    <w:t>3</w:t>
                  </w:r>
                  <w:r>
                    <w:rPr>
                      <w:rFonts w:hint="eastAsia"/>
                    </w:rPr>
                    <w:t>）全市大气污染物排放执行《四川省生态环境厅关于执行大气污染物特别排放限值的公告》相关要求；</w:t>
                  </w:r>
                </w:p>
                <w:p w14:paraId="0829B777">
                  <w:pPr>
                    <w:pStyle w:val="31"/>
                    <w:jc w:val="both"/>
                  </w:pPr>
                  <w:r>
                    <w:rPr>
                      <w:rFonts w:hint="eastAsia"/>
                    </w:rPr>
                    <w:t>（</w:t>
                  </w:r>
                  <w:r>
                    <w:t>4</w:t>
                  </w:r>
                  <w:r>
                    <w:rPr>
                      <w:rFonts w:hint="eastAsia"/>
                    </w:rPr>
                    <w:t>）强化沿江化工企业与园区的污染治理与风险管控，细化突发环境事件风险管控措施，严控流域型环境风险；严格落实《生态环境部 水利部关于建立跨省流域上下游突发水污染事件联防联控机制的指导意见》；</w:t>
                  </w:r>
                </w:p>
                <w:p w14:paraId="43700D4C">
                  <w:pPr>
                    <w:pStyle w:val="31"/>
                    <w:jc w:val="both"/>
                  </w:pPr>
                  <w:r>
                    <w:rPr>
                      <w:rFonts w:hint="eastAsia"/>
                    </w:rPr>
                    <w:t>（</w:t>
                  </w:r>
                  <w:r>
                    <w:t>5</w:t>
                  </w:r>
                  <w:r>
                    <w:rPr>
                      <w:rFonts w:hint="eastAsia"/>
                    </w:rPr>
                    <w:t>）优化中心城区园区布局。</w:t>
                  </w:r>
                </w:p>
              </w:tc>
              <w:tc>
                <w:tcPr>
                  <w:tcW w:w="637" w:type="pct"/>
                  <w:vMerge w:val="restart"/>
                  <w:shd w:val="clear" w:color="auto" w:fill="auto"/>
                  <w:tcMar>
                    <w:left w:w="28" w:type="dxa"/>
                    <w:right w:w="28" w:type="dxa"/>
                  </w:tcMar>
                  <w:vAlign w:val="center"/>
                </w:tcPr>
                <w:p w14:paraId="3CBAF7DF">
                  <w:pPr>
                    <w:pStyle w:val="31"/>
                    <w:rPr>
                      <w:highlight w:val="yellow"/>
                    </w:rPr>
                  </w:pPr>
                  <w:r>
                    <w:rPr>
                      <w:rFonts w:hint="eastAsia"/>
                    </w:rPr>
                    <w:t>本项目为</w:t>
                  </w:r>
                  <w:r>
                    <w:rPr>
                      <w:rFonts w:hint="eastAsia"/>
                      <w:szCs w:val="24"/>
                    </w:rPr>
                    <w:t>热力生产和供应项目，不属于</w:t>
                  </w:r>
                  <w:r>
                    <w:rPr>
                      <w:rFonts w:hint="eastAsia"/>
                    </w:rPr>
                    <w:t>重金属污染物排放项目。项目废气经处置后排放，满足大气污染物特别排放限值。</w:t>
                  </w:r>
                </w:p>
              </w:tc>
              <w:tc>
                <w:tcPr>
                  <w:tcW w:w="596" w:type="pct"/>
                  <w:shd w:val="clear" w:color="auto" w:fill="auto"/>
                  <w:tcMar>
                    <w:left w:w="28" w:type="dxa"/>
                    <w:right w:w="28" w:type="dxa"/>
                  </w:tcMar>
                  <w:vAlign w:val="center"/>
                </w:tcPr>
                <w:p w14:paraId="6BC408FD">
                  <w:pPr>
                    <w:pStyle w:val="31"/>
                  </w:pPr>
                  <w:r>
                    <w:rPr>
                      <w:rFonts w:hint="eastAsia"/>
                    </w:rPr>
                    <w:t>符合</w:t>
                  </w:r>
                </w:p>
              </w:tc>
            </w:tr>
            <w:tr w14:paraId="093E1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2" w:hRule="atLeast"/>
                <w:jc w:val="center"/>
              </w:trPr>
              <w:tc>
                <w:tcPr>
                  <w:tcW w:w="471" w:type="pct"/>
                  <w:shd w:val="clear" w:color="auto" w:fill="auto"/>
                  <w:tcMar>
                    <w:left w:w="28" w:type="dxa"/>
                    <w:right w:w="28" w:type="dxa"/>
                  </w:tcMar>
                  <w:vAlign w:val="center"/>
                </w:tcPr>
                <w:p w14:paraId="59D0D7B3">
                  <w:pPr>
                    <w:pStyle w:val="31"/>
                  </w:pPr>
                  <w:r>
                    <w:rPr>
                      <w:rFonts w:hint="eastAsia"/>
                    </w:rPr>
                    <w:t>大英县</w:t>
                  </w:r>
                </w:p>
              </w:tc>
              <w:tc>
                <w:tcPr>
                  <w:tcW w:w="3296" w:type="pct"/>
                  <w:shd w:val="clear" w:color="auto" w:fill="auto"/>
                  <w:tcMar>
                    <w:left w:w="28" w:type="dxa"/>
                    <w:right w:w="28" w:type="dxa"/>
                  </w:tcMar>
                  <w:vAlign w:val="center"/>
                </w:tcPr>
                <w:p w14:paraId="3BEFC399">
                  <w:pPr>
                    <w:pStyle w:val="31"/>
                    <w:jc w:val="both"/>
                  </w:pPr>
                  <w:r>
                    <w:rPr>
                      <w:rFonts w:hint="eastAsia"/>
                    </w:rPr>
                    <w:t>（</w:t>
                  </w:r>
                  <w:r>
                    <w:t>1</w:t>
                  </w:r>
                  <w:r>
                    <w:rPr>
                      <w:rFonts w:hint="eastAsia"/>
                    </w:rPr>
                    <w:t>）加强郪江流域污染治理、农业面源污染治理，严格控制化肥农药使用量，科学划定禁养区，积极推广畜禽清洁养殖和畜禽粪污无害化、资源化处理技术；</w:t>
                  </w:r>
                </w:p>
                <w:p w14:paraId="782F88B0">
                  <w:pPr>
                    <w:pStyle w:val="31"/>
                    <w:jc w:val="both"/>
                  </w:pPr>
                  <w:r>
                    <w:rPr>
                      <w:rFonts w:hint="eastAsia"/>
                    </w:rPr>
                    <w:t>（</w:t>
                  </w:r>
                  <w:r>
                    <w:t>2</w:t>
                  </w:r>
                  <w:r>
                    <w:rPr>
                      <w:rFonts w:hint="eastAsia"/>
                    </w:rPr>
                    <w:t>）现有涉及五类重金属排放的企业，严控污染物排放；</w:t>
                  </w:r>
                </w:p>
                <w:p w14:paraId="529BCC69">
                  <w:pPr>
                    <w:pStyle w:val="31"/>
                    <w:jc w:val="both"/>
                  </w:pPr>
                  <w:r>
                    <w:rPr>
                      <w:rFonts w:hint="eastAsia"/>
                    </w:rPr>
                    <w:t>（</w:t>
                  </w:r>
                  <w:r>
                    <w:t>3</w:t>
                  </w:r>
                  <w:r>
                    <w:rPr>
                      <w:rFonts w:hint="eastAsia"/>
                    </w:rPr>
                    <w:t>）加强污染地块环境风险防控管理。</w:t>
                  </w:r>
                </w:p>
              </w:tc>
              <w:tc>
                <w:tcPr>
                  <w:tcW w:w="637" w:type="pct"/>
                  <w:vMerge w:val="continue"/>
                  <w:shd w:val="clear" w:color="auto" w:fill="auto"/>
                  <w:tcMar>
                    <w:left w:w="28" w:type="dxa"/>
                    <w:right w:w="28" w:type="dxa"/>
                  </w:tcMar>
                  <w:vAlign w:val="center"/>
                </w:tcPr>
                <w:p w14:paraId="3DFDB761">
                  <w:pPr>
                    <w:pStyle w:val="31"/>
                  </w:pPr>
                </w:p>
              </w:tc>
              <w:tc>
                <w:tcPr>
                  <w:tcW w:w="596" w:type="pct"/>
                  <w:shd w:val="clear" w:color="auto" w:fill="auto"/>
                  <w:tcMar>
                    <w:left w:w="28" w:type="dxa"/>
                    <w:right w:w="28" w:type="dxa"/>
                  </w:tcMar>
                  <w:vAlign w:val="center"/>
                </w:tcPr>
                <w:p w14:paraId="4970D8E8">
                  <w:pPr>
                    <w:pStyle w:val="31"/>
                  </w:pPr>
                  <w:r>
                    <w:rPr>
                      <w:rFonts w:hint="eastAsia"/>
                    </w:rPr>
                    <w:t>符合</w:t>
                  </w:r>
                </w:p>
              </w:tc>
            </w:tr>
          </w:tbl>
          <w:p w14:paraId="2F59241F">
            <w:pPr>
              <w:ind w:firstLine="480"/>
            </w:pPr>
            <w:r>
              <w:rPr>
                <w:rFonts w:hint="eastAsia"/>
              </w:rPr>
              <w:t>综上，本项目建设符合遂宁市、大英县总体管控要求。</w:t>
            </w:r>
          </w:p>
          <w:p w14:paraId="09CB9401">
            <w:pPr>
              <w:ind w:firstLine="482"/>
              <w:rPr>
                <w:b/>
                <w:bCs/>
              </w:rPr>
            </w:pPr>
            <w:r>
              <w:rPr>
                <w:rFonts w:hint="eastAsia"/>
                <w:b/>
                <w:bCs/>
              </w:rPr>
              <w:t>（</w:t>
            </w:r>
            <w:r>
              <w:rPr>
                <w:b/>
                <w:bCs/>
              </w:rPr>
              <w:t>2</w:t>
            </w:r>
            <w:r>
              <w:rPr>
                <w:rFonts w:hint="eastAsia"/>
                <w:b/>
                <w:bCs/>
              </w:rPr>
              <w:t>）与生态环境分区管控符合性分析</w:t>
            </w:r>
          </w:p>
          <w:p w14:paraId="61F99C90">
            <w:pPr>
              <w:ind w:firstLine="480"/>
            </w:pPr>
            <w:r>
              <w:rPr>
                <w:rFonts w:hint="eastAsia"/>
              </w:rPr>
              <w:t>本项目位于</w:t>
            </w:r>
            <w:r>
              <w:rPr>
                <w:rFonts w:hint="eastAsia"/>
                <w:szCs w:val="24"/>
              </w:rPr>
              <w:t>四川省遂宁市大英县经济开发区席家沟村盛马大道中段</w:t>
            </w:r>
            <w:r>
              <w:rPr>
                <w:rFonts w:hint="eastAsia"/>
              </w:rPr>
              <w:t>，根据四川政务服务网生态环境分区管控符合性分析系统查询结果，本项目涉及环境管控单元如下：</w:t>
            </w:r>
          </w:p>
          <w:p w14:paraId="3FF834FA">
            <w:pPr>
              <w:ind w:firstLine="0" w:firstLineChars="0"/>
              <w:jc w:val="center"/>
            </w:pPr>
            <w:r>
              <w:drawing>
                <wp:inline distT="0" distB="0" distL="0" distR="0">
                  <wp:extent cx="4665980" cy="3371850"/>
                  <wp:effectExtent l="0" t="0" r="1270" b="0"/>
                  <wp:docPr id="5223377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37723" name="图片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680385" cy="3382260"/>
                          </a:xfrm>
                          <a:prstGeom prst="rect">
                            <a:avLst/>
                          </a:prstGeom>
                          <a:noFill/>
                          <a:ln>
                            <a:noFill/>
                          </a:ln>
                        </pic:spPr>
                      </pic:pic>
                    </a:graphicData>
                  </a:graphic>
                </wp:inline>
              </w:drawing>
            </w:r>
          </w:p>
          <w:p w14:paraId="30152D8B">
            <w:pPr>
              <w:pStyle w:val="85"/>
            </w:pPr>
            <w:r>
              <w:rPr>
                <w:rFonts w:hint="eastAsia"/>
              </w:rPr>
              <w:t>本项目生态环境分区管控</w:t>
            </w:r>
            <w:r>
              <w:t>符合性分析查询截图</w:t>
            </w:r>
          </w:p>
          <w:p w14:paraId="3780F55A">
            <w:pPr>
              <w:pStyle w:val="35"/>
              <w:rPr>
                <w:szCs w:val="18"/>
              </w:rPr>
            </w:pPr>
            <w:r>
              <w:t xml:space="preserve">  </w:t>
            </w:r>
            <w:r>
              <w:rPr>
                <w:rFonts w:hint="eastAsia"/>
              </w:rPr>
              <w:t>本项目涉及的环境管控单元一览表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0"/>
              <w:gridCol w:w="1292"/>
              <w:gridCol w:w="1026"/>
              <w:gridCol w:w="764"/>
              <w:gridCol w:w="1329"/>
              <w:gridCol w:w="1433"/>
            </w:tblGrid>
            <w:tr w14:paraId="4B173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3" w:type="pct"/>
                  <w:tcMar>
                    <w:left w:w="28" w:type="dxa"/>
                    <w:right w:w="28" w:type="dxa"/>
                  </w:tcMar>
                  <w:vAlign w:val="center"/>
                </w:tcPr>
                <w:p w14:paraId="69515EF3">
                  <w:pPr>
                    <w:pStyle w:val="31"/>
                    <w:rPr>
                      <w:b/>
                      <w:bCs/>
                    </w:rPr>
                  </w:pPr>
                  <w:r>
                    <w:rPr>
                      <w:rFonts w:hint="eastAsia"/>
                      <w:b/>
                      <w:bCs/>
                    </w:rPr>
                    <w:t>环境管控单元编码</w:t>
                  </w:r>
                </w:p>
              </w:tc>
              <w:tc>
                <w:tcPr>
                  <w:tcW w:w="846" w:type="pct"/>
                  <w:tcMar>
                    <w:left w:w="28" w:type="dxa"/>
                    <w:right w:w="28" w:type="dxa"/>
                  </w:tcMar>
                  <w:vAlign w:val="center"/>
                </w:tcPr>
                <w:p w14:paraId="71B487A3">
                  <w:pPr>
                    <w:pStyle w:val="31"/>
                    <w:rPr>
                      <w:b/>
                      <w:bCs/>
                    </w:rPr>
                  </w:pPr>
                  <w:r>
                    <w:rPr>
                      <w:rFonts w:hint="eastAsia"/>
                      <w:b/>
                      <w:bCs/>
                    </w:rPr>
                    <w:t>环境管控单元名称</w:t>
                  </w:r>
                </w:p>
              </w:tc>
              <w:tc>
                <w:tcPr>
                  <w:tcW w:w="672" w:type="pct"/>
                  <w:tcMar>
                    <w:left w:w="28" w:type="dxa"/>
                    <w:right w:w="28" w:type="dxa"/>
                  </w:tcMar>
                  <w:vAlign w:val="center"/>
                </w:tcPr>
                <w:p w14:paraId="35C45F9E">
                  <w:pPr>
                    <w:pStyle w:val="31"/>
                    <w:rPr>
                      <w:b/>
                      <w:bCs/>
                    </w:rPr>
                  </w:pPr>
                  <w:r>
                    <w:rPr>
                      <w:rFonts w:hint="eastAsia"/>
                      <w:b/>
                      <w:bCs/>
                    </w:rPr>
                    <w:t>所属市（州）</w:t>
                  </w:r>
                </w:p>
              </w:tc>
              <w:tc>
                <w:tcPr>
                  <w:tcW w:w="500" w:type="pct"/>
                  <w:tcMar>
                    <w:left w:w="28" w:type="dxa"/>
                    <w:right w:w="28" w:type="dxa"/>
                  </w:tcMar>
                  <w:vAlign w:val="center"/>
                </w:tcPr>
                <w:p w14:paraId="4994FD59">
                  <w:pPr>
                    <w:pStyle w:val="31"/>
                    <w:rPr>
                      <w:b/>
                      <w:bCs/>
                    </w:rPr>
                  </w:pPr>
                  <w:r>
                    <w:rPr>
                      <w:rFonts w:hint="eastAsia"/>
                      <w:b/>
                      <w:bCs/>
                    </w:rPr>
                    <w:t>所属区县</w:t>
                  </w:r>
                </w:p>
              </w:tc>
              <w:tc>
                <w:tcPr>
                  <w:tcW w:w="870" w:type="pct"/>
                  <w:tcMar>
                    <w:left w:w="28" w:type="dxa"/>
                    <w:right w:w="28" w:type="dxa"/>
                  </w:tcMar>
                  <w:vAlign w:val="center"/>
                </w:tcPr>
                <w:p w14:paraId="73C82E13">
                  <w:pPr>
                    <w:pStyle w:val="31"/>
                    <w:rPr>
                      <w:b/>
                      <w:bCs/>
                    </w:rPr>
                  </w:pPr>
                  <w:r>
                    <w:rPr>
                      <w:rFonts w:hint="eastAsia"/>
                      <w:b/>
                      <w:bCs/>
                    </w:rPr>
                    <w:t>准入清单类型</w:t>
                  </w:r>
                </w:p>
              </w:tc>
              <w:tc>
                <w:tcPr>
                  <w:tcW w:w="938" w:type="pct"/>
                  <w:tcMar>
                    <w:left w:w="28" w:type="dxa"/>
                    <w:right w:w="28" w:type="dxa"/>
                  </w:tcMar>
                  <w:vAlign w:val="center"/>
                </w:tcPr>
                <w:p w14:paraId="619C7A93">
                  <w:pPr>
                    <w:pStyle w:val="31"/>
                    <w:rPr>
                      <w:b/>
                      <w:bCs/>
                    </w:rPr>
                  </w:pPr>
                  <w:r>
                    <w:rPr>
                      <w:rFonts w:hint="eastAsia"/>
                      <w:b/>
                      <w:bCs/>
                    </w:rPr>
                    <w:t>管控类型</w:t>
                  </w:r>
                </w:p>
              </w:tc>
            </w:tr>
            <w:tr w14:paraId="274444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3" w:type="pct"/>
                  <w:tcMar>
                    <w:left w:w="28" w:type="dxa"/>
                    <w:right w:w="28" w:type="dxa"/>
                  </w:tcMar>
                  <w:vAlign w:val="center"/>
                </w:tcPr>
                <w:p w14:paraId="543261E7">
                  <w:pPr>
                    <w:pStyle w:val="31"/>
                  </w:pPr>
                  <w:r>
                    <w:rPr>
                      <w:rFonts w:hint="eastAsia"/>
                    </w:rPr>
                    <w:t>YS5109232310001</w:t>
                  </w:r>
                </w:p>
              </w:tc>
              <w:tc>
                <w:tcPr>
                  <w:tcW w:w="846" w:type="pct"/>
                  <w:tcMar>
                    <w:left w:w="28" w:type="dxa"/>
                    <w:right w:w="28" w:type="dxa"/>
                  </w:tcMar>
                  <w:vAlign w:val="center"/>
                </w:tcPr>
                <w:p w14:paraId="2BE2B176">
                  <w:pPr>
                    <w:pStyle w:val="31"/>
                  </w:pPr>
                  <w:r>
                    <w:rPr>
                      <w:rFonts w:hint="eastAsia"/>
                    </w:rPr>
                    <w:t>大英县工业集中发展区(含经开区)</w:t>
                  </w:r>
                </w:p>
              </w:tc>
              <w:tc>
                <w:tcPr>
                  <w:tcW w:w="672" w:type="pct"/>
                  <w:tcMar>
                    <w:left w:w="28" w:type="dxa"/>
                    <w:right w:w="28" w:type="dxa"/>
                  </w:tcMar>
                  <w:vAlign w:val="center"/>
                </w:tcPr>
                <w:p w14:paraId="32BECDD7">
                  <w:pPr>
                    <w:pStyle w:val="31"/>
                  </w:pPr>
                  <w:r>
                    <w:rPr>
                      <w:rFonts w:hint="eastAsia"/>
                    </w:rPr>
                    <w:t>遂宁市</w:t>
                  </w:r>
                </w:p>
              </w:tc>
              <w:tc>
                <w:tcPr>
                  <w:tcW w:w="500" w:type="pct"/>
                  <w:tcMar>
                    <w:left w:w="28" w:type="dxa"/>
                    <w:right w:w="28" w:type="dxa"/>
                  </w:tcMar>
                  <w:vAlign w:val="center"/>
                </w:tcPr>
                <w:p w14:paraId="5CEB8001">
                  <w:pPr>
                    <w:pStyle w:val="31"/>
                  </w:pPr>
                  <w:r>
                    <w:rPr>
                      <w:rFonts w:hint="eastAsia"/>
                    </w:rPr>
                    <w:t>大英县</w:t>
                  </w:r>
                </w:p>
              </w:tc>
              <w:tc>
                <w:tcPr>
                  <w:tcW w:w="870" w:type="pct"/>
                  <w:tcMar>
                    <w:left w:w="28" w:type="dxa"/>
                    <w:right w:w="28" w:type="dxa"/>
                  </w:tcMar>
                  <w:vAlign w:val="center"/>
                </w:tcPr>
                <w:p w14:paraId="519A8A77">
                  <w:pPr>
                    <w:pStyle w:val="31"/>
                  </w:pPr>
                  <w:r>
                    <w:rPr>
                      <w:rFonts w:hint="eastAsia"/>
                    </w:rPr>
                    <w:t>大气环境管控分区</w:t>
                  </w:r>
                </w:p>
              </w:tc>
              <w:tc>
                <w:tcPr>
                  <w:tcW w:w="938" w:type="pct"/>
                  <w:tcMar>
                    <w:left w:w="28" w:type="dxa"/>
                    <w:right w:w="28" w:type="dxa"/>
                  </w:tcMar>
                  <w:vAlign w:val="center"/>
                </w:tcPr>
                <w:p w14:paraId="30BEEAD9">
                  <w:pPr>
                    <w:pStyle w:val="31"/>
                  </w:pPr>
                  <w:r>
                    <w:rPr>
                      <w:rFonts w:hint="eastAsia"/>
                    </w:rPr>
                    <w:t>大气环境高排放重点管控区</w:t>
                  </w:r>
                </w:p>
              </w:tc>
            </w:tr>
            <w:tr w14:paraId="1E0534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3" w:type="pct"/>
                  <w:tcMar>
                    <w:left w:w="28" w:type="dxa"/>
                    <w:right w:w="28" w:type="dxa"/>
                  </w:tcMar>
                  <w:vAlign w:val="center"/>
                </w:tcPr>
                <w:p w14:paraId="010D4866">
                  <w:pPr>
                    <w:pStyle w:val="31"/>
                  </w:pPr>
                  <w:r>
                    <w:rPr>
                      <w:rFonts w:hint="eastAsia"/>
                    </w:rPr>
                    <w:t>YS5109232530001</w:t>
                  </w:r>
                </w:p>
              </w:tc>
              <w:tc>
                <w:tcPr>
                  <w:tcW w:w="846" w:type="pct"/>
                  <w:tcMar>
                    <w:left w:w="28" w:type="dxa"/>
                    <w:right w:w="28" w:type="dxa"/>
                  </w:tcMar>
                  <w:vAlign w:val="center"/>
                </w:tcPr>
                <w:p w14:paraId="759F26B3">
                  <w:pPr>
                    <w:pStyle w:val="31"/>
                  </w:pPr>
                  <w:r>
                    <w:rPr>
                      <w:rFonts w:hint="eastAsia"/>
                    </w:rPr>
                    <w:t>大英县城镇开发边界</w:t>
                  </w:r>
                </w:p>
              </w:tc>
              <w:tc>
                <w:tcPr>
                  <w:tcW w:w="672" w:type="pct"/>
                  <w:tcMar>
                    <w:left w:w="28" w:type="dxa"/>
                    <w:right w:w="28" w:type="dxa"/>
                  </w:tcMar>
                  <w:vAlign w:val="center"/>
                </w:tcPr>
                <w:p w14:paraId="759CA353">
                  <w:pPr>
                    <w:pStyle w:val="31"/>
                  </w:pPr>
                  <w:r>
                    <w:rPr>
                      <w:rFonts w:hint="eastAsia"/>
                    </w:rPr>
                    <w:t>遂宁市</w:t>
                  </w:r>
                </w:p>
              </w:tc>
              <w:tc>
                <w:tcPr>
                  <w:tcW w:w="500" w:type="pct"/>
                  <w:tcMar>
                    <w:left w:w="28" w:type="dxa"/>
                    <w:right w:w="28" w:type="dxa"/>
                  </w:tcMar>
                  <w:vAlign w:val="center"/>
                </w:tcPr>
                <w:p w14:paraId="1532AE1A">
                  <w:pPr>
                    <w:pStyle w:val="31"/>
                  </w:pPr>
                  <w:r>
                    <w:rPr>
                      <w:rFonts w:hint="eastAsia"/>
                    </w:rPr>
                    <w:t>大英县</w:t>
                  </w:r>
                </w:p>
              </w:tc>
              <w:tc>
                <w:tcPr>
                  <w:tcW w:w="870" w:type="pct"/>
                  <w:tcMar>
                    <w:left w:w="28" w:type="dxa"/>
                    <w:right w:w="28" w:type="dxa"/>
                  </w:tcMar>
                  <w:vAlign w:val="center"/>
                </w:tcPr>
                <w:p w14:paraId="544DD42A">
                  <w:pPr>
                    <w:pStyle w:val="31"/>
                  </w:pPr>
                  <w:r>
                    <w:rPr>
                      <w:rFonts w:hint="eastAsia"/>
                    </w:rPr>
                    <w:t>资源管控分区</w:t>
                  </w:r>
                </w:p>
              </w:tc>
              <w:tc>
                <w:tcPr>
                  <w:tcW w:w="938" w:type="pct"/>
                  <w:tcMar>
                    <w:left w:w="28" w:type="dxa"/>
                    <w:right w:w="28" w:type="dxa"/>
                  </w:tcMar>
                  <w:vAlign w:val="center"/>
                </w:tcPr>
                <w:p w14:paraId="48D13C5A">
                  <w:pPr>
                    <w:pStyle w:val="31"/>
                  </w:pPr>
                  <w:r>
                    <w:rPr>
                      <w:rFonts w:hint="eastAsia"/>
                    </w:rPr>
                    <w:t>土地资源重点管控区</w:t>
                  </w:r>
                </w:p>
              </w:tc>
            </w:tr>
            <w:tr w14:paraId="7A3667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3" w:type="pct"/>
                  <w:tcMar>
                    <w:left w:w="28" w:type="dxa"/>
                    <w:right w:w="28" w:type="dxa"/>
                  </w:tcMar>
                  <w:vAlign w:val="center"/>
                </w:tcPr>
                <w:p w14:paraId="48BC9467">
                  <w:pPr>
                    <w:pStyle w:val="31"/>
                  </w:pPr>
                  <w:r>
                    <w:rPr>
                      <w:rFonts w:hint="eastAsia"/>
                    </w:rPr>
                    <w:t>YS5109232540002</w:t>
                  </w:r>
                </w:p>
              </w:tc>
              <w:tc>
                <w:tcPr>
                  <w:tcW w:w="846" w:type="pct"/>
                  <w:tcMar>
                    <w:left w:w="28" w:type="dxa"/>
                    <w:right w:w="28" w:type="dxa"/>
                  </w:tcMar>
                  <w:vAlign w:val="center"/>
                </w:tcPr>
                <w:p w14:paraId="05961534">
                  <w:pPr>
                    <w:pStyle w:val="31"/>
                  </w:pPr>
                  <w:r>
                    <w:rPr>
                      <w:rFonts w:hint="eastAsia"/>
                    </w:rPr>
                    <w:t>四川大英经济开发区</w:t>
                  </w:r>
                </w:p>
              </w:tc>
              <w:tc>
                <w:tcPr>
                  <w:tcW w:w="672" w:type="pct"/>
                  <w:tcMar>
                    <w:left w:w="28" w:type="dxa"/>
                    <w:right w:w="28" w:type="dxa"/>
                  </w:tcMar>
                  <w:vAlign w:val="center"/>
                </w:tcPr>
                <w:p w14:paraId="69B820F0">
                  <w:pPr>
                    <w:pStyle w:val="31"/>
                  </w:pPr>
                  <w:r>
                    <w:rPr>
                      <w:rFonts w:hint="eastAsia"/>
                    </w:rPr>
                    <w:t>遂宁市</w:t>
                  </w:r>
                </w:p>
              </w:tc>
              <w:tc>
                <w:tcPr>
                  <w:tcW w:w="500" w:type="pct"/>
                  <w:tcMar>
                    <w:left w:w="28" w:type="dxa"/>
                    <w:right w:w="28" w:type="dxa"/>
                  </w:tcMar>
                  <w:vAlign w:val="center"/>
                </w:tcPr>
                <w:p w14:paraId="57D4881A">
                  <w:pPr>
                    <w:pStyle w:val="31"/>
                  </w:pPr>
                  <w:r>
                    <w:rPr>
                      <w:rFonts w:hint="eastAsia"/>
                    </w:rPr>
                    <w:t>大英县</w:t>
                  </w:r>
                </w:p>
              </w:tc>
              <w:tc>
                <w:tcPr>
                  <w:tcW w:w="870" w:type="pct"/>
                  <w:tcMar>
                    <w:left w:w="28" w:type="dxa"/>
                    <w:right w:w="28" w:type="dxa"/>
                  </w:tcMar>
                  <w:vAlign w:val="center"/>
                </w:tcPr>
                <w:p w14:paraId="0F764363">
                  <w:pPr>
                    <w:pStyle w:val="31"/>
                  </w:pPr>
                  <w:r>
                    <w:rPr>
                      <w:rFonts w:hint="eastAsia"/>
                    </w:rPr>
                    <w:t>资源管控分区</w:t>
                  </w:r>
                </w:p>
              </w:tc>
              <w:tc>
                <w:tcPr>
                  <w:tcW w:w="938" w:type="pct"/>
                  <w:tcMar>
                    <w:left w:w="28" w:type="dxa"/>
                    <w:right w:w="28" w:type="dxa"/>
                  </w:tcMar>
                  <w:vAlign w:val="center"/>
                </w:tcPr>
                <w:p w14:paraId="4703DCB2">
                  <w:pPr>
                    <w:pStyle w:val="31"/>
                  </w:pPr>
                  <w:r>
                    <w:rPr>
                      <w:rFonts w:hint="eastAsia"/>
                    </w:rPr>
                    <w:t>高污染燃料禁燃区</w:t>
                  </w:r>
                </w:p>
              </w:tc>
            </w:tr>
            <w:tr w14:paraId="1964A4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3" w:type="pct"/>
                  <w:tcMar>
                    <w:left w:w="28" w:type="dxa"/>
                    <w:right w:w="28" w:type="dxa"/>
                  </w:tcMar>
                  <w:vAlign w:val="center"/>
                </w:tcPr>
                <w:p w14:paraId="14218411">
                  <w:pPr>
                    <w:pStyle w:val="31"/>
                  </w:pPr>
                  <w:r>
                    <w:rPr>
                      <w:rFonts w:hint="eastAsia"/>
                    </w:rPr>
                    <w:t>YS5109232550001</w:t>
                  </w:r>
                </w:p>
              </w:tc>
              <w:tc>
                <w:tcPr>
                  <w:tcW w:w="846" w:type="pct"/>
                  <w:tcMar>
                    <w:left w:w="28" w:type="dxa"/>
                    <w:right w:w="28" w:type="dxa"/>
                  </w:tcMar>
                  <w:vAlign w:val="center"/>
                </w:tcPr>
                <w:p w14:paraId="64D43BBE">
                  <w:pPr>
                    <w:pStyle w:val="31"/>
                  </w:pPr>
                  <w:r>
                    <w:rPr>
                      <w:rFonts w:hint="eastAsia"/>
                    </w:rPr>
                    <w:t>大英县自然资源重点管控区</w:t>
                  </w:r>
                </w:p>
              </w:tc>
              <w:tc>
                <w:tcPr>
                  <w:tcW w:w="672" w:type="pct"/>
                  <w:tcMar>
                    <w:left w:w="28" w:type="dxa"/>
                    <w:right w:w="28" w:type="dxa"/>
                  </w:tcMar>
                  <w:vAlign w:val="center"/>
                </w:tcPr>
                <w:p w14:paraId="3D04D160">
                  <w:pPr>
                    <w:pStyle w:val="31"/>
                  </w:pPr>
                  <w:r>
                    <w:rPr>
                      <w:rFonts w:hint="eastAsia"/>
                    </w:rPr>
                    <w:t>遂宁市</w:t>
                  </w:r>
                </w:p>
              </w:tc>
              <w:tc>
                <w:tcPr>
                  <w:tcW w:w="500" w:type="pct"/>
                  <w:tcMar>
                    <w:left w:w="28" w:type="dxa"/>
                    <w:right w:w="28" w:type="dxa"/>
                  </w:tcMar>
                  <w:vAlign w:val="center"/>
                </w:tcPr>
                <w:p w14:paraId="7CE1122F">
                  <w:pPr>
                    <w:pStyle w:val="31"/>
                  </w:pPr>
                  <w:r>
                    <w:rPr>
                      <w:rFonts w:hint="eastAsia"/>
                    </w:rPr>
                    <w:t>大英县</w:t>
                  </w:r>
                </w:p>
              </w:tc>
              <w:tc>
                <w:tcPr>
                  <w:tcW w:w="870" w:type="pct"/>
                  <w:tcMar>
                    <w:left w:w="28" w:type="dxa"/>
                    <w:right w:w="28" w:type="dxa"/>
                  </w:tcMar>
                  <w:vAlign w:val="center"/>
                </w:tcPr>
                <w:p w14:paraId="61838BC2">
                  <w:pPr>
                    <w:pStyle w:val="31"/>
                  </w:pPr>
                  <w:r>
                    <w:rPr>
                      <w:rFonts w:hint="eastAsia"/>
                    </w:rPr>
                    <w:t>资源管控分区</w:t>
                  </w:r>
                </w:p>
              </w:tc>
              <w:tc>
                <w:tcPr>
                  <w:tcW w:w="938" w:type="pct"/>
                  <w:tcMar>
                    <w:left w:w="28" w:type="dxa"/>
                    <w:right w:w="28" w:type="dxa"/>
                  </w:tcMar>
                  <w:vAlign w:val="center"/>
                </w:tcPr>
                <w:p w14:paraId="0E9586E4">
                  <w:pPr>
                    <w:pStyle w:val="31"/>
                  </w:pPr>
                  <w:r>
                    <w:rPr>
                      <w:rFonts w:hint="eastAsia"/>
                    </w:rPr>
                    <w:t>自然资源重点管控区</w:t>
                  </w:r>
                </w:p>
              </w:tc>
            </w:tr>
            <w:tr w14:paraId="5042EF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173" w:type="pct"/>
                  <w:tcMar>
                    <w:left w:w="28" w:type="dxa"/>
                    <w:right w:w="28" w:type="dxa"/>
                  </w:tcMar>
                  <w:vAlign w:val="center"/>
                </w:tcPr>
                <w:p w14:paraId="4507D43C">
                  <w:pPr>
                    <w:pStyle w:val="31"/>
                  </w:pPr>
                  <w:r>
                    <w:rPr>
                      <w:rFonts w:hint="eastAsia"/>
                    </w:rPr>
                    <w:t>ZH51092320002</w:t>
                  </w:r>
                </w:p>
              </w:tc>
              <w:tc>
                <w:tcPr>
                  <w:tcW w:w="846" w:type="pct"/>
                  <w:tcMar>
                    <w:left w:w="28" w:type="dxa"/>
                    <w:right w:w="28" w:type="dxa"/>
                  </w:tcMar>
                  <w:vAlign w:val="center"/>
                </w:tcPr>
                <w:p w14:paraId="5865E6CD">
                  <w:pPr>
                    <w:pStyle w:val="31"/>
                  </w:pPr>
                  <w:r>
                    <w:rPr>
                      <w:rFonts w:hint="eastAsia"/>
                    </w:rPr>
                    <w:t>大英县工业集中发展区(含经开区)</w:t>
                  </w:r>
                </w:p>
              </w:tc>
              <w:tc>
                <w:tcPr>
                  <w:tcW w:w="672" w:type="pct"/>
                  <w:tcMar>
                    <w:left w:w="28" w:type="dxa"/>
                    <w:right w:w="28" w:type="dxa"/>
                  </w:tcMar>
                  <w:vAlign w:val="center"/>
                </w:tcPr>
                <w:p w14:paraId="58541A9E">
                  <w:pPr>
                    <w:pStyle w:val="31"/>
                  </w:pPr>
                  <w:r>
                    <w:rPr>
                      <w:rFonts w:hint="eastAsia"/>
                    </w:rPr>
                    <w:t>遂宁市</w:t>
                  </w:r>
                </w:p>
              </w:tc>
              <w:tc>
                <w:tcPr>
                  <w:tcW w:w="500" w:type="pct"/>
                  <w:tcMar>
                    <w:left w:w="28" w:type="dxa"/>
                    <w:right w:w="28" w:type="dxa"/>
                  </w:tcMar>
                  <w:vAlign w:val="center"/>
                </w:tcPr>
                <w:p w14:paraId="2D8DF891">
                  <w:pPr>
                    <w:pStyle w:val="31"/>
                  </w:pPr>
                  <w:r>
                    <w:rPr>
                      <w:rFonts w:hint="eastAsia"/>
                    </w:rPr>
                    <w:t>大英县</w:t>
                  </w:r>
                </w:p>
              </w:tc>
              <w:tc>
                <w:tcPr>
                  <w:tcW w:w="870" w:type="pct"/>
                  <w:tcMar>
                    <w:left w:w="28" w:type="dxa"/>
                    <w:right w:w="28" w:type="dxa"/>
                  </w:tcMar>
                  <w:vAlign w:val="center"/>
                </w:tcPr>
                <w:p w14:paraId="3A858BFF">
                  <w:pPr>
                    <w:pStyle w:val="31"/>
                  </w:pPr>
                  <w:r>
                    <w:rPr>
                      <w:rFonts w:hint="eastAsia"/>
                    </w:rPr>
                    <w:t>环境综合管控单元</w:t>
                  </w:r>
                </w:p>
              </w:tc>
              <w:tc>
                <w:tcPr>
                  <w:tcW w:w="938" w:type="pct"/>
                  <w:tcMar>
                    <w:left w:w="28" w:type="dxa"/>
                    <w:right w:w="28" w:type="dxa"/>
                  </w:tcMar>
                  <w:vAlign w:val="center"/>
                </w:tcPr>
                <w:p w14:paraId="30588DC1">
                  <w:pPr>
                    <w:pStyle w:val="31"/>
                  </w:pPr>
                  <w:r>
                    <w:rPr>
                      <w:rFonts w:hint="eastAsia"/>
                    </w:rPr>
                    <w:t>环境综合管控单元工业重点管控单元</w:t>
                  </w:r>
                </w:p>
              </w:tc>
            </w:tr>
          </w:tbl>
          <w:p w14:paraId="32FCC22E">
            <w:pPr>
              <w:ind w:firstLine="480"/>
            </w:pPr>
            <w:r>
              <w:rPr>
                <w:rFonts w:hint="eastAsia"/>
              </w:rPr>
              <w:t>由以上分析可知，本项目所在地位于遂宁市大英县环境综合管控单元工业重点管控单元（管控单元名称：大英县工业集中发展区（含经开区），管控单元编号：</w:t>
            </w:r>
            <w:r>
              <w:t>ZH51092320002</w:t>
            </w:r>
            <w:r>
              <w:rPr>
                <w:rFonts w:hint="eastAsia"/>
              </w:rPr>
              <w:t>，项目与管控单元相对位置如下图所示（图中</w:t>
            </w:r>
            <w:r>
              <w:rPr>
                <w:rFonts w:hint="eastAsia"/>
                <w:color w:val="00FFFF"/>
              </w:rPr>
              <w:t>▼</w:t>
            </w:r>
            <w:r>
              <w:rPr>
                <w:rFonts w:hint="eastAsia"/>
              </w:rPr>
              <w:t>表示项目位置）。</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607"/>
            </w:tblGrid>
            <w:tr w14:paraId="3E282D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508" w:type="dxa"/>
                </w:tcPr>
                <w:p w14:paraId="25B22452">
                  <w:pPr>
                    <w:ind w:firstLine="0" w:firstLineChars="0"/>
                    <w:rPr>
                      <w:b/>
                      <w:bCs/>
                    </w:rPr>
                  </w:pPr>
                  <w:r>
                    <w:rPr>
                      <w:rFonts w:ascii="Helvetica" w:hAnsi="Helvetica" w:cs="Helvetica"/>
                      <w:sz w:val="28"/>
                      <w:szCs w:val="28"/>
                    </w:rPr>
                    <w:drawing>
                      <wp:inline distT="0" distB="0" distL="0" distR="0">
                        <wp:extent cx="4693285" cy="3314700"/>
                        <wp:effectExtent l="0" t="0" r="0" b="0"/>
                        <wp:docPr id="1402083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08335" name="图片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697745" cy="3317719"/>
                                </a:xfrm>
                                <a:prstGeom prst="rect">
                                  <a:avLst/>
                                </a:prstGeom>
                                <a:noFill/>
                                <a:ln>
                                  <a:noFill/>
                                </a:ln>
                              </pic:spPr>
                            </pic:pic>
                          </a:graphicData>
                        </a:graphic>
                      </wp:inline>
                    </w:drawing>
                  </w:r>
                </w:p>
              </w:tc>
            </w:tr>
          </w:tbl>
          <w:p w14:paraId="26725E1B">
            <w:pPr>
              <w:pStyle w:val="85"/>
              <w:rPr>
                <w:szCs w:val="20"/>
              </w:rPr>
            </w:pPr>
            <w:r>
              <w:t>项目与管控单元相对位置图</w:t>
            </w:r>
          </w:p>
          <w:p w14:paraId="0C90E79C">
            <w:pPr>
              <w:ind w:firstLine="480"/>
            </w:pPr>
            <w:r>
              <w:rPr>
                <w:rFonts w:hint="eastAsia"/>
              </w:rPr>
              <w:t>本项目与区域生态环境分区管控相关要求的符合性分析如下表。</w:t>
            </w:r>
          </w:p>
          <w:p w14:paraId="2E120F2F">
            <w:pPr>
              <w:ind w:firstLine="0" w:firstLineChars="0"/>
              <w:rPr>
                <w:b/>
                <w:bCs/>
              </w:rPr>
            </w:pPr>
          </w:p>
        </w:tc>
      </w:tr>
    </w:tbl>
    <w:p w14:paraId="158B7451">
      <w:pPr>
        <w:ind w:firstLine="560"/>
        <w:jc w:val="center"/>
        <w:rPr>
          <w:rFonts w:hint="eastAsia" w:ascii="黑体" w:hAnsi="黑体" w:eastAsia="黑体"/>
          <w:sz w:val="28"/>
          <w:szCs w:val="32"/>
        </w:rPr>
        <w:sectPr>
          <w:pgSz w:w="11906" w:h="16838"/>
          <w:pgMar w:top="1440" w:right="1800" w:bottom="1440" w:left="1800" w:header="851" w:footer="992" w:gutter="0"/>
          <w:pgNumType w:start="1"/>
          <w:cols w:space="425" w:num="1"/>
          <w:docGrid w:type="lines" w:linePitch="312" w:charSpace="0"/>
        </w:sect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
        <w:gridCol w:w="13669"/>
      </w:tblGrid>
      <w:tr w14:paraId="6C06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 w:type="dxa"/>
            <w:tcMar>
              <w:left w:w="28" w:type="dxa"/>
              <w:right w:w="28" w:type="dxa"/>
            </w:tcMar>
            <w:vAlign w:val="center"/>
          </w:tcPr>
          <w:p w14:paraId="21F9F2BD">
            <w:pPr>
              <w:ind w:firstLine="0" w:firstLineChars="0"/>
              <w:jc w:val="center"/>
              <w:rPr>
                <w:rFonts w:hint="eastAsia" w:ascii="黑体" w:hAnsi="黑体" w:eastAsia="黑体"/>
                <w:sz w:val="28"/>
                <w:szCs w:val="32"/>
              </w:rPr>
            </w:pPr>
          </w:p>
        </w:tc>
        <w:tc>
          <w:tcPr>
            <w:tcW w:w="13669" w:type="dxa"/>
            <w:tcMar>
              <w:left w:w="28" w:type="dxa"/>
              <w:right w:w="28" w:type="dxa"/>
            </w:tcMar>
            <w:vAlign w:val="center"/>
          </w:tcPr>
          <w:p w14:paraId="0CE1EFB1">
            <w:pPr>
              <w:pStyle w:val="35"/>
            </w:pPr>
            <w:r>
              <w:t xml:space="preserve">  </w:t>
            </w:r>
            <w:r>
              <w:rPr>
                <w:rFonts w:hint="eastAsia"/>
              </w:rPr>
              <w:t>本项目与遂宁市普适性清单符合性一览表</w:t>
            </w:r>
          </w:p>
          <w:tbl>
            <w:tblPr>
              <w:tblStyle w:val="7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911"/>
              <w:gridCol w:w="468"/>
              <w:gridCol w:w="566"/>
              <w:gridCol w:w="7229"/>
              <w:gridCol w:w="3090"/>
              <w:gridCol w:w="349"/>
            </w:tblGrid>
            <w:tr w14:paraId="1F4567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74" w:type="pct"/>
                  <w:gridSpan w:val="2"/>
                  <w:vAlign w:val="center"/>
                </w:tcPr>
                <w:p w14:paraId="52B50129">
                  <w:pPr>
                    <w:pStyle w:val="31"/>
                    <w:rPr>
                      <w:rFonts w:cs="Times New Roman"/>
                      <w:b/>
                      <w:bCs/>
                    </w:rPr>
                  </w:pPr>
                  <w:r>
                    <w:rPr>
                      <w:rFonts w:hint="eastAsia" w:cs="Times New Roman"/>
                      <w:b/>
                      <w:bCs/>
                    </w:rPr>
                    <w:t>环境管控单元名称及单元编号</w:t>
                  </w:r>
                </w:p>
              </w:tc>
              <w:tc>
                <w:tcPr>
                  <w:tcW w:w="2863" w:type="pct"/>
                  <w:gridSpan w:val="2"/>
                  <w:vAlign w:val="center"/>
                </w:tcPr>
                <w:p w14:paraId="04FA7404">
                  <w:pPr>
                    <w:pStyle w:val="31"/>
                    <w:rPr>
                      <w:rFonts w:cs="Times New Roman"/>
                      <w:b/>
                      <w:bCs/>
                    </w:rPr>
                  </w:pPr>
                  <w:r>
                    <w:rPr>
                      <w:rFonts w:hint="eastAsia" w:cs="Times New Roman"/>
                      <w:b/>
                      <w:bCs/>
                    </w:rPr>
                    <w:t>管控要求</w:t>
                  </w:r>
                </w:p>
              </w:tc>
              <w:tc>
                <w:tcPr>
                  <w:tcW w:w="1135" w:type="pct"/>
                  <w:vAlign w:val="center"/>
                </w:tcPr>
                <w:p w14:paraId="17416312">
                  <w:pPr>
                    <w:pStyle w:val="31"/>
                    <w:rPr>
                      <w:rFonts w:cs="Times New Roman"/>
                      <w:b/>
                      <w:bCs/>
                    </w:rPr>
                  </w:pPr>
                  <w:r>
                    <w:rPr>
                      <w:rFonts w:hint="eastAsia" w:cs="Times New Roman"/>
                      <w:b/>
                      <w:bCs/>
                    </w:rPr>
                    <w:t>本项目</w:t>
                  </w:r>
                </w:p>
              </w:tc>
              <w:tc>
                <w:tcPr>
                  <w:tcW w:w="128" w:type="pct"/>
                  <w:vAlign w:val="center"/>
                </w:tcPr>
                <w:p w14:paraId="4282640F">
                  <w:pPr>
                    <w:pStyle w:val="31"/>
                    <w:rPr>
                      <w:rFonts w:cs="Times New Roman"/>
                      <w:b/>
                      <w:bCs/>
                    </w:rPr>
                  </w:pPr>
                  <w:r>
                    <w:rPr>
                      <w:rFonts w:hint="eastAsia" w:cs="Times New Roman"/>
                      <w:b/>
                      <w:bCs/>
                    </w:rPr>
                    <w:t>符合性</w:t>
                  </w:r>
                </w:p>
              </w:tc>
            </w:tr>
            <w:tr w14:paraId="55327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restart"/>
                  <w:vAlign w:val="center"/>
                </w:tcPr>
                <w:p w14:paraId="44B26ABD">
                  <w:pPr>
                    <w:pStyle w:val="31"/>
                    <w:rPr>
                      <w:rFonts w:cs="Times New Roman"/>
                    </w:rPr>
                  </w:pPr>
                  <w:r>
                    <w:rPr>
                      <w:rFonts w:hint="eastAsia" w:cs="Times New Roman"/>
                    </w:rPr>
                    <w:t>大英县工业集中发展区（含经开区）（</w:t>
                  </w:r>
                  <w:r>
                    <w:rPr>
                      <w:rFonts w:cs="Times New Roman"/>
                    </w:rPr>
                    <w:t>ZH51092320002</w:t>
                  </w:r>
                  <w:r>
                    <w:rPr>
                      <w:rFonts w:hint="eastAsia" w:cs="Times New Roman"/>
                    </w:rPr>
                    <w:t>）</w:t>
                  </w:r>
                </w:p>
              </w:tc>
              <w:tc>
                <w:tcPr>
                  <w:tcW w:w="172" w:type="pct"/>
                  <w:vMerge w:val="restart"/>
                  <w:vAlign w:val="center"/>
                </w:tcPr>
                <w:p w14:paraId="0BB59FBE">
                  <w:pPr>
                    <w:pStyle w:val="31"/>
                    <w:rPr>
                      <w:rFonts w:cs="Times New Roman"/>
                    </w:rPr>
                  </w:pPr>
                  <w:r>
                    <w:rPr>
                      <w:rFonts w:hint="eastAsia" w:cs="Times New Roman"/>
                    </w:rPr>
                    <w:t>遂宁市普适性清单</w:t>
                  </w:r>
                </w:p>
              </w:tc>
              <w:tc>
                <w:tcPr>
                  <w:tcW w:w="208" w:type="pct"/>
                  <w:vMerge w:val="restart"/>
                  <w:vAlign w:val="center"/>
                </w:tcPr>
                <w:p w14:paraId="51BDEFA6">
                  <w:pPr>
                    <w:pStyle w:val="31"/>
                    <w:rPr>
                      <w:rFonts w:cs="Times New Roman"/>
                    </w:rPr>
                  </w:pPr>
                  <w:r>
                    <w:rPr>
                      <w:rFonts w:hint="eastAsia" w:cs="Times New Roman"/>
                    </w:rPr>
                    <w:t>空间布局约束</w:t>
                  </w:r>
                </w:p>
              </w:tc>
              <w:tc>
                <w:tcPr>
                  <w:tcW w:w="2655" w:type="pct"/>
                  <w:vAlign w:val="center"/>
                </w:tcPr>
                <w:p w14:paraId="7E9F92E9">
                  <w:pPr>
                    <w:pStyle w:val="31"/>
                    <w:jc w:val="both"/>
                    <w:rPr>
                      <w:rFonts w:cs="Times New Roman"/>
                    </w:rPr>
                  </w:pPr>
                  <w:r>
                    <w:rPr>
                      <w:rFonts w:hint="eastAsia" w:cs="Times New Roman"/>
                    </w:rPr>
                    <w:t>禁止开发建设活动的要求：</w:t>
                  </w:r>
                </w:p>
                <w:p w14:paraId="4AD3EC28">
                  <w:pPr>
                    <w:pStyle w:val="31"/>
                    <w:jc w:val="both"/>
                    <w:rPr>
                      <w:rFonts w:cs="Times New Roman"/>
                    </w:rPr>
                  </w:pPr>
                  <w:r>
                    <w:rPr>
                      <w:rFonts w:hint="eastAsia" w:cs="Times New Roman"/>
                    </w:rPr>
                    <w:t>1.禁止引入不符合园区用地性质或产业规划的工业企业。</w:t>
                  </w:r>
                </w:p>
                <w:p w14:paraId="3F178995">
                  <w:pPr>
                    <w:pStyle w:val="31"/>
                    <w:jc w:val="both"/>
                    <w:rPr>
                      <w:rFonts w:cs="Times New Roman"/>
                    </w:rPr>
                  </w:pPr>
                  <w:r>
                    <w:rPr>
                      <w:rFonts w:hint="eastAsia" w:cs="Times New Roman"/>
                    </w:rPr>
                    <w:t>2.禁止在长江干支流、重要湖泊岸线一公里范围内新建、扩建化工园区和化工项目。</w:t>
                  </w:r>
                </w:p>
                <w:p w14:paraId="0505E4CF">
                  <w:pPr>
                    <w:pStyle w:val="31"/>
                    <w:jc w:val="both"/>
                    <w:rPr>
                      <w:rFonts w:cs="Times New Roman"/>
                    </w:rPr>
                  </w:pPr>
                  <w:r>
                    <w:rPr>
                      <w:rFonts w:hint="eastAsia" w:cs="Times New Roman"/>
                    </w:rPr>
                    <w:t>3.禁止在长江流域河湖管理范围内倾倒、填埋、堆放、弃置、处理固体废物。</w:t>
                  </w:r>
                </w:p>
                <w:p w14:paraId="4E279E35">
                  <w:pPr>
                    <w:pStyle w:val="31"/>
                    <w:jc w:val="both"/>
                    <w:rPr>
                      <w:rFonts w:cs="Times New Roman"/>
                    </w:rPr>
                  </w:pPr>
                  <w:r>
                    <w:rPr>
                      <w:rFonts w:hint="eastAsia" w:cs="Times New Roman"/>
                    </w:rPr>
                    <w:t>4.未通过认定的化工园区，不得新建、改扩建化工项目（安全、环保、节能和智能化改造项目除外），按属地原则依法依规妥善做好未通过认定化工园区及园内企业的转型、关闭、处置及监管工作。</w:t>
                  </w:r>
                </w:p>
              </w:tc>
              <w:tc>
                <w:tcPr>
                  <w:tcW w:w="1135" w:type="pct"/>
                  <w:vAlign w:val="center"/>
                </w:tcPr>
                <w:p w14:paraId="60ED3C41">
                  <w:pPr>
                    <w:pStyle w:val="31"/>
                    <w:rPr>
                      <w:rFonts w:cs="Times New Roman"/>
                    </w:rPr>
                  </w:pPr>
                  <w:r>
                    <w:rPr>
                      <w:rFonts w:hint="eastAsia" w:cs="Times New Roman"/>
                    </w:rPr>
                    <w:t>本项目为</w:t>
                  </w:r>
                  <w:r>
                    <w:rPr>
                      <w:rFonts w:hint="eastAsia" w:cs="Times New Roman"/>
                      <w:szCs w:val="24"/>
                    </w:rPr>
                    <w:t>热力生产和供应项目，项目</w:t>
                  </w:r>
                  <w:r>
                    <w:rPr>
                      <w:rFonts w:hint="eastAsia" w:cs="Times New Roman"/>
                    </w:rPr>
                    <w:t>位于</w:t>
                  </w:r>
                  <w:r>
                    <w:rPr>
                      <w:rFonts w:hint="eastAsia" w:cs="Times New Roman"/>
                      <w:szCs w:val="24"/>
                    </w:rPr>
                    <w:t>经济开发区内，用地性质为二类工业用地，且属于园区允许类。本项目固废合理处置。</w:t>
                  </w:r>
                </w:p>
              </w:tc>
              <w:tc>
                <w:tcPr>
                  <w:tcW w:w="128" w:type="pct"/>
                  <w:vAlign w:val="center"/>
                </w:tcPr>
                <w:p w14:paraId="082D8420">
                  <w:pPr>
                    <w:pStyle w:val="31"/>
                    <w:rPr>
                      <w:rFonts w:cs="Times New Roman"/>
                    </w:rPr>
                  </w:pPr>
                  <w:r>
                    <w:rPr>
                      <w:rFonts w:hint="eastAsia" w:cs="Times New Roman"/>
                    </w:rPr>
                    <w:t>符合</w:t>
                  </w:r>
                </w:p>
              </w:tc>
            </w:tr>
            <w:tr w14:paraId="51620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0B5C9F49">
                  <w:pPr>
                    <w:pStyle w:val="31"/>
                    <w:rPr>
                      <w:rFonts w:cs="Times New Roman"/>
                    </w:rPr>
                  </w:pPr>
                </w:p>
              </w:tc>
              <w:tc>
                <w:tcPr>
                  <w:tcW w:w="172" w:type="pct"/>
                  <w:vMerge w:val="continue"/>
                  <w:vAlign w:val="center"/>
                </w:tcPr>
                <w:p w14:paraId="7B576545">
                  <w:pPr>
                    <w:pStyle w:val="31"/>
                    <w:rPr>
                      <w:rFonts w:cs="Times New Roman"/>
                    </w:rPr>
                  </w:pPr>
                </w:p>
              </w:tc>
              <w:tc>
                <w:tcPr>
                  <w:tcW w:w="208" w:type="pct"/>
                  <w:vMerge w:val="continue"/>
                  <w:vAlign w:val="center"/>
                </w:tcPr>
                <w:p w14:paraId="62D4F948">
                  <w:pPr>
                    <w:pStyle w:val="31"/>
                    <w:rPr>
                      <w:rFonts w:cs="Times New Roman"/>
                    </w:rPr>
                  </w:pPr>
                </w:p>
              </w:tc>
              <w:tc>
                <w:tcPr>
                  <w:tcW w:w="2655" w:type="pct"/>
                  <w:vAlign w:val="center"/>
                </w:tcPr>
                <w:p w14:paraId="1F6C2AAE">
                  <w:pPr>
                    <w:pStyle w:val="31"/>
                    <w:jc w:val="both"/>
                    <w:rPr>
                      <w:rFonts w:cs="Times New Roman"/>
                    </w:rPr>
                  </w:pPr>
                  <w:r>
                    <w:rPr>
                      <w:rFonts w:hint="eastAsia" w:cs="Times New Roman"/>
                    </w:rPr>
                    <w:t>限制开发建设活动的要求：</w:t>
                  </w:r>
                </w:p>
                <w:p w14:paraId="13AE21CA">
                  <w:pPr>
                    <w:pStyle w:val="31"/>
                    <w:jc w:val="both"/>
                    <w:rPr>
                      <w:rFonts w:cs="Times New Roman"/>
                    </w:rPr>
                  </w:pPr>
                  <w:r>
                    <w:rPr>
                      <w:rFonts w:hint="eastAsia" w:cs="Times New Roman"/>
                    </w:rPr>
                    <w:t>1.严控新建、扩建“两高”项目，对现存企业执行最严格排放标准和总量控制要求。</w:t>
                  </w:r>
                </w:p>
                <w:p w14:paraId="1A530E4A">
                  <w:pPr>
                    <w:pStyle w:val="31"/>
                    <w:jc w:val="both"/>
                    <w:rPr>
                      <w:rFonts w:cs="Times New Roman"/>
                    </w:rPr>
                  </w:pPr>
                  <w:r>
                    <w:rPr>
                      <w:rFonts w:hint="eastAsia" w:cs="Times New Roman"/>
                    </w:rPr>
                    <w:t>2.长江干流及主要支流1公里范围内，严控新建石油化工、煤化工、涉磷、造纸、印染、制革等项目。</w:t>
                  </w:r>
                </w:p>
              </w:tc>
              <w:tc>
                <w:tcPr>
                  <w:tcW w:w="1135" w:type="pct"/>
                  <w:vAlign w:val="center"/>
                </w:tcPr>
                <w:p w14:paraId="7F57E06E">
                  <w:pPr>
                    <w:pStyle w:val="31"/>
                    <w:rPr>
                      <w:rFonts w:cs="Times New Roman"/>
                    </w:rPr>
                  </w:pPr>
                  <w:r>
                    <w:rPr>
                      <w:rFonts w:hint="eastAsia" w:cs="Times New Roman"/>
                    </w:rPr>
                    <w:t>本项目为</w:t>
                  </w:r>
                  <w:r>
                    <w:rPr>
                      <w:rFonts w:hint="eastAsia" w:cs="Times New Roman"/>
                      <w:szCs w:val="24"/>
                    </w:rPr>
                    <w:t>热力生产和供应项目，使用生物质气为燃料，不属于“两高”项目。</w:t>
                  </w:r>
                </w:p>
              </w:tc>
              <w:tc>
                <w:tcPr>
                  <w:tcW w:w="128" w:type="pct"/>
                  <w:vAlign w:val="center"/>
                </w:tcPr>
                <w:p w14:paraId="6949DAF6">
                  <w:pPr>
                    <w:pStyle w:val="31"/>
                    <w:rPr>
                      <w:rFonts w:cs="Times New Roman"/>
                    </w:rPr>
                  </w:pPr>
                  <w:r>
                    <w:rPr>
                      <w:rFonts w:hint="eastAsia" w:cs="Times New Roman"/>
                    </w:rPr>
                    <w:t>符合</w:t>
                  </w:r>
                </w:p>
              </w:tc>
            </w:tr>
            <w:tr w14:paraId="3F2233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394FAD79">
                  <w:pPr>
                    <w:pStyle w:val="31"/>
                    <w:rPr>
                      <w:rFonts w:cs="Times New Roman"/>
                    </w:rPr>
                  </w:pPr>
                </w:p>
              </w:tc>
              <w:tc>
                <w:tcPr>
                  <w:tcW w:w="172" w:type="pct"/>
                  <w:vMerge w:val="continue"/>
                  <w:vAlign w:val="center"/>
                </w:tcPr>
                <w:p w14:paraId="40BEBF11">
                  <w:pPr>
                    <w:pStyle w:val="31"/>
                    <w:rPr>
                      <w:rFonts w:cs="Times New Roman"/>
                    </w:rPr>
                  </w:pPr>
                </w:p>
              </w:tc>
              <w:tc>
                <w:tcPr>
                  <w:tcW w:w="208" w:type="pct"/>
                  <w:vMerge w:val="continue"/>
                  <w:vAlign w:val="center"/>
                </w:tcPr>
                <w:p w14:paraId="70B4CD48">
                  <w:pPr>
                    <w:pStyle w:val="31"/>
                    <w:rPr>
                      <w:rFonts w:cs="Times New Roman"/>
                    </w:rPr>
                  </w:pPr>
                </w:p>
              </w:tc>
              <w:tc>
                <w:tcPr>
                  <w:tcW w:w="2655" w:type="pct"/>
                  <w:vAlign w:val="center"/>
                </w:tcPr>
                <w:p w14:paraId="633448C0">
                  <w:pPr>
                    <w:pStyle w:val="31"/>
                    <w:jc w:val="both"/>
                    <w:rPr>
                      <w:rFonts w:cs="Times New Roman"/>
                    </w:rPr>
                  </w:pPr>
                  <w:r>
                    <w:rPr>
                      <w:rFonts w:hint="eastAsia" w:cs="Times New Roman"/>
                    </w:rPr>
                    <w:t>不符合空间布局要求活动的退出要求：</w:t>
                  </w:r>
                </w:p>
                <w:p w14:paraId="67D7E8DB">
                  <w:pPr>
                    <w:pStyle w:val="31"/>
                    <w:jc w:val="both"/>
                    <w:rPr>
                      <w:rFonts w:cs="Times New Roman"/>
                    </w:rPr>
                  </w:pPr>
                  <w:r>
                    <w:rPr>
                      <w:rFonts w:hint="eastAsia" w:cs="Times New Roman"/>
                    </w:rPr>
                    <w:t>现有属于禁止引入产业门类的企业，应按相关规定限期整治或退出。</w:t>
                  </w:r>
                </w:p>
              </w:tc>
              <w:tc>
                <w:tcPr>
                  <w:tcW w:w="1135" w:type="pct"/>
                  <w:vAlign w:val="center"/>
                </w:tcPr>
                <w:p w14:paraId="610D041B">
                  <w:pPr>
                    <w:pStyle w:val="31"/>
                    <w:rPr>
                      <w:rFonts w:cs="Times New Roman"/>
                    </w:rPr>
                  </w:pPr>
                  <w:r>
                    <w:rPr>
                      <w:rFonts w:hint="eastAsia" w:cs="Times New Roman"/>
                    </w:rPr>
                    <w:t>本项目为园区规划允许类。</w:t>
                  </w:r>
                </w:p>
              </w:tc>
              <w:tc>
                <w:tcPr>
                  <w:tcW w:w="128" w:type="pct"/>
                  <w:vAlign w:val="center"/>
                </w:tcPr>
                <w:p w14:paraId="4B6364E3">
                  <w:pPr>
                    <w:pStyle w:val="31"/>
                    <w:rPr>
                      <w:rFonts w:cs="Times New Roman"/>
                    </w:rPr>
                  </w:pPr>
                  <w:r>
                    <w:rPr>
                      <w:rFonts w:hint="eastAsia" w:cs="Times New Roman"/>
                    </w:rPr>
                    <w:t>符合</w:t>
                  </w:r>
                </w:p>
              </w:tc>
            </w:tr>
            <w:tr w14:paraId="364EDB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1E2189D0">
                  <w:pPr>
                    <w:pStyle w:val="31"/>
                    <w:rPr>
                      <w:rFonts w:cs="Times New Roman"/>
                    </w:rPr>
                  </w:pPr>
                </w:p>
              </w:tc>
              <w:tc>
                <w:tcPr>
                  <w:tcW w:w="172" w:type="pct"/>
                  <w:vMerge w:val="continue"/>
                  <w:vAlign w:val="center"/>
                </w:tcPr>
                <w:p w14:paraId="07B0AA43">
                  <w:pPr>
                    <w:pStyle w:val="31"/>
                    <w:rPr>
                      <w:rFonts w:cs="Times New Roman"/>
                    </w:rPr>
                  </w:pPr>
                </w:p>
              </w:tc>
              <w:tc>
                <w:tcPr>
                  <w:tcW w:w="208" w:type="pct"/>
                  <w:vMerge w:val="continue"/>
                  <w:vAlign w:val="center"/>
                </w:tcPr>
                <w:p w14:paraId="1F807A93">
                  <w:pPr>
                    <w:pStyle w:val="31"/>
                    <w:rPr>
                      <w:rFonts w:cs="Times New Roman"/>
                    </w:rPr>
                  </w:pPr>
                </w:p>
              </w:tc>
              <w:tc>
                <w:tcPr>
                  <w:tcW w:w="2655" w:type="pct"/>
                  <w:vAlign w:val="center"/>
                </w:tcPr>
                <w:p w14:paraId="1EEB0FA7">
                  <w:pPr>
                    <w:pStyle w:val="31"/>
                    <w:jc w:val="both"/>
                    <w:rPr>
                      <w:rFonts w:cs="Times New Roman"/>
                    </w:rPr>
                  </w:pPr>
                  <w:r>
                    <w:rPr>
                      <w:rFonts w:hint="eastAsia" w:ascii="宋体" w:hAnsi="宋体" w:cs="宋体"/>
                    </w:rPr>
                    <w:t>其他空间布局约束要求：</w:t>
                  </w:r>
                  <w:r>
                    <w:rPr>
                      <w:rFonts w:hint="eastAsia" w:cs="Times New Roman"/>
                    </w:rPr>
                    <w:t>/</w:t>
                  </w:r>
                </w:p>
              </w:tc>
              <w:tc>
                <w:tcPr>
                  <w:tcW w:w="1135" w:type="pct"/>
                  <w:vAlign w:val="center"/>
                </w:tcPr>
                <w:p w14:paraId="3AC440A0">
                  <w:pPr>
                    <w:pStyle w:val="31"/>
                    <w:rPr>
                      <w:rFonts w:cs="Times New Roman"/>
                    </w:rPr>
                  </w:pPr>
                  <w:r>
                    <w:rPr>
                      <w:rFonts w:hint="eastAsia" w:cs="Times New Roman"/>
                    </w:rPr>
                    <w:t>/</w:t>
                  </w:r>
                </w:p>
              </w:tc>
              <w:tc>
                <w:tcPr>
                  <w:tcW w:w="128" w:type="pct"/>
                  <w:vAlign w:val="center"/>
                </w:tcPr>
                <w:p w14:paraId="15F0147E">
                  <w:pPr>
                    <w:pStyle w:val="31"/>
                    <w:rPr>
                      <w:rFonts w:cs="Times New Roman"/>
                    </w:rPr>
                  </w:pPr>
                  <w:r>
                    <w:rPr>
                      <w:rFonts w:hint="eastAsia" w:cs="Times New Roman"/>
                    </w:rPr>
                    <w:t>/</w:t>
                  </w:r>
                </w:p>
              </w:tc>
            </w:tr>
            <w:tr w14:paraId="44280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0A477A0C">
                  <w:pPr>
                    <w:pStyle w:val="31"/>
                    <w:rPr>
                      <w:rFonts w:cs="Times New Roman"/>
                    </w:rPr>
                  </w:pPr>
                </w:p>
              </w:tc>
              <w:tc>
                <w:tcPr>
                  <w:tcW w:w="172" w:type="pct"/>
                  <w:vMerge w:val="continue"/>
                  <w:vAlign w:val="center"/>
                </w:tcPr>
                <w:p w14:paraId="7321C8D7">
                  <w:pPr>
                    <w:pStyle w:val="31"/>
                    <w:rPr>
                      <w:rFonts w:cs="Times New Roman"/>
                    </w:rPr>
                  </w:pPr>
                </w:p>
              </w:tc>
              <w:tc>
                <w:tcPr>
                  <w:tcW w:w="208" w:type="pct"/>
                  <w:vMerge w:val="restart"/>
                  <w:vAlign w:val="center"/>
                </w:tcPr>
                <w:p w14:paraId="7222DFEE">
                  <w:pPr>
                    <w:pStyle w:val="31"/>
                    <w:rPr>
                      <w:rFonts w:cs="Times New Roman"/>
                    </w:rPr>
                  </w:pPr>
                  <w:r>
                    <w:rPr>
                      <w:rFonts w:hint="eastAsia" w:cs="Times New Roman"/>
                    </w:rPr>
                    <w:t>污染物排放管控</w:t>
                  </w:r>
                </w:p>
              </w:tc>
              <w:tc>
                <w:tcPr>
                  <w:tcW w:w="2655" w:type="pct"/>
                  <w:vAlign w:val="center"/>
                </w:tcPr>
                <w:p w14:paraId="3EF5A92B">
                  <w:pPr>
                    <w:pStyle w:val="31"/>
                    <w:jc w:val="both"/>
                    <w:rPr>
                      <w:rFonts w:cs="Times New Roman"/>
                    </w:rPr>
                  </w:pPr>
                  <w:r>
                    <w:rPr>
                      <w:rFonts w:hint="eastAsia" w:cs="Times New Roman"/>
                    </w:rPr>
                    <w:t>允许排放量要求：/</w:t>
                  </w:r>
                </w:p>
              </w:tc>
              <w:tc>
                <w:tcPr>
                  <w:tcW w:w="1135" w:type="pct"/>
                  <w:vAlign w:val="center"/>
                </w:tcPr>
                <w:p w14:paraId="7167AC43">
                  <w:pPr>
                    <w:pStyle w:val="31"/>
                    <w:rPr>
                      <w:rFonts w:cs="Times New Roman"/>
                    </w:rPr>
                  </w:pPr>
                  <w:r>
                    <w:rPr>
                      <w:rFonts w:hint="eastAsia" w:cs="Times New Roman"/>
                    </w:rPr>
                    <w:t>/</w:t>
                  </w:r>
                </w:p>
              </w:tc>
              <w:tc>
                <w:tcPr>
                  <w:tcW w:w="128" w:type="pct"/>
                  <w:vAlign w:val="center"/>
                </w:tcPr>
                <w:p w14:paraId="314877C8">
                  <w:pPr>
                    <w:pStyle w:val="31"/>
                    <w:rPr>
                      <w:rFonts w:cs="Times New Roman"/>
                    </w:rPr>
                  </w:pPr>
                  <w:r>
                    <w:rPr>
                      <w:rFonts w:hint="eastAsia" w:cs="Times New Roman"/>
                    </w:rPr>
                    <w:t>/</w:t>
                  </w:r>
                </w:p>
              </w:tc>
            </w:tr>
            <w:tr w14:paraId="06435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4FA6124A">
                  <w:pPr>
                    <w:pStyle w:val="31"/>
                    <w:rPr>
                      <w:rFonts w:cs="Times New Roman"/>
                    </w:rPr>
                  </w:pPr>
                </w:p>
              </w:tc>
              <w:tc>
                <w:tcPr>
                  <w:tcW w:w="172" w:type="pct"/>
                  <w:vMerge w:val="continue"/>
                  <w:vAlign w:val="center"/>
                </w:tcPr>
                <w:p w14:paraId="31189027">
                  <w:pPr>
                    <w:pStyle w:val="31"/>
                    <w:rPr>
                      <w:rFonts w:cs="Times New Roman"/>
                    </w:rPr>
                  </w:pPr>
                </w:p>
              </w:tc>
              <w:tc>
                <w:tcPr>
                  <w:tcW w:w="208" w:type="pct"/>
                  <w:vMerge w:val="continue"/>
                  <w:vAlign w:val="center"/>
                </w:tcPr>
                <w:p w14:paraId="165EF7E5">
                  <w:pPr>
                    <w:pStyle w:val="31"/>
                    <w:rPr>
                      <w:rFonts w:cs="Times New Roman"/>
                    </w:rPr>
                  </w:pPr>
                </w:p>
              </w:tc>
              <w:tc>
                <w:tcPr>
                  <w:tcW w:w="2655" w:type="pct"/>
                  <w:vAlign w:val="center"/>
                </w:tcPr>
                <w:p w14:paraId="5458C9DB">
                  <w:pPr>
                    <w:pStyle w:val="31"/>
                    <w:jc w:val="both"/>
                    <w:rPr>
                      <w:rFonts w:cs="Times New Roman"/>
                    </w:rPr>
                  </w:pPr>
                  <w:r>
                    <w:rPr>
                      <w:rFonts w:hint="eastAsia" w:cs="Times New Roman"/>
                    </w:rPr>
                    <w:t>现有源提标升级改造：</w:t>
                  </w:r>
                </w:p>
                <w:p w14:paraId="6D44C334">
                  <w:pPr>
                    <w:pStyle w:val="31"/>
                    <w:jc w:val="both"/>
                    <w:rPr>
                      <w:rFonts w:cs="Times New Roman"/>
                    </w:rPr>
                  </w:pPr>
                  <w:r>
                    <w:rPr>
                      <w:rFonts w:hint="eastAsia" w:cs="Times New Roman"/>
                    </w:rPr>
                    <w:t>1.污水收集处理率达100%。</w:t>
                  </w:r>
                </w:p>
                <w:p w14:paraId="02018A45">
                  <w:pPr>
                    <w:pStyle w:val="31"/>
                    <w:jc w:val="both"/>
                    <w:rPr>
                      <w:rFonts w:cs="Times New Roman"/>
                    </w:rPr>
                  </w:pPr>
                  <w:r>
                    <w:rPr>
                      <w:rFonts w:hint="eastAsia" w:cs="Times New Roman"/>
                    </w:rPr>
                    <w:t>2.园区污水处理厂达《城镇污水处理厂污染物排放标准》一级A标或更高标准。</w:t>
                  </w:r>
                </w:p>
                <w:p w14:paraId="10222D98">
                  <w:pPr>
                    <w:pStyle w:val="31"/>
                    <w:jc w:val="both"/>
                    <w:rPr>
                      <w:rFonts w:cs="Times New Roman"/>
                    </w:rPr>
                  </w:pPr>
                  <w:r>
                    <w:rPr>
                      <w:rFonts w:hint="eastAsia" w:cs="Times New Roman"/>
                    </w:rPr>
                    <w:t>3.加快推进危险化学品生产企业搬迁改造工程。</w:t>
                  </w:r>
                </w:p>
                <w:p w14:paraId="0A3BE05D">
                  <w:pPr>
                    <w:pStyle w:val="31"/>
                    <w:jc w:val="both"/>
                    <w:rPr>
                      <w:rFonts w:cs="Times New Roman"/>
                    </w:rPr>
                  </w:pPr>
                  <w:r>
                    <w:rPr>
                      <w:rFonts w:hint="eastAsia" w:cs="Times New Roman"/>
                    </w:rPr>
                    <w:t>4.完善园区及企业雨污分流系统，全面推进医药、化工等行业初期雨水收集处理，推动有条件的园区实施入园企业“一企一管、明管输送、实时监测”。加强企业废水预处理和排水管理，鼓励纳管企业与园区污水处理厂运营单位通过签订委托处理合同等方式协同处理废水。</w:t>
                  </w:r>
                </w:p>
              </w:tc>
              <w:tc>
                <w:tcPr>
                  <w:tcW w:w="1135" w:type="pct"/>
                  <w:vAlign w:val="center"/>
                </w:tcPr>
                <w:p w14:paraId="361B067C">
                  <w:pPr>
                    <w:pStyle w:val="31"/>
                    <w:rPr>
                      <w:rFonts w:cs="Times New Roman"/>
                    </w:rPr>
                  </w:pPr>
                  <w:r>
                    <w:rPr>
                      <w:rFonts w:hint="eastAsia" w:cs="Times New Roman"/>
                    </w:rPr>
                    <w:t>本项目未用于厂区绿化和降尘的锅炉废水和经预处理池（6m</w:t>
                  </w:r>
                  <w:r>
                    <w:rPr>
                      <w:rFonts w:hint="eastAsia" w:cs="Times New Roman"/>
                      <w:vertAlign w:val="superscript"/>
                    </w:rPr>
                    <w:t>3</w:t>
                  </w:r>
                  <w:r>
                    <w:rPr>
                      <w:rFonts w:hint="eastAsia" w:cs="Times New Roman"/>
                    </w:rPr>
                    <w:t>）处理达标后的生活污水一同进入市政污水管网，经大英经济开发区污水处理厂处理达标后排入郪江</w:t>
                  </w:r>
                </w:p>
              </w:tc>
              <w:tc>
                <w:tcPr>
                  <w:tcW w:w="128" w:type="pct"/>
                  <w:vAlign w:val="center"/>
                </w:tcPr>
                <w:p w14:paraId="45D48D73">
                  <w:pPr>
                    <w:pStyle w:val="31"/>
                    <w:rPr>
                      <w:rFonts w:cs="Times New Roman"/>
                    </w:rPr>
                  </w:pPr>
                  <w:r>
                    <w:rPr>
                      <w:rFonts w:hint="eastAsia" w:cs="Times New Roman"/>
                    </w:rPr>
                    <w:t>符合</w:t>
                  </w:r>
                </w:p>
              </w:tc>
            </w:tr>
            <w:tr w14:paraId="3EC3A0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614B1CA0">
                  <w:pPr>
                    <w:pStyle w:val="31"/>
                    <w:rPr>
                      <w:rFonts w:cs="Times New Roman"/>
                    </w:rPr>
                  </w:pPr>
                </w:p>
              </w:tc>
              <w:tc>
                <w:tcPr>
                  <w:tcW w:w="172" w:type="pct"/>
                  <w:vMerge w:val="continue"/>
                  <w:vAlign w:val="center"/>
                </w:tcPr>
                <w:p w14:paraId="19961A44">
                  <w:pPr>
                    <w:pStyle w:val="31"/>
                    <w:rPr>
                      <w:rFonts w:cs="Times New Roman"/>
                    </w:rPr>
                  </w:pPr>
                </w:p>
              </w:tc>
              <w:tc>
                <w:tcPr>
                  <w:tcW w:w="208" w:type="pct"/>
                  <w:vMerge w:val="continue"/>
                  <w:vAlign w:val="center"/>
                </w:tcPr>
                <w:p w14:paraId="2E7A6B03">
                  <w:pPr>
                    <w:pStyle w:val="31"/>
                    <w:rPr>
                      <w:rFonts w:cs="Times New Roman"/>
                    </w:rPr>
                  </w:pPr>
                </w:p>
              </w:tc>
              <w:tc>
                <w:tcPr>
                  <w:tcW w:w="2655" w:type="pct"/>
                  <w:vAlign w:val="center"/>
                </w:tcPr>
                <w:p w14:paraId="2968106F">
                  <w:pPr>
                    <w:pStyle w:val="31"/>
                    <w:jc w:val="both"/>
                    <w:rPr>
                      <w:rFonts w:cs="Times New Roman"/>
                    </w:rPr>
                  </w:pPr>
                  <w:r>
                    <w:rPr>
                      <w:rFonts w:hint="eastAsia" w:cs="Times New Roman"/>
                    </w:rPr>
                    <w:t>其他污染物排放管控要求：</w:t>
                  </w:r>
                </w:p>
                <w:p w14:paraId="184B2A99">
                  <w:pPr>
                    <w:pStyle w:val="31"/>
                    <w:jc w:val="both"/>
                    <w:rPr>
                      <w:rFonts w:cs="Times New Roman"/>
                    </w:rPr>
                  </w:pPr>
                  <w:r>
                    <w:rPr>
                      <w:rFonts w:hint="eastAsia" w:cs="Times New Roman"/>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w:t>
                  </w:r>
                  <w:r>
                    <w:rPr>
                      <w:rFonts w:hint="eastAsia" w:cs="Times New Roman"/>
                      <w:vertAlign w:val="subscript"/>
                    </w:rPr>
                    <w:t>2</w:t>
                  </w:r>
                  <w:r>
                    <w:rPr>
                      <w:rFonts w:hint="eastAsia" w:cs="Times New Roman"/>
                    </w:rPr>
                    <w:t>、NOx、VOCs和工业烟粉尘的项目实施现役源2倍削减量替代，其中射洪市执行1.5倍削减量替代。</w:t>
                  </w:r>
                </w:p>
                <w:p w14:paraId="16ADF2DF">
                  <w:pPr>
                    <w:pStyle w:val="31"/>
                    <w:jc w:val="both"/>
                    <w:rPr>
                      <w:rFonts w:cs="Times New Roman"/>
                    </w:rPr>
                  </w:pPr>
                  <w:r>
                    <w:rPr>
                      <w:rFonts w:hint="eastAsia" w:cs="Times New Roman"/>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2A4B0CD6">
                  <w:pPr>
                    <w:pStyle w:val="31"/>
                    <w:jc w:val="both"/>
                    <w:rPr>
                      <w:rFonts w:cs="Times New Roman"/>
                    </w:rPr>
                  </w:pPr>
                  <w:r>
                    <w:rPr>
                      <w:rFonts w:hint="eastAsia" w:cs="Times New Roman"/>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1C382D95">
                  <w:pPr>
                    <w:pStyle w:val="31"/>
                    <w:jc w:val="both"/>
                    <w:rPr>
                      <w:rFonts w:cs="Times New Roman"/>
                    </w:rPr>
                  </w:pPr>
                  <w:r>
                    <w:rPr>
                      <w:rFonts w:hint="eastAsia" w:cs="Times New Roman"/>
                    </w:rPr>
                    <w:t>4.化工园区应按照分类收集，分质处理的要求，配备专业化工生产废水集中处理设施（独立建设或依托骨干企业）及专管或明管输送的配套管网，化工生产废水纳管率达到100%。入河排污口设置应符合相关规定。</w:t>
                  </w:r>
                </w:p>
                <w:p w14:paraId="32397DAE">
                  <w:pPr>
                    <w:pStyle w:val="31"/>
                    <w:jc w:val="both"/>
                    <w:rPr>
                      <w:rFonts w:cs="Times New Roman"/>
                    </w:rPr>
                  </w:pPr>
                  <w:r>
                    <w:rPr>
                      <w:rFonts w:hint="eastAsia" w:cs="Times New Roman"/>
                    </w:rPr>
                    <w:t>5.重点行业建设项目应遵循重点重金属污染物排放“等量替代”原则。按国家规定，建设单位在提交环境影响评价文件时应明确重点重金属污染物排放总量及来源，无明确具体总量来源的，各级生态环境部门不得批准相关环境影响评价文件。重金属污染物排放总量替代管理豁免的情形参见《四川省“十四五”重金属污染防控工作方案》；重点行业、重点重金属的界定参见《四川省“十四五”重金属污染防控工作方案》。</w:t>
                  </w:r>
                </w:p>
                <w:p w14:paraId="629739CD">
                  <w:pPr>
                    <w:pStyle w:val="31"/>
                    <w:jc w:val="both"/>
                    <w:rPr>
                      <w:rFonts w:cs="Times New Roman"/>
                    </w:rPr>
                  </w:pPr>
                  <w:r>
                    <w:rPr>
                      <w:rFonts w:hint="eastAsia" w:cs="Times New Roman"/>
                    </w:rPr>
                    <w:t>6.白酒行业参考执行更新后的四川省白酒行业资源环境绩效指标要求。</w:t>
                  </w:r>
                </w:p>
                <w:p w14:paraId="5E915326">
                  <w:pPr>
                    <w:pStyle w:val="31"/>
                    <w:jc w:val="both"/>
                    <w:rPr>
                      <w:rFonts w:cs="Times New Roman"/>
                    </w:rPr>
                  </w:pPr>
                  <w:r>
                    <w:rPr>
                      <w:rFonts w:hint="eastAsia" w:cs="Times New Roman"/>
                    </w:rPr>
                    <w:t>7.落实《四川省深入打好重污染天气消除、臭氧污染防治和柴油货车污染治理攻坚战实施方案》要求，推进重点行业超低排放改造和深度治理，加快实施低VOCs含量原辅材料替代，持续开展VOCs治理设施提级增效，强化VOCs无组织排放整治，加强非正常工况废气排放管控，推进涉VOCs产业集群治理提升，推进油品VOCs综合管控。</w:t>
                  </w:r>
                </w:p>
              </w:tc>
              <w:tc>
                <w:tcPr>
                  <w:tcW w:w="1135" w:type="pct"/>
                  <w:vAlign w:val="center"/>
                </w:tcPr>
                <w:p w14:paraId="082FC54E">
                  <w:pPr>
                    <w:pStyle w:val="31"/>
                    <w:rPr>
                      <w:rFonts w:cs="Times New Roman"/>
                    </w:rPr>
                  </w:pPr>
                  <w:r>
                    <w:rPr>
                      <w:rFonts w:hint="eastAsia" w:cs="Times New Roman"/>
                    </w:rPr>
                    <w:t>本项目所在区域上一年度水环境和空气质量均达标。本项目废气执行《四川省生态环境厅关于执行大气污染物特别排放限值的公告》[2020年第2号]中相应标准颗粒物、二氧化硫、氮氧化物和挥发性有机物特别排放限值和特别控制要求。本项目为</w:t>
                  </w:r>
                  <w:r>
                    <w:rPr>
                      <w:rFonts w:hint="eastAsia" w:cs="Times New Roman"/>
                      <w:szCs w:val="24"/>
                    </w:rPr>
                    <w:t>热力生产和供应项目，项目不涉及重金属，不涉及VOCs排放，项目按满足</w:t>
                  </w:r>
                  <w:r>
                    <w:rPr>
                      <w:rFonts w:hint="eastAsia" w:cs="Times New Roman"/>
                    </w:rPr>
                    <w:t>《四川省省级生态工业园区指标》综合类生态工业园区要求建设。</w:t>
                  </w:r>
                </w:p>
              </w:tc>
              <w:tc>
                <w:tcPr>
                  <w:tcW w:w="128" w:type="pct"/>
                  <w:vAlign w:val="center"/>
                </w:tcPr>
                <w:p w14:paraId="2BB0F56A">
                  <w:pPr>
                    <w:pStyle w:val="31"/>
                    <w:rPr>
                      <w:rFonts w:cs="Times New Roman"/>
                    </w:rPr>
                  </w:pPr>
                  <w:r>
                    <w:rPr>
                      <w:rFonts w:hint="eastAsia" w:cs="Times New Roman"/>
                    </w:rPr>
                    <w:t>符合</w:t>
                  </w:r>
                </w:p>
              </w:tc>
            </w:tr>
            <w:tr w14:paraId="24AFC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1E5A34F">
                  <w:pPr>
                    <w:pStyle w:val="31"/>
                    <w:rPr>
                      <w:rFonts w:cs="Times New Roman"/>
                    </w:rPr>
                  </w:pPr>
                </w:p>
              </w:tc>
              <w:tc>
                <w:tcPr>
                  <w:tcW w:w="172" w:type="pct"/>
                  <w:vMerge w:val="continue"/>
                  <w:vAlign w:val="center"/>
                </w:tcPr>
                <w:p w14:paraId="11B7054A">
                  <w:pPr>
                    <w:pStyle w:val="31"/>
                    <w:rPr>
                      <w:rFonts w:cs="Times New Roman"/>
                    </w:rPr>
                  </w:pPr>
                </w:p>
              </w:tc>
              <w:tc>
                <w:tcPr>
                  <w:tcW w:w="208" w:type="pct"/>
                  <w:vMerge w:val="restart"/>
                  <w:vAlign w:val="center"/>
                </w:tcPr>
                <w:p w14:paraId="35529777">
                  <w:pPr>
                    <w:pStyle w:val="31"/>
                    <w:rPr>
                      <w:rFonts w:cs="Times New Roman"/>
                    </w:rPr>
                  </w:pPr>
                  <w:r>
                    <w:rPr>
                      <w:rFonts w:hint="eastAsia" w:cs="Times New Roman"/>
                    </w:rPr>
                    <w:t>环境风险防控</w:t>
                  </w:r>
                </w:p>
              </w:tc>
              <w:tc>
                <w:tcPr>
                  <w:tcW w:w="2655" w:type="pct"/>
                  <w:vAlign w:val="center"/>
                </w:tcPr>
                <w:p w14:paraId="3C8970D2">
                  <w:pPr>
                    <w:pStyle w:val="31"/>
                    <w:jc w:val="both"/>
                    <w:rPr>
                      <w:rFonts w:cs="Times New Roman"/>
                    </w:rPr>
                  </w:pPr>
                  <w:r>
                    <w:rPr>
                      <w:rFonts w:hint="eastAsia" w:cs="Times New Roman"/>
                    </w:rPr>
                    <w:t>联防联控要求：</w:t>
                  </w:r>
                </w:p>
                <w:p w14:paraId="7FB9F1CA">
                  <w:pPr>
                    <w:pStyle w:val="31"/>
                    <w:jc w:val="both"/>
                    <w:rPr>
                      <w:rFonts w:cs="Times New Roman"/>
                    </w:rPr>
                  </w:pPr>
                  <w:r>
                    <w:rPr>
                      <w:rFonts w:hint="eastAsia" w:cs="Times New Roman"/>
                    </w:rPr>
                    <w:t>加强成都平原经济区信息共享和联动合作，协力推进产业和能源结构优化调整，加强大气污染源头防控，加强潼遂合作。</w:t>
                  </w:r>
                </w:p>
              </w:tc>
              <w:tc>
                <w:tcPr>
                  <w:tcW w:w="1135" w:type="pct"/>
                  <w:vMerge w:val="restart"/>
                  <w:vAlign w:val="center"/>
                </w:tcPr>
                <w:p w14:paraId="1B7DD9DB">
                  <w:pPr>
                    <w:pStyle w:val="31"/>
                    <w:rPr>
                      <w:rFonts w:cs="Times New Roman"/>
                    </w:rPr>
                  </w:pPr>
                  <w:r>
                    <w:rPr>
                      <w:rFonts w:hint="eastAsia" w:cs="Times New Roman"/>
                    </w:rPr>
                    <w:t>本项目风险等级为Ⅱ，主要可能发生的环境风险为泄漏、火灾和爆炸。企业在采取有针对性的环境风险防范措施后，环境风险可防控。</w:t>
                  </w:r>
                </w:p>
              </w:tc>
              <w:tc>
                <w:tcPr>
                  <w:tcW w:w="128" w:type="pct"/>
                  <w:vAlign w:val="center"/>
                </w:tcPr>
                <w:p w14:paraId="461B699F">
                  <w:pPr>
                    <w:pStyle w:val="31"/>
                    <w:rPr>
                      <w:rFonts w:cs="Times New Roman"/>
                    </w:rPr>
                  </w:pPr>
                  <w:r>
                    <w:rPr>
                      <w:rFonts w:hint="eastAsia" w:cs="Times New Roman"/>
                    </w:rPr>
                    <w:t>符合</w:t>
                  </w:r>
                </w:p>
              </w:tc>
            </w:tr>
            <w:tr w14:paraId="060B6D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05B3EC34">
                  <w:pPr>
                    <w:pStyle w:val="31"/>
                    <w:rPr>
                      <w:rFonts w:cs="Times New Roman"/>
                    </w:rPr>
                  </w:pPr>
                </w:p>
              </w:tc>
              <w:tc>
                <w:tcPr>
                  <w:tcW w:w="172" w:type="pct"/>
                  <w:vMerge w:val="continue"/>
                  <w:vAlign w:val="center"/>
                </w:tcPr>
                <w:p w14:paraId="62792FF3">
                  <w:pPr>
                    <w:pStyle w:val="31"/>
                    <w:rPr>
                      <w:rFonts w:cs="Times New Roman"/>
                    </w:rPr>
                  </w:pPr>
                </w:p>
              </w:tc>
              <w:tc>
                <w:tcPr>
                  <w:tcW w:w="208" w:type="pct"/>
                  <w:vMerge w:val="continue"/>
                  <w:vAlign w:val="center"/>
                </w:tcPr>
                <w:p w14:paraId="5E316BCC">
                  <w:pPr>
                    <w:pStyle w:val="31"/>
                    <w:rPr>
                      <w:rFonts w:cs="Times New Roman"/>
                    </w:rPr>
                  </w:pPr>
                </w:p>
              </w:tc>
              <w:tc>
                <w:tcPr>
                  <w:tcW w:w="2655" w:type="pct"/>
                  <w:vAlign w:val="center"/>
                </w:tcPr>
                <w:p w14:paraId="290147E1">
                  <w:pPr>
                    <w:pStyle w:val="31"/>
                    <w:jc w:val="both"/>
                    <w:rPr>
                      <w:rFonts w:cs="Times New Roman"/>
                    </w:rPr>
                  </w:pPr>
                  <w:r>
                    <w:rPr>
                      <w:rFonts w:hint="eastAsia" w:cs="Times New Roman"/>
                    </w:rPr>
                    <w:t>其他环境风险防控要求：</w:t>
                  </w:r>
                </w:p>
                <w:p w14:paraId="312F4341">
                  <w:pPr>
                    <w:pStyle w:val="31"/>
                    <w:jc w:val="both"/>
                    <w:rPr>
                      <w:rFonts w:cs="Times New Roman"/>
                    </w:rPr>
                  </w:pPr>
                  <w:r>
                    <w:rPr>
                      <w:rFonts w:hint="eastAsia" w:cs="Times New Roman"/>
                    </w:rPr>
                    <w:t>1.企业环境风险防控要求：涉及有毒有害、易燃易爆物质的新建、改扩建项目，严控准入要求。</w:t>
                  </w:r>
                </w:p>
                <w:p w14:paraId="7D33D725">
                  <w:pPr>
                    <w:pStyle w:val="31"/>
                    <w:jc w:val="both"/>
                    <w:rPr>
                      <w:rFonts w:cs="Times New Roman"/>
                    </w:rPr>
                  </w:pPr>
                  <w:r>
                    <w:rPr>
                      <w:rFonts w:hint="eastAsia" w:cs="Times New Roman"/>
                    </w:rPr>
                    <w:t>2.园区环境风险防控要求：构建三级环境风险防控体系，强化危化品泄漏应急处置措施，确保风险可控。针对化工园区进一步强化风险防控。化工园区应具有安全风险监控体系、建立生态环境监测监控体系、建立必要的突发环境事件应急体系。</w:t>
                  </w:r>
                </w:p>
                <w:p w14:paraId="48D1B208">
                  <w:pPr>
                    <w:pStyle w:val="31"/>
                    <w:jc w:val="both"/>
                    <w:rPr>
                      <w:rFonts w:cs="Times New Roman"/>
                    </w:rPr>
                  </w:pPr>
                  <w:r>
                    <w:rPr>
                      <w:rFonts w:hint="eastAsia" w:cs="Times New Roman"/>
                    </w:rPr>
                    <w:t>3.用地环境风险防控要求：化工、电镀等行业企业拆除生产设施设备、构筑物和污染治理设施，要事先制定残留污染物清理和安全处置方案，要严格按照有关规定实施安全处理处置，防范拆除活动污染土壤。</w:t>
                  </w:r>
                </w:p>
              </w:tc>
              <w:tc>
                <w:tcPr>
                  <w:tcW w:w="1135" w:type="pct"/>
                  <w:vMerge w:val="continue"/>
                  <w:vAlign w:val="center"/>
                </w:tcPr>
                <w:p w14:paraId="2FA7C608">
                  <w:pPr>
                    <w:pStyle w:val="31"/>
                    <w:rPr>
                      <w:rFonts w:cs="Times New Roman"/>
                    </w:rPr>
                  </w:pPr>
                </w:p>
              </w:tc>
              <w:tc>
                <w:tcPr>
                  <w:tcW w:w="128" w:type="pct"/>
                  <w:vAlign w:val="center"/>
                </w:tcPr>
                <w:p w14:paraId="5264F4AD">
                  <w:pPr>
                    <w:pStyle w:val="31"/>
                    <w:rPr>
                      <w:rFonts w:cs="Times New Roman"/>
                    </w:rPr>
                  </w:pPr>
                  <w:r>
                    <w:rPr>
                      <w:rFonts w:hint="eastAsia" w:cs="Times New Roman"/>
                    </w:rPr>
                    <w:t>符合</w:t>
                  </w:r>
                </w:p>
              </w:tc>
            </w:tr>
            <w:tr w14:paraId="610C6A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F75EEB1">
                  <w:pPr>
                    <w:pStyle w:val="31"/>
                    <w:rPr>
                      <w:rFonts w:cs="Times New Roman"/>
                    </w:rPr>
                  </w:pPr>
                </w:p>
              </w:tc>
              <w:tc>
                <w:tcPr>
                  <w:tcW w:w="172" w:type="pct"/>
                  <w:vMerge w:val="continue"/>
                  <w:vAlign w:val="center"/>
                </w:tcPr>
                <w:p w14:paraId="6A52F8E7">
                  <w:pPr>
                    <w:pStyle w:val="31"/>
                    <w:rPr>
                      <w:rFonts w:cs="Times New Roman"/>
                    </w:rPr>
                  </w:pPr>
                </w:p>
              </w:tc>
              <w:tc>
                <w:tcPr>
                  <w:tcW w:w="208" w:type="pct"/>
                  <w:vMerge w:val="restart"/>
                  <w:vAlign w:val="center"/>
                </w:tcPr>
                <w:p w14:paraId="0C23B8D2">
                  <w:pPr>
                    <w:pStyle w:val="31"/>
                    <w:rPr>
                      <w:rFonts w:cs="Times New Roman"/>
                    </w:rPr>
                  </w:pPr>
                  <w:r>
                    <w:rPr>
                      <w:rFonts w:hint="eastAsia" w:cs="Times New Roman"/>
                    </w:rPr>
                    <w:t>资源开发利用效率要求</w:t>
                  </w:r>
                </w:p>
              </w:tc>
              <w:tc>
                <w:tcPr>
                  <w:tcW w:w="2655" w:type="pct"/>
                  <w:vAlign w:val="center"/>
                </w:tcPr>
                <w:p w14:paraId="51761047">
                  <w:pPr>
                    <w:pStyle w:val="31"/>
                    <w:jc w:val="both"/>
                    <w:rPr>
                      <w:rFonts w:cs="Times New Roman"/>
                    </w:rPr>
                  </w:pPr>
                  <w:r>
                    <w:rPr>
                      <w:rFonts w:hint="eastAsia" w:cs="Times New Roman"/>
                    </w:rPr>
                    <w:t>水资源利用总量要求：</w:t>
                  </w:r>
                </w:p>
                <w:p w14:paraId="395B5247">
                  <w:pPr>
                    <w:pStyle w:val="31"/>
                    <w:jc w:val="both"/>
                    <w:rPr>
                      <w:rFonts w:cs="Times New Roman"/>
                    </w:rPr>
                  </w:pPr>
                  <w:r>
                    <w:rPr>
                      <w:rFonts w:hint="eastAsia" w:cs="Times New Roman"/>
                    </w:rPr>
                    <w:t>1.到2025年，万元工业增加值用水量下降到32.0m</w:t>
                  </w:r>
                  <w:r>
                    <w:rPr>
                      <w:rFonts w:hint="eastAsia" w:cs="Times New Roman"/>
                      <w:vertAlign w:val="superscript"/>
                    </w:rPr>
                    <w:t>3</w:t>
                  </w:r>
                  <w:r>
                    <w:rPr>
                      <w:rFonts w:hint="eastAsia" w:cs="Times New Roman"/>
                    </w:rPr>
                    <w:t>/万元，重复利用率提高到84%；</w:t>
                  </w:r>
                </w:p>
                <w:p w14:paraId="7F704980">
                  <w:pPr>
                    <w:pStyle w:val="31"/>
                    <w:jc w:val="both"/>
                    <w:rPr>
                      <w:rFonts w:cs="Times New Roman"/>
                    </w:rPr>
                  </w:pPr>
                  <w:r>
                    <w:rPr>
                      <w:rFonts w:hint="eastAsia" w:cs="Times New Roman"/>
                    </w:rPr>
                    <w:t>2.至2030年，万元工业增加值用水量进一步减少为28.0m</w:t>
                  </w:r>
                  <w:r>
                    <w:rPr>
                      <w:rFonts w:hint="eastAsia" w:cs="Times New Roman"/>
                      <w:vertAlign w:val="superscript"/>
                    </w:rPr>
                    <w:t>3</w:t>
                  </w:r>
                  <w:r>
                    <w:rPr>
                      <w:rFonts w:hint="eastAsia" w:cs="Times New Roman"/>
                    </w:rPr>
                    <w:t>/万元，重复利用率提高到85%；</w:t>
                  </w:r>
                </w:p>
                <w:p w14:paraId="11C0C04B">
                  <w:pPr>
                    <w:pStyle w:val="31"/>
                    <w:jc w:val="both"/>
                    <w:rPr>
                      <w:rFonts w:cs="Times New Roman"/>
                    </w:rPr>
                  </w:pPr>
                  <w:r>
                    <w:rPr>
                      <w:rFonts w:hint="eastAsia" w:cs="Times New Roman"/>
                    </w:rPr>
                    <w:t>3.新、改扩建项目水耗指标满足《四川省省级生态工业园区指标》综合类生态工业园区要求。</w:t>
                  </w:r>
                </w:p>
              </w:tc>
              <w:tc>
                <w:tcPr>
                  <w:tcW w:w="1135" w:type="pct"/>
                  <w:vAlign w:val="center"/>
                </w:tcPr>
                <w:p w14:paraId="2A9DBC6A">
                  <w:pPr>
                    <w:pStyle w:val="31"/>
                    <w:rPr>
                      <w:rFonts w:cs="Times New Roman"/>
                    </w:rPr>
                  </w:pPr>
                  <w:r>
                    <w:rPr>
                      <w:rFonts w:hint="eastAsia" w:cs="Times New Roman"/>
                      <w:szCs w:val="24"/>
                    </w:rPr>
                    <w:t>项目按满足</w:t>
                  </w:r>
                  <w:r>
                    <w:rPr>
                      <w:rFonts w:hint="eastAsia" w:cs="Times New Roman"/>
                    </w:rPr>
                    <w:t>《四川省省级生态工业园区指标》综合类生态工业园区要求建设。</w:t>
                  </w:r>
                </w:p>
              </w:tc>
              <w:tc>
                <w:tcPr>
                  <w:tcW w:w="128" w:type="pct"/>
                  <w:vAlign w:val="center"/>
                </w:tcPr>
                <w:p w14:paraId="0051E6B5">
                  <w:pPr>
                    <w:pStyle w:val="31"/>
                    <w:rPr>
                      <w:rFonts w:cs="Times New Roman"/>
                    </w:rPr>
                  </w:pPr>
                  <w:r>
                    <w:rPr>
                      <w:rFonts w:hint="eastAsia" w:cs="Times New Roman"/>
                    </w:rPr>
                    <w:t>符合</w:t>
                  </w:r>
                </w:p>
              </w:tc>
            </w:tr>
            <w:tr w14:paraId="65C2BC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344E16D9">
                  <w:pPr>
                    <w:pStyle w:val="31"/>
                    <w:rPr>
                      <w:rFonts w:cs="Times New Roman"/>
                    </w:rPr>
                  </w:pPr>
                </w:p>
              </w:tc>
              <w:tc>
                <w:tcPr>
                  <w:tcW w:w="172" w:type="pct"/>
                  <w:vMerge w:val="continue"/>
                  <w:vAlign w:val="center"/>
                </w:tcPr>
                <w:p w14:paraId="32CF50AF">
                  <w:pPr>
                    <w:pStyle w:val="31"/>
                    <w:rPr>
                      <w:rFonts w:cs="Times New Roman"/>
                    </w:rPr>
                  </w:pPr>
                </w:p>
              </w:tc>
              <w:tc>
                <w:tcPr>
                  <w:tcW w:w="208" w:type="pct"/>
                  <w:vMerge w:val="continue"/>
                  <w:vAlign w:val="center"/>
                </w:tcPr>
                <w:p w14:paraId="565718D9">
                  <w:pPr>
                    <w:pStyle w:val="31"/>
                    <w:rPr>
                      <w:rFonts w:cs="Times New Roman"/>
                    </w:rPr>
                  </w:pPr>
                </w:p>
              </w:tc>
              <w:tc>
                <w:tcPr>
                  <w:tcW w:w="2655" w:type="pct"/>
                  <w:vAlign w:val="center"/>
                </w:tcPr>
                <w:p w14:paraId="66611D6A">
                  <w:pPr>
                    <w:pStyle w:val="31"/>
                    <w:jc w:val="both"/>
                    <w:rPr>
                      <w:rFonts w:cs="Times New Roman"/>
                    </w:rPr>
                  </w:pPr>
                  <w:r>
                    <w:rPr>
                      <w:rFonts w:hint="eastAsia" w:cs="Times New Roman"/>
                    </w:rPr>
                    <w:t>地下水开采要求：</w:t>
                  </w:r>
                </w:p>
                <w:p w14:paraId="36B24A85">
                  <w:pPr>
                    <w:pStyle w:val="31"/>
                    <w:jc w:val="both"/>
                    <w:rPr>
                      <w:rFonts w:cs="Times New Roman"/>
                    </w:rPr>
                  </w:pPr>
                  <w:r>
                    <w:rPr>
                      <w:rFonts w:hint="eastAsia" w:cs="Times New Roman"/>
                    </w:rPr>
                    <w:t>全面建设节水型社会，达到合理高效用水。</w:t>
                  </w:r>
                </w:p>
              </w:tc>
              <w:tc>
                <w:tcPr>
                  <w:tcW w:w="1135" w:type="pct"/>
                  <w:vAlign w:val="center"/>
                </w:tcPr>
                <w:p w14:paraId="70E19014">
                  <w:pPr>
                    <w:pStyle w:val="31"/>
                    <w:rPr>
                      <w:rFonts w:cs="Times New Roman"/>
                    </w:rPr>
                  </w:pPr>
                  <w:r>
                    <w:rPr>
                      <w:rFonts w:hint="eastAsia" w:cs="Times New Roman"/>
                    </w:rPr>
                    <w:t>本项目不涉及地下水开采，</w:t>
                  </w:r>
                </w:p>
              </w:tc>
              <w:tc>
                <w:tcPr>
                  <w:tcW w:w="128" w:type="pct"/>
                  <w:vAlign w:val="center"/>
                </w:tcPr>
                <w:p w14:paraId="18613F36">
                  <w:pPr>
                    <w:pStyle w:val="31"/>
                    <w:rPr>
                      <w:rFonts w:cs="Times New Roman"/>
                    </w:rPr>
                  </w:pPr>
                  <w:r>
                    <w:rPr>
                      <w:rFonts w:hint="eastAsia" w:cs="Times New Roman"/>
                    </w:rPr>
                    <w:t>符合</w:t>
                  </w:r>
                </w:p>
              </w:tc>
            </w:tr>
            <w:tr w14:paraId="0A5197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AC5878F">
                  <w:pPr>
                    <w:pStyle w:val="31"/>
                    <w:rPr>
                      <w:rFonts w:cs="Times New Roman"/>
                    </w:rPr>
                  </w:pPr>
                </w:p>
              </w:tc>
              <w:tc>
                <w:tcPr>
                  <w:tcW w:w="172" w:type="pct"/>
                  <w:vMerge w:val="continue"/>
                  <w:vAlign w:val="center"/>
                </w:tcPr>
                <w:p w14:paraId="06EE60BB">
                  <w:pPr>
                    <w:pStyle w:val="31"/>
                    <w:rPr>
                      <w:rFonts w:cs="Times New Roman"/>
                    </w:rPr>
                  </w:pPr>
                </w:p>
              </w:tc>
              <w:tc>
                <w:tcPr>
                  <w:tcW w:w="208" w:type="pct"/>
                  <w:vMerge w:val="continue"/>
                  <w:vAlign w:val="center"/>
                </w:tcPr>
                <w:p w14:paraId="02018914">
                  <w:pPr>
                    <w:pStyle w:val="31"/>
                    <w:rPr>
                      <w:rFonts w:cs="Times New Roman"/>
                    </w:rPr>
                  </w:pPr>
                </w:p>
              </w:tc>
              <w:tc>
                <w:tcPr>
                  <w:tcW w:w="2655" w:type="pct"/>
                  <w:vAlign w:val="center"/>
                </w:tcPr>
                <w:p w14:paraId="0FF47F03">
                  <w:pPr>
                    <w:pStyle w:val="31"/>
                    <w:jc w:val="both"/>
                    <w:rPr>
                      <w:rFonts w:cs="Times New Roman"/>
                    </w:rPr>
                  </w:pPr>
                  <w:r>
                    <w:rPr>
                      <w:rFonts w:hint="eastAsia" w:cs="Times New Roman"/>
                    </w:rPr>
                    <w:t>能源利用总量及效率要求：</w:t>
                  </w:r>
                </w:p>
                <w:p w14:paraId="31B95927">
                  <w:pPr>
                    <w:pStyle w:val="31"/>
                    <w:jc w:val="both"/>
                    <w:rPr>
                      <w:rFonts w:cs="Times New Roman"/>
                    </w:rPr>
                  </w:pPr>
                  <w:r>
                    <w:rPr>
                      <w:rFonts w:hint="eastAsia" w:cs="Times New Roman"/>
                    </w:rPr>
                    <w:t>1.扩大高污染燃料禁燃区范围，在市、县（区）、镇（乡）建成区全面实施“煤改气”“煤改电”。</w:t>
                  </w:r>
                </w:p>
                <w:p w14:paraId="2E9E0D74">
                  <w:pPr>
                    <w:pStyle w:val="31"/>
                    <w:jc w:val="both"/>
                    <w:rPr>
                      <w:rFonts w:cs="Times New Roman"/>
                    </w:rPr>
                  </w:pPr>
                  <w:r>
                    <w:rPr>
                      <w:rFonts w:hint="eastAsia" w:cs="Times New Roman"/>
                    </w:rPr>
                    <w:t>2.新、改扩建项目能耗指标满足《四川省省级生态工业园区指标》综合类生态工业园区要求。</w:t>
                  </w:r>
                </w:p>
                <w:p w14:paraId="0076DE48">
                  <w:pPr>
                    <w:pStyle w:val="31"/>
                    <w:jc w:val="both"/>
                    <w:rPr>
                      <w:rFonts w:cs="Times New Roman"/>
                    </w:rPr>
                  </w:pPr>
                  <w:r>
                    <w:rPr>
                      <w:rFonts w:hint="eastAsia" w:cs="Times New Roman"/>
                    </w:rPr>
                    <w:t>3.实施新建项目与煤炭消费总量控制挂钩机制，耗煤建设项目实行煤炭消耗等量减量替代。</w:t>
                  </w:r>
                </w:p>
                <w:p w14:paraId="6B3A1A0A">
                  <w:pPr>
                    <w:pStyle w:val="31"/>
                    <w:jc w:val="both"/>
                    <w:rPr>
                      <w:rFonts w:cs="Times New Roman"/>
                    </w:rPr>
                  </w:pPr>
                  <w:r>
                    <w:rPr>
                      <w:rFonts w:hint="eastAsia" w:cs="Times New Roman"/>
                    </w:rPr>
                    <w:t>4.提高煤炭利用效率和天然气利用占比，工业领域有序推进“煤改电”和“煤改气”。</w:t>
                  </w:r>
                </w:p>
                <w:p w14:paraId="2F05E014">
                  <w:pPr>
                    <w:pStyle w:val="31"/>
                    <w:jc w:val="both"/>
                    <w:rPr>
                      <w:rFonts w:cs="Times New Roman"/>
                    </w:rPr>
                  </w:pPr>
                  <w:r>
                    <w:rPr>
                      <w:rFonts w:hint="eastAsia" w:cs="Times New Roman"/>
                    </w:rPr>
                    <w:t>5.到2030年，能源消费总量控制在1000万吨标准煤以内。</w:t>
                  </w:r>
                </w:p>
              </w:tc>
              <w:tc>
                <w:tcPr>
                  <w:tcW w:w="1135" w:type="pct"/>
                  <w:vAlign w:val="center"/>
                </w:tcPr>
                <w:p w14:paraId="0F723A9B">
                  <w:pPr>
                    <w:pStyle w:val="31"/>
                    <w:rPr>
                      <w:rFonts w:cs="Times New Roman"/>
                    </w:rPr>
                  </w:pPr>
                  <w:r>
                    <w:rPr>
                      <w:rFonts w:hint="eastAsia" w:cs="Times New Roman"/>
                      <w:szCs w:val="24"/>
                    </w:rPr>
                    <w:t>项目使用生物质气，项目按满足</w:t>
                  </w:r>
                  <w:r>
                    <w:rPr>
                      <w:rFonts w:hint="eastAsia" w:cs="Times New Roman"/>
                    </w:rPr>
                    <w:t>《四川省省级生态工业园区指标》综合类生态工业园区要求建设。</w:t>
                  </w:r>
                </w:p>
              </w:tc>
              <w:tc>
                <w:tcPr>
                  <w:tcW w:w="128" w:type="pct"/>
                  <w:vAlign w:val="center"/>
                </w:tcPr>
                <w:p w14:paraId="2C3F0FE5">
                  <w:pPr>
                    <w:pStyle w:val="31"/>
                    <w:rPr>
                      <w:rFonts w:cs="Times New Roman"/>
                    </w:rPr>
                  </w:pPr>
                  <w:r>
                    <w:rPr>
                      <w:rFonts w:hint="eastAsia" w:cs="Times New Roman"/>
                    </w:rPr>
                    <w:t>符合</w:t>
                  </w:r>
                </w:p>
              </w:tc>
            </w:tr>
            <w:tr w14:paraId="60961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73CB52E">
                  <w:pPr>
                    <w:pStyle w:val="31"/>
                    <w:rPr>
                      <w:rFonts w:cs="Times New Roman"/>
                    </w:rPr>
                  </w:pPr>
                </w:p>
              </w:tc>
              <w:tc>
                <w:tcPr>
                  <w:tcW w:w="172" w:type="pct"/>
                  <w:vMerge w:val="continue"/>
                  <w:vAlign w:val="center"/>
                </w:tcPr>
                <w:p w14:paraId="6EFF9E1E">
                  <w:pPr>
                    <w:pStyle w:val="31"/>
                    <w:rPr>
                      <w:rFonts w:cs="Times New Roman"/>
                    </w:rPr>
                  </w:pPr>
                </w:p>
              </w:tc>
              <w:tc>
                <w:tcPr>
                  <w:tcW w:w="208" w:type="pct"/>
                  <w:vMerge w:val="continue"/>
                  <w:vAlign w:val="center"/>
                </w:tcPr>
                <w:p w14:paraId="5F61E134">
                  <w:pPr>
                    <w:pStyle w:val="31"/>
                    <w:rPr>
                      <w:rFonts w:cs="Times New Roman"/>
                    </w:rPr>
                  </w:pPr>
                </w:p>
              </w:tc>
              <w:tc>
                <w:tcPr>
                  <w:tcW w:w="2655" w:type="pct"/>
                  <w:vAlign w:val="center"/>
                </w:tcPr>
                <w:p w14:paraId="49096EEB">
                  <w:pPr>
                    <w:pStyle w:val="31"/>
                    <w:jc w:val="both"/>
                    <w:rPr>
                      <w:rFonts w:cs="Times New Roman"/>
                    </w:rPr>
                  </w:pPr>
                  <w:r>
                    <w:rPr>
                      <w:rFonts w:hint="eastAsia" w:cs="Times New Roman"/>
                    </w:rPr>
                    <w:t>禁燃区要求：</w:t>
                  </w:r>
                </w:p>
                <w:p w14:paraId="09F0FDD9">
                  <w:pPr>
                    <w:pStyle w:val="31"/>
                    <w:jc w:val="both"/>
                    <w:rPr>
                      <w:rFonts w:cs="Times New Roman"/>
                    </w:rPr>
                  </w:pPr>
                  <w:r>
                    <w:rPr>
                      <w:rFonts w:hint="eastAsia" w:cs="Times New Roman"/>
                    </w:rPr>
                    <w:t>1.禁燃区内禁止燃烧以下高污染燃料：</w:t>
                  </w:r>
                </w:p>
                <w:p w14:paraId="7D472474">
                  <w:pPr>
                    <w:pStyle w:val="31"/>
                    <w:jc w:val="both"/>
                    <w:rPr>
                      <w:rFonts w:cs="Times New Roman"/>
                    </w:rPr>
                  </w:pPr>
                  <w:r>
                    <w:rPr>
                      <w:rFonts w:hint="eastAsia" w:cs="Times New Roman"/>
                    </w:rPr>
                    <w:t>（1）煤炭及其制品（包括原煤、散煤、煤矸石、煤泥、煤粉、水浆煤、型煤、焦炭、兰炭、油类等常规燃料）。</w:t>
                  </w:r>
                </w:p>
                <w:p w14:paraId="2D4E5FF1">
                  <w:pPr>
                    <w:pStyle w:val="31"/>
                    <w:jc w:val="both"/>
                    <w:rPr>
                      <w:rFonts w:cs="Times New Roman"/>
                    </w:rPr>
                  </w:pPr>
                  <w:r>
                    <w:rPr>
                      <w:rFonts w:hint="eastAsia" w:cs="Times New Roman"/>
                    </w:rPr>
                    <w:t>（2）石油焦、油页岩、原油、重油、渣油、煤焦油。</w:t>
                  </w:r>
                </w:p>
                <w:p w14:paraId="32C3664F">
                  <w:pPr>
                    <w:pStyle w:val="31"/>
                    <w:jc w:val="both"/>
                    <w:rPr>
                      <w:rFonts w:cs="Times New Roman"/>
                    </w:rPr>
                  </w:pPr>
                  <w:r>
                    <w:rPr>
                      <w:rFonts w:hint="eastAsia" w:cs="Times New Roman"/>
                    </w:rPr>
                    <w:t>（3）非专用锅炉或未配置高效除尘设施的专用锅炉燃用的生物质成型燃料。</w:t>
                  </w:r>
                </w:p>
                <w:p w14:paraId="0D38C2AA">
                  <w:pPr>
                    <w:pStyle w:val="31"/>
                    <w:jc w:val="both"/>
                    <w:rPr>
                      <w:rFonts w:cs="Times New Roman"/>
                    </w:rPr>
                  </w:pPr>
                  <w:r>
                    <w:rPr>
                      <w:rFonts w:hint="eastAsia" w:cs="Times New Roman"/>
                    </w:rPr>
                    <w:t>2.禁燃区内禁止新建、扩建燃用高污染燃料的锅炉、炉窑、炉灶等燃烧设施（集中供热、电厂锅炉除外）。</w:t>
                  </w:r>
                </w:p>
                <w:p w14:paraId="55909EB1">
                  <w:pPr>
                    <w:pStyle w:val="31"/>
                    <w:jc w:val="both"/>
                    <w:rPr>
                      <w:rFonts w:cs="Times New Roman"/>
                    </w:rPr>
                  </w:pPr>
                  <w:r>
                    <w:rPr>
                      <w:rFonts w:hint="eastAsia" w:cs="Times New Roman"/>
                    </w:rPr>
                    <w:t>3.自2020年1月1日起，禁燃区内禁止销售高污染燃料。</w:t>
                  </w:r>
                </w:p>
                <w:p w14:paraId="2824C937">
                  <w:pPr>
                    <w:pStyle w:val="31"/>
                    <w:jc w:val="both"/>
                    <w:rPr>
                      <w:rFonts w:cs="Times New Roman"/>
                    </w:rPr>
                  </w:pPr>
                  <w:r>
                    <w:rPr>
                      <w:rFonts w:hint="eastAsia" w:cs="Times New Roman"/>
                    </w:rPr>
                    <w:t>4.加强对集中供热、电厂锅炉、10蒸吨/时以上的在用燃煤锅炉以及改用清洁能源前的在用锅炉等燃烧设施的监管，确保达标排放。</w:t>
                  </w:r>
                </w:p>
              </w:tc>
              <w:tc>
                <w:tcPr>
                  <w:tcW w:w="1135" w:type="pct"/>
                  <w:vAlign w:val="center"/>
                </w:tcPr>
                <w:p w14:paraId="2647FF73">
                  <w:pPr>
                    <w:pStyle w:val="31"/>
                    <w:rPr>
                      <w:rFonts w:cs="Times New Roman"/>
                    </w:rPr>
                  </w:pPr>
                  <w:r>
                    <w:rPr>
                      <w:rFonts w:hint="eastAsia" w:cs="Times New Roman"/>
                    </w:rPr>
                    <w:t>本项目位于遂宁市禁燃区，本项目为</w:t>
                  </w:r>
                  <w:r>
                    <w:rPr>
                      <w:rFonts w:hint="eastAsia" w:cs="Times New Roman"/>
                      <w:szCs w:val="24"/>
                    </w:rPr>
                    <w:t>热力生产和供应项目，项目</w:t>
                  </w:r>
                  <w:r>
                    <w:rPr>
                      <w:rFonts w:cs="Times New Roman"/>
                      <w:szCs w:val="24"/>
                    </w:rPr>
                    <w:t>4</w:t>
                  </w:r>
                  <w:r>
                    <w:rPr>
                      <w:rFonts w:hint="eastAsia" w:cs="Times New Roman"/>
                      <w:szCs w:val="24"/>
                    </w:rPr>
                    <w:t>台</w:t>
                  </w:r>
                  <w:r>
                    <w:rPr>
                      <w:rFonts w:cs="Times New Roman"/>
                      <w:szCs w:val="24"/>
                    </w:rPr>
                    <w:t>35t/h</w:t>
                  </w:r>
                  <w:r>
                    <w:rPr>
                      <w:rFonts w:hint="eastAsia" w:cs="Times New Roman"/>
                      <w:szCs w:val="24"/>
                    </w:rPr>
                    <w:t>锅炉，使用生物质气为燃料，不属于高污染燃料。并配置高效除尘设施。</w:t>
                  </w:r>
                </w:p>
              </w:tc>
              <w:tc>
                <w:tcPr>
                  <w:tcW w:w="128" w:type="pct"/>
                  <w:vAlign w:val="center"/>
                </w:tcPr>
                <w:p w14:paraId="331FA8A8">
                  <w:pPr>
                    <w:pStyle w:val="31"/>
                    <w:rPr>
                      <w:rFonts w:cs="Times New Roman"/>
                    </w:rPr>
                  </w:pPr>
                  <w:r>
                    <w:rPr>
                      <w:rFonts w:hint="eastAsia" w:cs="Times New Roman"/>
                    </w:rPr>
                    <w:t>符合</w:t>
                  </w:r>
                </w:p>
              </w:tc>
            </w:tr>
            <w:tr w14:paraId="6E532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8550C37">
                  <w:pPr>
                    <w:pStyle w:val="31"/>
                    <w:rPr>
                      <w:rFonts w:cs="Times New Roman"/>
                    </w:rPr>
                  </w:pPr>
                </w:p>
              </w:tc>
              <w:tc>
                <w:tcPr>
                  <w:tcW w:w="172" w:type="pct"/>
                  <w:vMerge w:val="continue"/>
                  <w:vAlign w:val="center"/>
                </w:tcPr>
                <w:p w14:paraId="71C28B7E">
                  <w:pPr>
                    <w:pStyle w:val="31"/>
                    <w:rPr>
                      <w:rFonts w:cs="Times New Roman"/>
                    </w:rPr>
                  </w:pPr>
                </w:p>
              </w:tc>
              <w:tc>
                <w:tcPr>
                  <w:tcW w:w="208" w:type="pct"/>
                  <w:vMerge w:val="continue"/>
                  <w:vAlign w:val="center"/>
                </w:tcPr>
                <w:p w14:paraId="4F6E682B">
                  <w:pPr>
                    <w:pStyle w:val="31"/>
                    <w:rPr>
                      <w:rFonts w:cs="Times New Roman"/>
                    </w:rPr>
                  </w:pPr>
                </w:p>
              </w:tc>
              <w:tc>
                <w:tcPr>
                  <w:tcW w:w="2655" w:type="pct"/>
                  <w:vAlign w:val="center"/>
                </w:tcPr>
                <w:p w14:paraId="599F1C27">
                  <w:pPr>
                    <w:pStyle w:val="31"/>
                    <w:jc w:val="both"/>
                    <w:rPr>
                      <w:rFonts w:cs="Times New Roman"/>
                    </w:rPr>
                  </w:pPr>
                  <w:r>
                    <w:rPr>
                      <w:rFonts w:hint="eastAsia" w:cs="Times New Roman"/>
                    </w:rPr>
                    <w:t>其他资源利用效率要求：/</w:t>
                  </w:r>
                </w:p>
              </w:tc>
              <w:tc>
                <w:tcPr>
                  <w:tcW w:w="1135" w:type="pct"/>
                  <w:vAlign w:val="center"/>
                </w:tcPr>
                <w:p w14:paraId="4807D889">
                  <w:pPr>
                    <w:pStyle w:val="31"/>
                    <w:rPr>
                      <w:rFonts w:cs="Times New Roman"/>
                    </w:rPr>
                  </w:pPr>
                  <w:r>
                    <w:rPr>
                      <w:rFonts w:hint="eastAsia" w:cs="Times New Roman"/>
                    </w:rPr>
                    <w:t>/</w:t>
                  </w:r>
                </w:p>
              </w:tc>
              <w:tc>
                <w:tcPr>
                  <w:tcW w:w="128" w:type="pct"/>
                  <w:vAlign w:val="center"/>
                </w:tcPr>
                <w:p w14:paraId="700AEDD6">
                  <w:pPr>
                    <w:pStyle w:val="31"/>
                    <w:rPr>
                      <w:rFonts w:cs="Times New Roman"/>
                    </w:rPr>
                  </w:pPr>
                  <w:r>
                    <w:rPr>
                      <w:rFonts w:hint="eastAsia" w:cs="Times New Roman"/>
                    </w:rPr>
                    <w:t>/</w:t>
                  </w:r>
                </w:p>
              </w:tc>
            </w:tr>
            <w:tr w14:paraId="0FABA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06A942D7">
                  <w:pPr>
                    <w:pStyle w:val="31"/>
                    <w:rPr>
                      <w:rFonts w:cs="Times New Roman"/>
                    </w:rPr>
                  </w:pPr>
                </w:p>
              </w:tc>
              <w:tc>
                <w:tcPr>
                  <w:tcW w:w="172" w:type="pct"/>
                  <w:vMerge w:val="restart"/>
                  <w:vAlign w:val="center"/>
                </w:tcPr>
                <w:p w14:paraId="2675F279">
                  <w:pPr>
                    <w:pStyle w:val="31"/>
                    <w:rPr>
                      <w:rFonts w:cs="Times New Roman"/>
                    </w:rPr>
                  </w:pPr>
                  <w:r>
                    <w:rPr>
                      <w:rFonts w:hint="eastAsia" w:cs="Times New Roman"/>
                    </w:rPr>
                    <w:t>单元特性</w:t>
                  </w:r>
                </w:p>
              </w:tc>
              <w:tc>
                <w:tcPr>
                  <w:tcW w:w="208" w:type="pct"/>
                  <w:vMerge w:val="restart"/>
                  <w:vAlign w:val="center"/>
                </w:tcPr>
                <w:p w14:paraId="15E3C08F">
                  <w:pPr>
                    <w:pStyle w:val="31"/>
                    <w:rPr>
                      <w:rFonts w:cs="Times New Roman"/>
                    </w:rPr>
                  </w:pPr>
                  <w:r>
                    <w:rPr>
                      <w:rFonts w:hint="eastAsia" w:cs="Times New Roman"/>
                    </w:rPr>
                    <w:t>空间布局约束</w:t>
                  </w:r>
                </w:p>
              </w:tc>
              <w:tc>
                <w:tcPr>
                  <w:tcW w:w="2655" w:type="pct"/>
                  <w:vAlign w:val="center"/>
                </w:tcPr>
                <w:p w14:paraId="5D5EF50E">
                  <w:pPr>
                    <w:pStyle w:val="31"/>
                    <w:jc w:val="both"/>
                    <w:rPr>
                      <w:rFonts w:cs="Times New Roman"/>
                    </w:rPr>
                  </w:pPr>
                  <w:r>
                    <w:rPr>
                      <w:rFonts w:hint="eastAsia" w:cs="Times New Roman"/>
                    </w:rPr>
                    <w:t>禁止开发建设活动的要求</w:t>
                  </w:r>
                </w:p>
                <w:p w14:paraId="1EEC0263">
                  <w:pPr>
                    <w:pStyle w:val="31"/>
                    <w:jc w:val="both"/>
                    <w:rPr>
                      <w:rFonts w:cs="Times New Roman"/>
                    </w:rPr>
                  </w:pPr>
                  <w:r>
                    <w:rPr>
                      <w:rFonts w:hint="eastAsia" w:cs="Times New Roman"/>
                    </w:rPr>
                    <w:t>1.禁止新建纯碱、PVC项目</w:t>
                  </w:r>
                </w:p>
                <w:p w14:paraId="5F2463CF">
                  <w:pPr>
                    <w:pStyle w:val="31"/>
                    <w:jc w:val="both"/>
                    <w:rPr>
                      <w:rFonts w:cs="Times New Roman"/>
                    </w:rPr>
                  </w:pPr>
                  <w:r>
                    <w:rPr>
                      <w:rFonts w:hint="eastAsia" w:cs="Times New Roman"/>
                    </w:rPr>
                    <w:t>2.禁止扩大合成氨或实施扩建氮肥项目</w:t>
                  </w:r>
                </w:p>
                <w:p w14:paraId="1215DFDB">
                  <w:pPr>
                    <w:pStyle w:val="31"/>
                    <w:jc w:val="both"/>
                    <w:rPr>
                      <w:rFonts w:cs="Times New Roman"/>
                    </w:rPr>
                  </w:pPr>
                  <w:r>
                    <w:rPr>
                      <w:rFonts w:hint="eastAsia" w:cs="Times New Roman"/>
                    </w:rPr>
                    <w:t>3.禁止新引入涉及印染、染整、脱胶工序或产生缫丝、精炼废水的项目</w:t>
                  </w:r>
                </w:p>
                <w:p w14:paraId="6C399E5C">
                  <w:pPr>
                    <w:pStyle w:val="31"/>
                    <w:jc w:val="both"/>
                    <w:rPr>
                      <w:rFonts w:cs="Times New Roman"/>
                    </w:rPr>
                  </w:pPr>
                  <w:r>
                    <w:rPr>
                      <w:rFonts w:hint="eastAsia" w:cs="Times New Roman"/>
                    </w:rPr>
                    <w:t>4.禁止引入印制电路板、集成电路制造、平板及柔性显示器件制造等耗、排水量大的项目</w:t>
                  </w:r>
                </w:p>
                <w:p w14:paraId="797D2C66">
                  <w:pPr>
                    <w:pStyle w:val="31"/>
                    <w:jc w:val="both"/>
                    <w:rPr>
                      <w:rFonts w:cs="Times New Roman"/>
                    </w:rPr>
                  </w:pPr>
                  <w:r>
                    <w:rPr>
                      <w:rFonts w:hint="eastAsia" w:cs="Times New Roman"/>
                    </w:rPr>
                    <w:t>5.禁止引进和新建涉及喷漆工艺家具制造（木制品加工）生产项目（使用粉末喷涂、水性涂料及UV涂料以及进入共享喷涂中心除外）</w:t>
                  </w:r>
                </w:p>
                <w:p w14:paraId="521D445B">
                  <w:pPr>
                    <w:pStyle w:val="31"/>
                    <w:jc w:val="both"/>
                    <w:rPr>
                      <w:rFonts w:cs="Times New Roman"/>
                    </w:rPr>
                  </w:pPr>
                  <w:r>
                    <w:rPr>
                      <w:rFonts w:hint="eastAsia" w:cs="Times New Roman"/>
                    </w:rPr>
                    <w:t>6.禁止新建燃煤火电、金属冶炼、制浆（含废纸制浆）、屠宰、皮革鞣制、铅蓄电池制造、原油炼制、煤化工及发酵制药项目</w:t>
                  </w:r>
                </w:p>
                <w:p w14:paraId="47D44846">
                  <w:pPr>
                    <w:pStyle w:val="31"/>
                    <w:jc w:val="both"/>
                    <w:rPr>
                      <w:rFonts w:cs="Times New Roman"/>
                    </w:rPr>
                  </w:pPr>
                  <w:r>
                    <w:rPr>
                      <w:rFonts w:hint="eastAsia" w:cs="Times New Roman"/>
                    </w:rPr>
                    <w:t>7.梨子坝、马家坝片区禁止新引入化工项目片区铅蓄电池生产企业限制发展，待远期条件成熟时，实现铅、汞、镉、铬、砷重金属污染物“零排放”或搬迁出园区</w:t>
                  </w:r>
                </w:p>
                <w:p w14:paraId="35E590E1">
                  <w:pPr>
                    <w:pStyle w:val="31"/>
                    <w:jc w:val="both"/>
                    <w:rPr>
                      <w:rFonts w:cs="Times New Roman"/>
                    </w:rPr>
                  </w:pPr>
                  <w:r>
                    <w:rPr>
                      <w:rFonts w:hint="eastAsia" w:cs="Times New Roman"/>
                    </w:rPr>
                    <w:t>8.规划区内郪江两侧自防洪堤外源控制线起50m区域纳入生态保护范围，禁止开展采矿、挖沙取土或工业活动</w:t>
                  </w:r>
                </w:p>
                <w:p w14:paraId="42F3CD59">
                  <w:pPr>
                    <w:pStyle w:val="31"/>
                    <w:jc w:val="both"/>
                    <w:rPr>
                      <w:rFonts w:cs="Times New Roman"/>
                    </w:rPr>
                  </w:pPr>
                  <w:r>
                    <w:rPr>
                      <w:rFonts w:hint="eastAsia" w:cs="Times New Roman"/>
                    </w:rPr>
                    <w:t>9.其他参照遂宁市总体准入要求-工业重点管控单元</w:t>
                  </w:r>
                </w:p>
              </w:tc>
              <w:tc>
                <w:tcPr>
                  <w:tcW w:w="1135" w:type="pct"/>
                  <w:vAlign w:val="center"/>
                </w:tcPr>
                <w:p w14:paraId="1E199F5C">
                  <w:pPr>
                    <w:pStyle w:val="31"/>
                    <w:rPr>
                      <w:rFonts w:cs="Times New Roman"/>
                    </w:rPr>
                  </w:pPr>
                  <w:r>
                    <w:rPr>
                      <w:rFonts w:hint="eastAsia" w:cs="Times New Roman"/>
                    </w:rPr>
                    <w:t>本项目为</w:t>
                  </w:r>
                  <w:r>
                    <w:rPr>
                      <w:rFonts w:hint="eastAsia" w:cs="Times New Roman"/>
                      <w:szCs w:val="24"/>
                    </w:rPr>
                    <w:t>热力生产和供应项目，不属于禁止项目。本项目位于工业园区内，不涉及</w:t>
                  </w:r>
                  <w:r>
                    <w:rPr>
                      <w:rFonts w:hint="eastAsia" w:cs="Times New Roman"/>
                    </w:rPr>
                    <w:t>郪江两侧自防洪堤外源控制线起50m区域纳入生态保护范围。</w:t>
                  </w:r>
                </w:p>
              </w:tc>
              <w:tc>
                <w:tcPr>
                  <w:tcW w:w="128" w:type="pct"/>
                  <w:vAlign w:val="center"/>
                </w:tcPr>
                <w:p w14:paraId="58033F99">
                  <w:pPr>
                    <w:pStyle w:val="31"/>
                    <w:rPr>
                      <w:rFonts w:cs="Times New Roman"/>
                    </w:rPr>
                  </w:pPr>
                  <w:r>
                    <w:rPr>
                      <w:rFonts w:hint="eastAsia" w:cs="Times New Roman"/>
                    </w:rPr>
                    <w:t>符合</w:t>
                  </w:r>
                </w:p>
              </w:tc>
            </w:tr>
            <w:tr w14:paraId="6EB35B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480EDEE6">
                  <w:pPr>
                    <w:pStyle w:val="31"/>
                    <w:rPr>
                      <w:rFonts w:cs="Times New Roman"/>
                    </w:rPr>
                  </w:pPr>
                </w:p>
              </w:tc>
              <w:tc>
                <w:tcPr>
                  <w:tcW w:w="172" w:type="pct"/>
                  <w:vMerge w:val="continue"/>
                  <w:vAlign w:val="center"/>
                </w:tcPr>
                <w:p w14:paraId="7D89EA47">
                  <w:pPr>
                    <w:pStyle w:val="31"/>
                    <w:rPr>
                      <w:rFonts w:cs="Times New Roman"/>
                    </w:rPr>
                  </w:pPr>
                </w:p>
              </w:tc>
              <w:tc>
                <w:tcPr>
                  <w:tcW w:w="208" w:type="pct"/>
                  <w:vMerge w:val="continue"/>
                  <w:vAlign w:val="center"/>
                </w:tcPr>
                <w:p w14:paraId="2EEDA5FF">
                  <w:pPr>
                    <w:pStyle w:val="31"/>
                    <w:rPr>
                      <w:rFonts w:cs="Times New Roman"/>
                    </w:rPr>
                  </w:pPr>
                </w:p>
              </w:tc>
              <w:tc>
                <w:tcPr>
                  <w:tcW w:w="2655" w:type="pct"/>
                  <w:vAlign w:val="center"/>
                </w:tcPr>
                <w:p w14:paraId="6E05F962">
                  <w:pPr>
                    <w:pStyle w:val="31"/>
                    <w:jc w:val="both"/>
                    <w:rPr>
                      <w:rFonts w:cs="Times New Roman"/>
                    </w:rPr>
                  </w:pPr>
                  <w:r>
                    <w:rPr>
                      <w:rFonts w:hint="eastAsia" w:cs="Times New Roman"/>
                    </w:rPr>
                    <w:t>限制开发建设活动的要求</w:t>
                  </w:r>
                </w:p>
                <w:p w14:paraId="763D04F5">
                  <w:pPr>
                    <w:pStyle w:val="31"/>
                    <w:jc w:val="both"/>
                    <w:rPr>
                      <w:rFonts w:cs="Times New Roman"/>
                    </w:rPr>
                  </w:pPr>
                  <w:r>
                    <w:rPr>
                      <w:rFonts w:hint="eastAsia" w:cs="Times New Roman"/>
                    </w:rPr>
                    <w:t>1.严格限制钢铁、水泥、平板玻璃、有色金属冶炼等高污染、高耗能项目</w:t>
                  </w:r>
                </w:p>
                <w:p w14:paraId="1DF41BA0">
                  <w:pPr>
                    <w:pStyle w:val="31"/>
                    <w:jc w:val="both"/>
                    <w:rPr>
                      <w:rFonts w:cs="Times New Roman"/>
                    </w:rPr>
                  </w:pPr>
                  <w:r>
                    <w:rPr>
                      <w:rFonts w:hint="eastAsia" w:cs="Times New Roman"/>
                    </w:rPr>
                    <w:t>2.限制引进和新建涉及有机溶剂使用和挥发性有机物排放的低固份油性涂料生产、沥青类防水材料生产、人造板生产等项目；</w:t>
                  </w:r>
                </w:p>
                <w:p w14:paraId="38D47CE7">
                  <w:pPr>
                    <w:pStyle w:val="31"/>
                    <w:jc w:val="both"/>
                    <w:rPr>
                      <w:rFonts w:cs="Times New Roman"/>
                    </w:rPr>
                  </w:pPr>
                  <w:r>
                    <w:rPr>
                      <w:rFonts w:hint="eastAsia" w:cs="Times New Roman"/>
                    </w:rPr>
                    <w:t>3.限制高耗水、高污染企业入驻，严控入河污染物</w:t>
                  </w:r>
                </w:p>
                <w:p w14:paraId="4AC87119">
                  <w:pPr>
                    <w:pStyle w:val="31"/>
                    <w:jc w:val="both"/>
                    <w:rPr>
                      <w:rFonts w:cs="Times New Roman"/>
                    </w:rPr>
                  </w:pPr>
                  <w:r>
                    <w:rPr>
                      <w:rFonts w:hint="eastAsia" w:cs="Times New Roman"/>
                    </w:rPr>
                    <w:t>4.其他参照遂宁市总体准入要求-工业重点管控单元</w:t>
                  </w:r>
                </w:p>
              </w:tc>
              <w:tc>
                <w:tcPr>
                  <w:tcW w:w="1135" w:type="pct"/>
                  <w:vAlign w:val="center"/>
                </w:tcPr>
                <w:p w14:paraId="06A7BB5B">
                  <w:pPr>
                    <w:pStyle w:val="31"/>
                    <w:rPr>
                      <w:rFonts w:cs="Times New Roman"/>
                    </w:rPr>
                  </w:pPr>
                  <w:r>
                    <w:rPr>
                      <w:rFonts w:hint="eastAsia" w:cs="Times New Roman"/>
                    </w:rPr>
                    <w:t>本项目为</w:t>
                  </w:r>
                  <w:r>
                    <w:rPr>
                      <w:rFonts w:hint="eastAsia" w:cs="Times New Roman"/>
                      <w:szCs w:val="24"/>
                    </w:rPr>
                    <w:t>热力生产和供应项目，不属于限值项目。</w:t>
                  </w:r>
                </w:p>
              </w:tc>
              <w:tc>
                <w:tcPr>
                  <w:tcW w:w="128" w:type="pct"/>
                  <w:vAlign w:val="center"/>
                </w:tcPr>
                <w:p w14:paraId="6BCB3B6B">
                  <w:pPr>
                    <w:pStyle w:val="31"/>
                    <w:rPr>
                      <w:rFonts w:cs="Times New Roman"/>
                    </w:rPr>
                  </w:pPr>
                  <w:r>
                    <w:rPr>
                      <w:rFonts w:hint="eastAsia" w:cs="Times New Roman"/>
                    </w:rPr>
                    <w:t>符合</w:t>
                  </w:r>
                </w:p>
              </w:tc>
            </w:tr>
            <w:tr w14:paraId="70C93E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1D97346">
                  <w:pPr>
                    <w:pStyle w:val="31"/>
                    <w:rPr>
                      <w:rFonts w:cs="Times New Roman"/>
                    </w:rPr>
                  </w:pPr>
                </w:p>
              </w:tc>
              <w:tc>
                <w:tcPr>
                  <w:tcW w:w="172" w:type="pct"/>
                  <w:vMerge w:val="continue"/>
                  <w:vAlign w:val="center"/>
                </w:tcPr>
                <w:p w14:paraId="3E2833D9">
                  <w:pPr>
                    <w:pStyle w:val="31"/>
                    <w:rPr>
                      <w:rFonts w:cs="Times New Roman"/>
                    </w:rPr>
                  </w:pPr>
                </w:p>
              </w:tc>
              <w:tc>
                <w:tcPr>
                  <w:tcW w:w="208" w:type="pct"/>
                  <w:vMerge w:val="continue"/>
                  <w:vAlign w:val="center"/>
                </w:tcPr>
                <w:p w14:paraId="2759E992">
                  <w:pPr>
                    <w:pStyle w:val="31"/>
                    <w:rPr>
                      <w:rFonts w:cs="Times New Roman"/>
                    </w:rPr>
                  </w:pPr>
                </w:p>
              </w:tc>
              <w:tc>
                <w:tcPr>
                  <w:tcW w:w="2655" w:type="pct"/>
                  <w:vAlign w:val="center"/>
                </w:tcPr>
                <w:p w14:paraId="3F62426E">
                  <w:pPr>
                    <w:pStyle w:val="31"/>
                    <w:jc w:val="both"/>
                    <w:rPr>
                      <w:rFonts w:cs="Times New Roman"/>
                    </w:rPr>
                  </w:pPr>
                  <w:r>
                    <w:rPr>
                      <w:rFonts w:hint="eastAsia" w:cs="Times New Roman"/>
                    </w:rPr>
                    <w:t>不符合空间布局要求活动的退出要求</w:t>
                  </w:r>
                </w:p>
                <w:p w14:paraId="379B5F3C">
                  <w:pPr>
                    <w:pStyle w:val="31"/>
                    <w:jc w:val="both"/>
                    <w:rPr>
                      <w:rFonts w:cs="Times New Roman"/>
                    </w:rPr>
                  </w:pPr>
                  <w:r>
                    <w:rPr>
                      <w:rFonts w:hint="eastAsia" w:cs="Times New Roman"/>
                    </w:rPr>
                    <w:t>1.岸线一公里范围内的化工企业：（1）根据《中华人民共和国长江保护法》，禁止在长江干支流岸线一公里范围内新建、扩建化工项目（2）现存化工企业，符合所在法定保护地管理规定、具有合法手续且污染物排放及环境风险满足管理要求，可继续保留</w:t>
                  </w:r>
                </w:p>
                <w:p w14:paraId="5EA16280">
                  <w:pPr>
                    <w:pStyle w:val="31"/>
                    <w:jc w:val="both"/>
                    <w:rPr>
                      <w:rFonts w:cs="Times New Roman"/>
                    </w:rPr>
                  </w:pPr>
                  <w:r>
                    <w:rPr>
                      <w:rFonts w:hint="eastAsia" w:cs="Times New Roman"/>
                    </w:rPr>
                    <w:t>2.其他参照遂宁市总体准入要求-工业重点管控单元</w:t>
                  </w:r>
                </w:p>
              </w:tc>
              <w:tc>
                <w:tcPr>
                  <w:tcW w:w="1135" w:type="pct"/>
                  <w:vAlign w:val="center"/>
                </w:tcPr>
                <w:p w14:paraId="704CC34E">
                  <w:pPr>
                    <w:pStyle w:val="31"/>
                    <w:rPr>
                      <w:rFonts w:cs="Times New Roman"/>
                    </w:rPr>
                  </w:pPr>
                  <w:r>
                    <w:rPr>
                      <w:rFonts w:hint="eastAsia" w:cs="Times New Roman"/>
                    </w:rPr>
                    <w:t>本项目为</w:t>
                  </w:r>
                  <w:r>
                    <w:rPr>
                      <w:rFonts w:hint="eastAsia" w:cs="Times New Roman"/>
                      <w:szCs w:val="24"/>
                    </w:rPr>
                    <w:t>热力生产和供应项目，不属于化工项目。</w:t>
                  </w:r>
                </w:p>
              </w:tc>
              <w:tc>
                <w:tcPr>
                  <w:tcW w:w="128" w:type="pct"/>
                  <w:vAlign w:val="center"/>
                </w:tcPr>
                <w:p w14:paraId="4BED7C60">
                  <w:pPr>
                    <w:pStyle w:val="31"/>
                    <w:rPr>
                      <w:rFonts w:cs="Times New Roman"/>
                    </w:rPr>
                  </w:pPr>
                  <w:r>
                    <w:rPr>
                      <w:rFonts w:hint="eastAsia" w:cs="Times New Roman"/>
                    </w:rPr>
                    <w:t>符合</w:t>
                  </w:r>
                </w:p>
              </w:tc>
            </w:tr>
            <w:tr w14:paraId="2FFED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7364F841">
                  <w:pPr>
                    <w:pStyle w:val="31"/>
                    <w:rPr>
                      <w:rFonts w:cs="Times New Roman"/>
                    </w:rPr>
                  </w:pPr>
                </w:p>
              </w:tc>
              <w:tc>
                <w:tcPr>
                  <w:tcW w:w="172" w:type="pct"/>
                  <w:vMerge w:val="continue"/>
                  <w:vAlign w:val="center"/>
                </w:tcPr>
                <w:p w14:paraId="0394D705">
                  <w:pPr>
                    <w:pStyle w:val="31"/>
                    <w:rPr>
                      <w:rFonts w:cs="Times New Roman"/>
                    </w:rPr>
                  </w:pPr>
                </w:p>
              </w:tc>
              <w:tc>
                <w:tcPr>
                  <w:tcW w:w="208" w:type="pct"/>
                  <w:vMerge w:val="restart"/>
                  <w:vAlign w:val="center"/>
                </w:tcPr>
                <w:p w14:paraId="0009829C">
                  <w:pPr>
                    <w:pStyle w:val="31"/>
                    <w:rPr>
                      <w:rFonts w:cs="Times New Roman"/>
                    </w:rPr>
                  </w:pPr>
                  <w:r>
                    <w:rPr>
                      <w:rFonts w:hint="eastAsia" w:cs="Times New Roman"/>
                    </w:rPr>
                    <w:t>污染物排放管控</w:t>
                  </w:r>
                </w:p>
              </w:tc>
              <w:tc>
                <w:tcPr>
                  <w:tcW w:w="2655" w:type="pct"/>
                  <w:vAlign w:val="center"/>
                </w:tcPr>
                <w:p w14:paraId="07E43919">
                  <w:pPr>
                    <w:pStyle w:val="31"/>
                    <w:jc w:val="both"/>
                    <w:rPr>
                      <w:rFonts w:cs="Times New Roman"/>
                    </w:rPr>
                  </w:pPr>
                  <w:r>
                    <w:rPr>
                      <w:rFonts w:hint="eastAsia" w:cs="Times New Roman"/>
                    </w:rPr>
                    <w:t>现有源提标升级改造</w:t>
                  </w:r>
                </w:p>
                <w:p w14:paraId="596F1DD1">
                  <w:pPr>
                    <w:pStyle w:val="31"/>
                    <w:jc w:val="both"/>
                    <w:rPr>
                      <w:rFonts w:cs="Times New Roman"/>
                    </w:rPr>
                  </w:pPr>
                  <w:r>
                    <w:rPr>
                      <w:rFonts w:hint="eastAsia" w:cs="Times New Roman"/>
                    </w:rPr>
                    <w:t>1.燃煤热电锅炉完成超低排放改造，规模在20蒸吨/时及以上的现有大中型燃煤锅炉应全部实施脱硫，脱硫效率达到70%以上。</w:t>
                  </w:r>
                </w:p>
                <w:p w14:paraId="16D7C918">
                  <w:pPr>
                    <w:pStyle w:val="31"/>
                    <w:jc w:val="both"/>
                    <w:rPr>
                      <w:rFonts w:cs="Times New Roman"/>
                    </w:rPr>
                  </w:pPr>
                  <w:r>
                    <w:rPr>
                      <w:rFonts w:hint="eastAsia" w:cs="Times New Roman"/>
                    </w:rPr>
                    <w:t>2.新建化工项目必须配套建设高效脱硫、脱硝、除尘设施，脱硝效率不低于70%。</w:t>
                  </w:r>
                </w:p>
                <w:p w14:paraId="6F4A49C6">
                  <w:pPr>
                    <w:pStyle w:val="31"/>
                    <w:jc w:val="both"/>
                    <w:rPr>
                      <w:rFonts w:cs="Times New Roman"/>
                    </w:rPr>
                  </w:pPr>
                  <w:r>
                    <w:rPr>
                      <w:rFonts w:hint="eastAsia" w:cs="Times New Roman"/>
                    </w:rPr>
                    <w:t>3.加强中水回用，逐步将工业污水处理厂中水回用于工业企业的冷却用水等生产性用水，远期回用率达到30%；</w:t>
                  </w:r>
                </w:p>
                <w:p w14:paraId="0FFD29A4">
                  <w:pPr>
                    <w:pStyle w:val="31"/>
                    <w:jc w:val="both"/>
                    <w:rPr>
                      <w:rFonts w:cs="Times New Roman"/>
                    </w:rPr>
                  </w:pPr>
                  <w:r>
                    <w:rPr>
                      <w:rFonts w:hint="eastAsia" w:cs="Times New Roman"/>
                    </w:rPr>
                    <w:t>4.其他参照遂宁市总体准入要求-工业重点管控单元。</w:t>
                  </w:r>
                </w:p>
              </w:tc>
              <w:tc>
                <w:tcPr>
                  <w:tcW w:w="1135" w:type="pct"/>
                  <w:vAlign w:val="center"/>
                </w:tcPr>
                <w:p w14:paraId="7E334407">
                  <w:pPr>
                    <w:pStyle w:val="31"/>
                    <w:rPr>
                      <w:rFonts w:cs="Times New Roman"/>
                    </w:rPr>
                  </w:pPr>
                  <w:r>
                    <w:rPr>
                      <w:rFonts w:hint="eastAsia" w:cs="Times New Roman"/>
                    </w:rPr>
                    <w:t>本项目为</w:t>
                  </w:r>
                  <w:r>
                    <w:rPr>
                      <w:rFonts w:hint="eastAsia" w:cs="Times New Roman"/>
                      <w:szCs w:val="24"/>
                    </w:rPr>
                    <w:t>热力生产和供应项目，使用4台35t/h的生物质气锅炉，锅炉排污水优先用于设备降尘和园区绿，剩余进入园区污水处理厂。</w:t>
                  </w:r>
                </w:p>
              </w:tc>
              <w:tc>
                <w:tcPr>
                  <w:tcW w:w="128" w:type="pct"/>
                  <w:vAlign w:val="center"/>
                </w:tcPr>
                <w:p w14:paraId="0FC5BD60">
                  <w:pPr>
                    <w:pStyle w:val="31"/>
                    <w:rPr>
                      <w:rFonts w:cs="Times New Roman"/>
                    </w:rPr>
                  </w:pPr>
                  <w:r>
                    <w:rPr>
                      <w:rFonts w:hint="eastAsia" w:cs="Times New Roman"/>
                    </w:rPr>
                    <w:t>符合</w:t>
                  </w:r>
                </w:p>
              </w:tc>
            </w:tr>
            <w:tr w14:paraId="0DAAB4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E8C0880">
                  <w:pPr>
                    <w:pStyle w:val="31"/>
                    <w:rPr>
                      <w:rFonts w:cs="Times New Roman"/>
                    </w:rPr>
                  </w:pPr>
                </w:p>
              </w:tc>
              <w:tc>
                <w:tcPr>
                  <w:tcW w:w="172" w:type="pct"/>
                  <w:vMerge w:val="continue"/>
                  <w:vAlign w:val="center"/>
                </w:tcPr>
                <w:p w14:paraId="3D2EF1FD">
                  <w:pPr>
                    <w:pStyle w:val="31"/>
                    <w:rPr>
                      <w:rFonts w:cs="Times New Roman"/>
                    </w:rPr>
                  </w:pPr>
                </w:p>
              </w:tc>
              <w:tc>
                <w:tcPr>
                  <w:tcW w:w="208" w:type="pct"/>
                  <w:vMerge w:val="continue"/>
                  <w:vAlign w:val="center"/>
                </w:tcPr>
                <w:p w14:paraId="4D06486F">
                  <w:pPr>
                    <w:pStyle w:val="31"/>
                    <w:rPr>
                      <w:rFonts w:cs="Times New Roman"/>
                    </w:rPr>
                  </w:pPr>
                </w:p>
              </w:tc>
              <w:tc>
                <w:tcPr>
                  <w:tcW w:w="2655" w:type="pct"/>
                  <w:vAlign w:val="center"/>
                </w:tcPr>
                <w:p w14:paraId="051595C8">
                  <w:pPr>
                    <w:pStyle w:val="31"/>
                    <w:jc w:val="both"/>
                    <w:rPr>
                      <w:rFonts w:cs="Times New Roman"/>
                    </w:rPr>
                  </w:pPr>
                  <w:r>
                    <w:rPr>
                      <w:rFonts w:hint="eastAsia" w:cs="Times New Roman"/>
                    </w:rPr>
                    <w:t>新增源等量或倍量替代</w:t>
                  </w:r>
                </w:p>
                <w:p w14:paraId="281FC9C3">
                  <w:pPr>
                    <w:pStyle w:val="31"/>
                    <w:jc w:val="both"/>
                    <w:rPr>
                      <w:rFonts w:cs="Times New Roman"/>
                    </w:rPr>
                  </w:pPr>
                  <w:r>
                    <w:rPr>
                      <w:rFonts w:hint="eastAsia" w:cs="Times New Roman"/>
                    </w:rPr>
                    <w:t>参照遂宁市总体准入要求-工业重点管控单元。</w:t>
                  </w:r>
                </w:p>
              </w:tc>
              <w:tc>
                <w:tcPr>
                  <w:tcW w:w="1135" w:type="pct"/>
                  <w:vAlign w:val="center"/>
                </w:tcPr>
                <w:p w14:paraId="668C08D7">
                  <w:pPr>
                    <w:pStyle w:val="31"/>
                    <w:rPr>
                      <w:rFonts w:cs="Times New Roman"/>
                    </w:rPr>
                  </w:pPr>
                  <w:r>
                    <w:rPr>
                      <w:rFonts w:hint="eastAsia" w:cs="Times New Roman"/>
                    </w:rPr>
                    <w:t>/</w:t>
                  </w:r>
                </w:p>
              </w:tc>
              <w:tc>
                <w:tcPr>
                  <w:tcW w:w="128" w:type="pct"/>
                  <w:vAlign w:val="center"/>
                </w:tcPr>
                <w:p w14:paraId="253C197E">
                  <w:pPr>
                    <w:pStyle w:val="31"/>
                    <w:rPr>
                      <w:rFonts w:cs="Times New Roman"/>
                    </w:rPr>
                  </w:pPr>
                  <w:r>
                    <w:rPr>
                      <w:rFonts w:hint="eastAsia" w:cs="Times New Roman"/>
                    </w:rPr>
                    <w:t>/</w:t>
                  </w:r>
                </w:p>
              </w:tc>
            </w:tr>
            <w:tr w14:paraId="36F7D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68CD99D9">
                  <w:pPr>
                    <w:pStyle w:val="31"/>
                    <w:rPr>
                      <w:rFonts w:cs="Times New Roman"/>
                    </w:rPr>
                  </w:pPr>
                </w:p>
              </w:tc>
              <w:tc>
                <w:tcPr>
                  <w:tcW w:w="172" w:type="pct"/>
                  <w:vMerge w:val="continue"/>
                  <w:vAlign w:val="center"/>
                </w:tcPr>
                <w:p w14:paraId="329412B1">
                  <w:pPr>
                    <w:pStyle w:val="31"/>
                    <w:rPr>
                      <w:rFonts w:cs="Times New Roman"/>
                    </w:rPr>
                  </w:pPr>
                </w:p>
              </w:tc>
              <w:tc>
                <w:tcPr>
                  <w:tcW w:w="208" w:type="pct"/>
                  <w:vMerge w:val="continue"/>
                  <w:vAlign w:val="center"/>
                </w:tcPr>
                <w:p w14:paraId="759DE99D">
                  <w:pPr>
                    <w:pStyle w:val="31"/>
                    <w:rPr>
                      <w:rFonts w:cs="Times New Roman"/>
                    </w:rPr>
                  </w:pPr>
                </w:p>
              </w:tc>
              <w:tc>
                <w:tcPr>
                  <w:tcW w:w="2655" w:type="pct"/>
                  <w:vAlign w:val="center"/>
                </w:tcPr>
                <w:p w14:paraId="461819A8">
                  <w:pPr>
                    <w:pStyle w:val="31"/>
                    <w:jc w:val="both"/>
                    <w:rPr>
                      <w:rFonts w:cs="Times New Roman"/>
                    </w:rPr>
                  </w:pPr>
                  <w:r>
                    <w:rPr>
                      <w:rFonts w:hint="eastAsia" w:cs="Times New Roman"/>
                    </w:rPr>
                    <w:t>新增源排放标准限值</w:t>
                  </w:r>
                </w:p>
                <w:p w14:paraId="259D11FB">
                  <w:pPr>
                    <w:pStyle w:val="31"/>
                    <w:jc w:val="both"/>
                    <w:rPr>
                      <w:rFonts w:cs="Times New Roman"/>
                    </w:rPr>
                  </w:pPr>
                  <w:r>
                    <w:rPr>
                      <w:rFonts w:hint="eastAsia" w:cs="Times New Roman"/>
                    </w:rPr>
                    <w:t>1.项目产生的生产废水由企业自行处理达到《污水综合排放标准》三级或相应的行业排放标准后排入园区污水处理厂处理达《城镇污水处理厂污染物排放标准》一级A标或更严格标准后排放。</w:t>
                  </w:r>
                </w:p>
                <w:p w14:paraId="15C79CC2">
                  <w:pPr>
                    <w:pStyle w:val="31"/>
                    <w:jc w:val="both"/>
                    <w:rPr>
                      <w:rFonts w:cs="Times New Roman"/>
                    </w:rPr>
                  </w:pPr>
                  <w:r>
                    <w:rPr>
                      <w:rFonts w:hint="eastAsia" w:cs="Times New Roman"/>
                    </w:rPr>
                    <w:t>2.其他参照遂宁市总体准入要求-工业重点管控单元。</w:t>
                  </w:r>
                </w:p>
                <w:p w14:paraId="25D57866">
                  <w:pPr>
                    <w:pStyle w:val="31"/>
                    <w:jc w:val="both"/>
                    <w:rPr>
                      <w:rFonts w:cs="Times New Roman"/>
                    </w:rPr>
                  </w:pPr>
                  <w:r>
                    <w:rPr>
                      <w:rFonts w:hint="eastAsia" w:cs="Times New Roman"/>
                    </w:rPr>
                    <w:t>污染物排放绩效水平准入要求</w:t>
                  </w:r>
                </w:p>
                <w:p w14:paraId="0978A432">
                  <w:pPr>
                    <w:pStyle w:val="31"/>
                    <w:jc w:val="both"/>
                    <w:rPr>
                      <w:rFonts w:cs="Times New Roman"/>
                    </w:rPr>
                  </w:pPr>
                  <w:r>
                    <w:rPr>
                      <w:rFonts w:hint="eastAsia" w:cs="Times New Roman"/>
                    </w:rPr>
                    <w:t>参照遂宁市总体准入要求-工业重点管控单元。</w:t>
                  </w:r>
                </w:p>
              </w:tc>
              <w:tc>
                <w:tcPr>
                  <w:tcW w:w="1135" w:type="pct"/>
                  <w:vAlign w:val="center"/>
                </w:tcPr>
                <w:p w14:paraId="743FBC0C">
                  <w:pPr>
                    <w:pStyle w:val="31"/>
                    <w:rPr>
                      <w:rFonts w:cs="Times New Roman"/>
                    </w:rPr>
                  </w:pPr>
                  <w:r>
                    <w:rPr>
                      <w:rFonts w:hint="eastAsia" w:cs="Times New Roman"/>
                    </w:rPr>
                    <w:t>本项目产生的生产废水由企业自行处理达到《污水综合排放标准》三级排入园区污水处理厂。</w:t>
                  </w:r>
                </w:p>
              </w:tc>
              <w:tc>
                <w:tcPr>
                  <w:tcW w:w="128" w:type="pct"/>
                  <w:vAlign w:val="center"/>
                </w:tcPr>
                <w:p w14:paraId="4C1E06CE">
                  <w:pPr>
                    <w:pStyle w:val="31"/>
                    <w:rPr>
                      <w:rFonts w:cs="Times New Roman"/>
                    </w:rPr>
                  </w:pPr>
                  <w:r>
                    <w:rPr>
                      <w:rFonts w:hint="eastAsia" w:cs="Times New Roman"/>
                    </w:rPr>
                    <w:t>符合</w:t>
                  </w:r>
                </w:p>
              </w:tc>
            </w:tr>
            <w:tr w14:paraId="3FD351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DDDDD97">
                  <w:pPr>
                    <w:pStyle w:val="31"/>
                    <w:rPr>
                      <w:rFonts w:cs="Times New Roman"/>
                    </w:rPr>
                  </w:pPr>
                </w:p>
              </w:tc>
              <w:tc>
                <w:tcPr>
                  <w:tcW w:w="172" w:type="pct"/>
                  <w:vMerge w:val="continue"/>
                  <w:vAlign w:val="center"/>
                </w:tcPr>
                <w:p w14:paraId="238ACA24">
                  <w:pPr>
                    <w:pStyle w:val="31"/>
                    <w:rPr>
                      <w:rFonts w:cs="Times New Roman"/>
                    </w:rPr>
                  </w:pPr>
                </w:p>
              </w:tc>
              <w:tc>
                <w:tcPr>
                  <w:tcW w:w="208" w:type="pct"/>
                  <w:vMerge w:val="restart"/>
                  <w:vAlign w:val="center"/>
                </w:tcPr>
                <w:p w14:paraId="1E798A37">
                  <w:pPr>
                    <w:pStyle w:val="31"/>
                    <w:rPr>
                      <w:rFonts w:cs="Times New Roman"/>
                    </w:rPr>
                  </w:pPr>
                  <w:r>
                    <w:rPr>
                      <w:rFonts w:hint="eastAsia" w:cs="Times New Roman"/>
                    </w:rPr>
                    <w:t>环境风险防控</w:t>
                  </w:r>
                </w:p>
              </w:tc>
              <w:tc>
                <w:tcPr>
                  <w:tcW w:w="2655" w:type="pct"/>
                  <w:vAlign w:val="center"/>
                </w:tcPr>
                <w:p w14:paraId="37B8303B">
                  <w:pPr>
                    <w:pStyle w:val="31"/>
                    <w:jc w:val="both"/>
                    <w:rPr>
                      <w:rFonts w:cs="Times New Roman"/>
                    </w:rPr>
                  </w:pPr>
                  <w:r>
                    <w:rPr>
                      <w:rFonts w:hint="eastAsia" w:cs="Times New Roman"/>
                    </w:rPr>
                    <w:t>严格管控类农用地管控要求</w:t>
                  </w:r>
                </w:p>
                <w:p w14:paraId="301F0F84">
                  <w:pPr>
                    <w:pStyle w:val="31"/>
                    <w:jc w:val="both"/>
                    <w:rPr>
                      <w:rFonts w:cs="Times New Roman"/>
                    </w:rPr>
                  </w:pPr>
                  <w:r>
                    <w:rPr>
                      <w:rFonts w:hint="eastAsia" w:cs="Times New Roman"/>
                    </w:rPr>
                    <w:t>参照遂宁市总体准入要求-工业重点管控单元</w:t>
                  </w:r>
                </w:p>
              </w:tc>
              <w:tc>
                <w:tcPr>
                  <w:tcW w:w="1135" w:type="pct"/>
                  <w:vAlign w:val="center"/>
                </w:tcPr>
                <w:p w14:paraId="32A30AC1">
                  <w:pPr>
                    <w:pStyle w:val="31"/>
                    <w:rPr>
                      <w:rFonts w:cs="Times New Roman"/>
                    </w:rPr>
                  </w:pPr>
                  <w:r>
                    <w:rPr>
                      <w:rFonts w:hint="eastAsia" w:cs="Times New Roman"/>
                    </w:rPr>
                    <w:t>/</w:t>
                  </w:r>
                </w:p>
              </w:tc>
              <w:tc>
                <w:tcPr>
                  <w:tcW w:w="128" w:type="pct"/>
                  <w:vAlign w:val="center"/>
                </w:tcPr>
                <w:p w14:paraId="33E052C0">
                  <w:pPr>
                    <w:pStyle w:val="31"/>
                    <w:rPr>
                      <w:rFonts w:cs="Times New Roman"/>
                    </w:rPr>
                  </w:pPr>
                  <w:r>
                    <w:rPr>
                      <w:rFonts w:hint="eastAsia" w:cs="Times New Roman"/>
                    </w:rPr>
                    <w:t>/</w:t>
                  </w:r>
                </w:p>
              </w:tc>
            </w:tr>
            <w:tr w14:paraId="5EEDCC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28FA4065">
                  <w:pPr>
                    <w:pStyle w:val="31"/>
                    <w:rPr>
                      <w:rFonts w:cs="Times New Roman"/>
                    </w:rPr>
                  </w:pPr>
                </w:p>
              </w:tc>
              <w:tc>
                <w:tcPr>
                  <w:tcW w:w="172" w:type="pct"/>
                  <w:vMerge w:val="continue"/>
                  <w:vAlign w:val="center"/>
                </w:tcPr>
                <w:p w14:paraId="238539FC">
                  <w:pPr>
                    <w:pStyle w:val="31"/>
                    <w:rPr>
                      <w:rFonts w:cs="Times New Roman"/>
                    </w:rPr>
                  </w:pPr>
                </w:p>
              </w:tc>
              <w:tc>
                <w:tcPr>
                  <w:tcW w:w="208" w:type="pct"/>
                  <w:vMerge w:val="continue"/>
                  <w:vAlign w:val="center"/>
                </w:tcPr>
                <w:p w14:paraId="490E437A">
                  <w:pPr>
                    <w:pStyle w:val="31"/>
                    <w:rPr>
                      <w:rFonts w:cs="Times New Roman"/>
                    </w:rPr>
                  </w:pPr>
                </w:p>
              </w:tc>
              <w:tc>
                <w:tcPr>
                  <w:tcW w:w="2655" w:type="pct"/>
                  <w:vAlign w:val="center"/>
                </w:tcPr>
                <w:p w14:paraId="433F6B5F">
                  <w:pPr>
                    <w:pStyle w:val="31"/>
                    <w:jc w:val="both"/>
                    <w:rPr>
                      <w:rFonts w:cs="Times New Roman"/>
                    </w:rPr>
                  </w:pPr>
                  <w:r>
                    <w:rPr>
                      <w:rFonts w:hint="eastAsia" w:cs="Times New Roman"/>
                    </w:rPr>
                    <w:t>安全利用类农用地管控要求</w:t>
                  </w:r>
                </w:p>
                <w:p w14:paraId="7307035C">
                  <w:pPr>
                    <w:pStyle w:val="31"/>
                    <w:jc w:val="both"/>
                    <w:rPr>
                      <w:rFonts w:cs="Times New Roman"/>
                    </w:rPr>
                  </w:pPr>
                  <w:r>
                    <w:rPr>
                      <w:rFonts w:hint="eastAsia" w:cs="Times New Roman"/>
                    </w:rPr>
                    <w:t>参照遂宁市总体准入要求-工业重点管控单元</w:t>
                  </w:r>
                </w:p>
              </w:tc>
              <w:tc>
                <w:tcPr>
                  <w:tcW w:w="1135" w:type="pct"/>
                  <w:vAlign w:val="center"/>
                </w:tcPr>
                <w:p w14:paraId="6F18D72E">
                  <w:pPr>
                    <w:pStyle w:val="31"/>
                    <w:rPr>
                      <w:rFonts w:cs="Times New Roman"/>
                    </w:rPr>
                  </w:pPr>
                  <w:r>
                    <w:rPr>
                      <w:rFonts w:hint="eastAsia" w:cs="Times New Roman"/>
                    </w:rPr>
                    <w:t>/</w:t>
                  </w:r>
                </w:p>
              </w:tc>
              <w:tc>
                <w:tcPr>
                  <w:tcW w:w="128" w:type="pct"/>
                  <w:vAlign w:val="center"/>
                </w:tcPr>
                <w:p w14:paraId="2703FC2B">
                  <w:pPr>
                    <w:pStyle w:val="31"/>
                    <w:rPr>
                      <w:rFonts w:cs="Times New Roman"/>
                    </w:rPr>
                  </w:pPr>
                  <w:r>
                    <w:rPr>
                      <w:rFonts w:hint="eastAsia" w:cs="Times New Roman"/>
                    </w:rPr>
                    <w:t>/</w:t>
                  </w:r>
                </w:p>
              </w:tc>
            </w:tr>
            <w:tr w14:paraId="3B022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63C06EF0">
                  <w:pPr>
                    <w:pStyle w:val="31"/>
                    <w:rPr>
                      <w:rFonts w:cs="Times New Roman"/>
                    </w:rPr>
                  </w:pPr>
                </w:p>
              </w:tc>
              <w:tc>
                <w:tcPr>
                  <w:tcW w:w="172" w:type="pct"/>
                  <w:vMerge w:val="continue"/>
                  <w:vAlign w:val="center"/>
                </w:tcPr>
                <w:p w14:paraId="686CCAEC">
                  <w:pPr>
                    <w:pStyle w:val="31"/>
                    <w:rPr>
                      <w:rFonts w:cs="Times New Roman"/>
                    </w:rPr>
                  </w:pPr>
                </w:p>
              </w:tc>
              <w:tc>
                <w:tcPr>
                  <w:tcW w:w="208" w:type="pct"/>
                  <w:vMerge w:val="continue"/>
                  <w:vAlign w:val="center"/>
                </w:tcPr>
                <w:p w14:paraId="30B1A27E">
                  <w:pPr>
                    <w:pStyle w:val="31"/>
                    <w:rPr>
                      <w:rFonts w:cs="Times New Roman"/>
                    </w:rPr>
                  </w:pPr>
                </w:p>
              </w:tc>
              <w:tc>
                <w:tcPr>
                  <w:tcW w:w="2655" w:type="pct"/>
                  <w:vAlign w:val="center"/>
                </w:tcPr>
                <w:p w14:paraId="29B37EB0">
                  <w:pPr>
                    <w:pStyle w:val="31"/>
                    <w:jc w:val="both"/>
                    <w:rPr>
                      <w:rFonts w:cs="Times New Roman"/>
                    </w:rPr>
                  </w:pPr>
                  <w:r>
                    <w:rPr>
                      <w:rFonts w:hint="eastAsia" w:cs="Times New Roman"/>
                    </w:rPr>
                    <w:t>污染地块管控要求</w:t>
                  </w:r>
                </w:p>
                <w:p w14:paraId="660FE147">
                  <w:pPr>
                    <w:pStyle w:val="31"/>
                    <w:jc w:val="both"/>
                    <w:rPr>
                      <w:rFonts w:cs="Times New Roman"/>
                    </w:rPr>
                  </w:pPr>
                  <w:r>
                    <w:rPr>
                      <w:rFonts w:hint="eastAsia" w:cs="Times New Roman"/>
                    </w:rPr>
                    <w:t>参照遂宁市总体准入要求-工业重点管控单元</w:t>
                  </w:r>
                </w:p>
              </w:tc>
              <w:tc>
                <w:tcPr>
                  <w:tcW w:w="1135" w:type="pct"/>
                  <w:vAlign w:val="center"/>
                </w:tcPr>
                <w:p w14:paraId="0A425B9B">
                  <w:pPr>
                    <w:pStyle w:val="31"/>
                    <w:rPr>
                      <w:rFonts w:cs="Times New Roman"/>
                    </w:rPr>
                  </w:pPr>
                  <w:r>
                    <w:rPr>
                      <w:rFonts w:hint="eastAsia" w:cs="Times New Roman"/>
                    </w:rPr>
                    <w:t>/</w:t>
                  </w:r>
                </w:p>
              </w:tc>
              <w:tc>
                <w:tcPr>
                  <w:tcW w:w="128" w:type="pct"/>
                  <w:vAlign w:val="center"/>
                </w:tcPr>
                <w:p w14:paraId="2EC0F19F">
                  <w:pPr>
                    <w:pStyle w:val="31"/>
                    <w:rPr>
                      <w:rFonts w:cs="Times New Roman"/>
                    </w:rPr>
                  </w:pPr>
                  <w:r>
                    <w:rPr>
                      <w:rFonts w:hint="eastAsia" w:cs="Times New Roman"/>
                    </w:rPr>
                    <w:t>/</w:t>
                  </w:r>
                </w:p>
              </w:tc>
            </w:tr>
            <w:tr w14:paraId="35D3CD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DF6C9FB">
                  <w:pPr>
                    <w:pStyle w:val="31"/>
                    <w:rPr>
                      <w:rFonts w:cs="Times New Roman"/>
                    </w:rPr>
                  </w:pPr>
                </w:p>
              </w:tc>
              <w:tc>
                <w:tcPr>
                  <w:tcW w:w="172" w:type="pct"/>
                  <w:vMerge w:val="continue"/>
                  <w:vAlign w:val="center"/>
                </w:tcPr>
                <w:p w14:paraId="5FAF8550">
                  <w:pPr>
                    <w:pStyle w:val="31"/>
                    <w:rPr>
                      <w:rFonts w:cs="Times New Roman"/>
                    </w:rPr>
                  </w:pPr>
                </w:p>
              </w:tc>
              <w:tc>
                <w:tcPr>
                  <w:tcW w:w="208" w:type="pct"/>
                  <w:vMerge w:val="continue"/>
                  <w:vAlign w:val="center"/>
                </w:tcPr>
                <w:p w14:paraId="6B9A33D0">
                  <w:pPr>
                    <w:pStyle w:val="31"/>
                    <w:rPr>
                      <w:rFonts w:cs="Times New Roman"/>
                    </w:rPr>
                  </w:pPr>
                </w:p>
              </w:tc>
              <w:tc>
                <w:tcPr>
                  <w:tcW w:w="2655" w:type="pct"/>
                  <w:vAlign w:val="center"/>
                </w:tcPr>
                <w:p w14:paraId="15C2A608">
                  <w:pPr>
                    <w:pStyle w:val="31"/>
                    <w:jc w:val="both"/>
                    <w:rPr>
                      <w:rFonts w:cs="Times New Roman"/>
                    </w:rPr>
                  </w:pPr>
                  <w:r>
                    <w:rPr>
                      <w:rFonts w:hint="eastAsia" w:cs="Times New Roman"/>
                    </w:rPr>
                    <w:t>园区环境风险防控要求</w:t>
                  </w:r>
                </w:p>
                <w:p w14:paraId="676830EF">
                  <w:pPr>
                    <w:pStyle w:val="31"/>
                    <w:jc w:val="both"/>
                    <w:rPr>
                      <w:rFonts w:cs="Times New Roman"/>
                    </w:rPr>
                  </w:pPr>
                  <w:r>
                    <w:rPr>
                      <w:rFonts w:hint="eastAsia" w:cs="Times New Roman"/>
                    </w:rPr>
                    <w:t>1.距城区500m范围内禁止引入环境风险潜势等级III级及以上的建设项目。</w:t>
                  </w:r>
                </w:p>
                <w:p w14:paraId="232A2B39">
                  <w:pPr>
                    <w:pStyle w:val="31"/>
                    <w:jc w:val="both"/>
                    <w:rPr>
                      <w:rFonts w:cs="Times New Roman"/>
                    </w:rPr>
                  </w:pPr>
                  <w:r>
                    <w:rPr>
                      <w:rFonts w:hint="eastAsia" w:cs="Times New Roman"/>
                    </w:rPr>
                    <w:t>2.其他参照遂宁市总体准入要求-工业重点管控单元</w:t>
                  </w:r>
                </w:p>
              </w:tc>
              <w:tc>
                <w:tcPr>
                  <w:tcW w:w="1135" w:type="pct"/>
                  <w:vAlign w:val="center"/>
                </w:tcPr>
                <w:p w14:paraId="23C900DA">
                  <w:pPr>
                    <w:pStyle w:val="31"/>
                    <w:rPr>
                      <w:rFonts w:cs="Times New Roman"/>
                    </w:rPr>
                  </w:pPr>
                  <w:r>
                    <w:rPr>
                      <w:rFonts w:hint="eastAsia" w:cs="Times New Roman"/>
                    </w:rPr>
                    <w:t>本项目位于工业园区内，距离城区约</w:t>
                  </w:r>
                  <w:r>
                    <w:rPr>
                      <w:rFonts w:cs="Times New Roman"/>
                    </w:rPr>
                    <w:t>3.3km</w:t>
                  </w:r>
                  <w:r>
                    <w:rPr>
                      <w:rFonts w:hint="eastAsia" w:cs="Times New Roman"/>
                    </w:rPr>
                    <w:t>，本项目风险潜势等级为Ⅱ级。</w:t>
                  </w:r>
                </w:p>
              </w:tc>
              <w:tc>
                <w:tcPr>
                  <w:tcW w:w="128" w:type="pct"/>
                  <w:vAlign w:val="center"/>
                </w:tcPr>
                <w:p w14:paraId="7132682F">
                  <w:pPr>
                    <w:pStyle w:val="31"/>
                    <w:rPr>
                      <w:rFonts w:cs="Times New Roman"/>
                    </w:rPr>
                  </w:pPr>
                  <w:r>
                    <w:rPr>
                      <w:rFonts w:hint="eastAsia" w:cs="Times New Roman"/>
                    </w:rPr>
                    <w:t>符合</w:t>
                  </w:r>
                </w:p>
              </w:tc>
            </w:tr>
            <w:tr w14:paraId="4F6AC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1988661D">
                  <w:pPr>
                    <w:pStyle w:val="31"/>
                    <w:rPr>
                      <w:rFonts w:cs="Times New Roman"/>
                    </w:rPr>
                  </w:pPr>
                </w:p>
              </w:tc>
              <w:tc>
                <w:tcPr>
                  <w:tcW w:w="172" w:type="pct"/>
                  <w:vMerge w:val="continue"/>
                  <w:vAlign w:val="center"/>
                </w:tcPr>
                <w:p w14:paraId="20C21E95">
                  <w:pPr>
                    <w:pStyle w:val="31"/>
                    <w:rPr>
                      <w:rFonts w:cs="Times New Roman"/>
                    </w:rPr>
                  </w:pPr>
                </w:p>
              </w:tc>
              <w:tc>
                <w:tcPr>
                  <w:tcW w:w="208" w:type="pct"/>
                  <w:vMerge w:val="continue"/>
                  <w:vAlign w:val="center"/>
                </w:tcPr>
                <w:p w14:paraId="521C0EDF">
                  <w:pPr>
                    <w:pStyle w:val="31"/>
                    <w:rPr>
                      <w:rFonts w:cs="Times New Roman"/>
                    </w:rPr>
                  </w:pPr>
                </w:p>
              </w:tc>
              <w:tc>
                <w:tcPr>
                  <w:tcW w:w="2655" w:type="pct"/>
                  <w:vAlign w:val="center"/>
                </w:tcPr>
                <w:p w14:paraId="19736B90">
                  <w:pPr>
                    <w:pStyle w:val="31"/>
                    <w:jc w:val="both"/>
                    <w:rPr>
                      <w:rFonts w:cs="Times New Roman"/>
                    </w:rPr>
                  </w:pPr>
                  <w:r>
                    <w:rPr>
                      <w:rFonts w:hint="eastAsia" w:cs="Times New Roman"/>
                    </w:rPr>
                    <w:t>企业环境风险防控要求</w:t>
                  </w:r>
                </w:p>
                <w:p w14:paraId="7BF23206">
                  <w:pPr>
                    <w:pStyle w:val="31"/>
                    <w:jc w:val="both"/>
                    <w:rPr>
                      <w:rFonts w:cs="Times New Roman"/>
                    </w:rPr>
                  </w:pPr>
                  <w:r>
                    <w:rPr>
                      <w:rFonts w:hint="eastAsia" w:cs="Times New Roman"/>
                    </w:rPr>
                    <w:t>参照遂宁市总体准入要求-工业重点管控单元</w:t>
                  </w:r>
                </w:p>
              </w:tc>
              <w:tc>
                <w:tcPr>
                  <w:tcW w:w="1135" w:type="pct"/>
                  <w:vAlign w:val="center"/>
                </w:tcPr>
                <w:p w14:paraId="157611A9">
                  <w:pPr>
                    <w:pStyle w:val="31"/>
                    <w:rPr>
                      <w:rFonts w:cs="Times New Roman"/>
                    </w:rPr>
                  </w:pPr>
                  <w:r>
                    <w:rPr>
                      <w:rFonts w:hint="eastAsia" w:cs="Times New Roman"/>
                    </w:rPr>
                    <w:t>/</w:t>
                  </w:r>
                </w:p>
              </w:tc>
              <w:tc>
                <w:tcPr>
                  <w:tcW w:w="128" w:type="pct"/>
                  <w:vAlign w:val="center"/>
                </w:tcPr>
                <w:p w14:paraId="6D902F13">
                  <w:pPr>
                    <w:pStyle w:val="31"/>
                    <w:rPr>
                      <w:rFonts w:cs="Times New Roman"/>
                    </w:rPr>
                  </w:pPr>
                  <w:r>
                    <w:rPr>
                      <w:rFonts w:hint="eastAsia" w:cs="Times New Roman"/>
                    </w:rPr>
                    <w:t>/</w:t>
                  </w:r>
                </w:p>
              </w:tc>
            </w:tr>
            <w:tr w14:paraId="229E95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4F1F711C">
                  <w:pPr>
                    <w:pStyle w:val="31"/>
                    <w:rPr>
                      <w:rFonts w:cs="Times New Roman"/>
                    </w:rPr>
                  </w:pPr>
                </w:p>
              </w:tc>
              <w:tc>
                <w:tcPr>
                  <w:tcW w:w="172" w:type="pct"/>
                  <w:vMerge w:val="continue"/>
                  <w:vAlign w:val="center"/>
                </w:tcPr>
                <w:p w14:paraId="044329B9">
                  <w:pPr>
                    <w:pStyle w:val="31"/>
                    <w:rPr>
                      <w:rFonts w:cs="Times New Roman"/>
                    </w:rPr>
                  </w:pPr>
                </w:p>
              </w:tc>
              <w:tc>
                <w:tcPr>
                  <w:tcW w:w="208" w:type="pct"/>
                  <w:vMerge w:val="restart"/>
                  <w:vAlign w:val="center"/>
                </w:tcPr>
                <w:p w14:paraId="1FA45CED">
                  <w:pPr>
                    <w:pStyle w:val="31"/>
                    <w:rPr>
                      <w:rFonts w:cs="Times New Roman"/>
                    </w:rPr>
                  </w:pPr>
                  <w:r>
                    <w:rPr>
                      <w:rFonts w:hint="eastAsia" w:cs="Times New Roman"/>
                    </w:rPr>
                    <w:t>资源开发效率要求</w:t>
                  </w:r>
                </w:p>
              </w:tc>
              <w:tc>
                <w:tcPr>
                  <w:tcW w:w="2655" w:type="pct"/>
                  <w:vAlign w:val="center"/>
                </w:tcPr>
                <w:p w14:paraId="7F8DA4D8">
                  <w:pPr>
                    <w:pStyle w:val="31"/>
                    <w:jc w:val="both"/>
                    <w:rPr>
                      <w:rFonts w:cs="Times New Roman"/>
                    </w:rPr>
                  </w:pPr>
                  <w:r>
                    <w:rPr>
                      <w:rFonts w:hint="eastAsia" w:cs="Times New Roman"/>
                    </w:rPr>
                    <w:t>水资源利用效率要求</w:t>
                  </w:r>
                </w:p>
                <w:p w14:paraId="77F9EDDF">
                  <w:pPr>
                    <w:pStyle w:val="31"/>
                    <w:jc w:val="both"/>
                    <w:rPr>
                      <w:rFonts w:cs="Times New Roman"/>
                    </w:rPr>
                  </w:pPr>
                  <w:r>
                    <w:rPr>
                      <w:rFonts w:hint="eastAsia" w:cs="Times New Roman"/>
                    </w:rPr>
                    <w:t>参照遂宁市总体准入要求-工业重点管控单元</w:t>
                  </w:r>
                </w:p>
              </w:tc>
              <w:tc>
                <w:tcPr>
                  <w:tcW w:w="1135" w:type="pct"/>
                  <w:vAlign w:val="center"/>
                </w:tcPr>
                <w:p w14:paraId="4A278A82">
                  <w:pPr>
                    <w:pStyle w:val="31"/>
                    <w:rPr>
                      <w:rFonts w:cs="Times New Roman"/>
                    </w:rPr>
                  </w:pPr>
                  <w:r>
                    <w:rPr>
                      <w:rFonts w:hint="eastAsia" w:cs="Times New Roman"/>
                    </w:rPr>
                    <w:t>/</w:t>
                  </w:r>
                </w:p>
              </w:tc>
              <w:tc>
                <w:tcPr>
                  <w:tcW w:w="128" w:type="pct"/>
                  <w:vAlign w:val="center"/>
                </w:tcPr>
                <w:p w14:paraId="69F978DD">
                  <w:pPr>
                    <w:pStyle w:val="31"/>
                    <w:rPr>
                      <w:rFonts w:cs="Times New Roman"/>
                    </w:rPr>
                  </w:pPr>
                  <w:r>
                    <w:rPr>
                      <w:rFonts w:hint="eastAsia" w:cs="Times New Roman"/>
                    </w:rPr>
                    <w:t>/</w:t>
                  </w:r>
                </w:p>
              </w:tc>
            </w:tr>
            <w:tr w14:paraId="25E29B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38E38399">
                  <w:pPr>
                    <w:pStyle w:val="31"/>
                    <w:rPr>
                      <w:rFonts w:cs="Times New Roman"/>
                    </w:rPr>
                  </w:pPr>
                </w:p>
              </w:tc>
              <w:tc>
                <w:tcPr>
                  <w:tcW w:w="172" w:type="pct"/>
                  <w:vMerge w:val="continue"/>
                  <w:vAlign w:val="center"/>
                </w:tcPr>
                <w:p w14:paraId="0B3C5BCD">
                  <w:pPr>
                    <w:pStyle w:val="31"/>
                    <w:rPr>
                      <w:rFonts w:cs="Times New Roman"/>
                    </w:rPr>
                  </w:pPr>
                </w:p>
              </w:tc>
              <w:tc>
                <w:tcPr>
                  <w:tcW w:w="208" w:type="pct"/>
                  <w:vMerge w:val="continue"/>
                  <w:vAlign w:val="center"/>
                </w:tcPr>
                <w:p w14:paraId="259A8B6F">
                  <w:pPr>
                    <w:pStyle w:val="31"/>
                    <w:rPr>
                      <w:rFonts w:cs="Times New Roman"/>
                    </w:rPr>
                  </w:pPr>
                </w:p>
              </w:tc>
              <w:tc>
                <w:tcPr>
                  <w:tcW w:w="2655" w:type="pct"/>
                  <w:vAlign w:val="center"/>
                </w:tcPr>
                <w:p w14:paraId="34E3F180">
                  <w:pPr>
                    <w:pStyle w:val="31"/>
                    <w:jc w:val="both"/>
                    <w:rPr>
                      <w:rFonts w:cs="Times New Roman"/>
                    </w:rPr>
                  </w:pPr>
                  <w:r>
                    <w:rPr>
                      <w:rFonts w:hint="eastAsia" w:cs="Times New Roman"/>
                    </w:rPr>
                    <w:t>地下水开采要求</w:t>
                  </w:r>
                </w:p>
                <w:p w14:paraId="27B47C9D">
                  <w:pPr>
                    <w:pStyle w:val="31"/>
                    <w:jc w:val="both"/>
                    <w:rPr>
                      <w:rFonts w:cs="Times New Roman"/>
                    </w:rPr>
                  </w:pPr>
                  <w:r>
                    <w:rPr>
                      <w:rFonts w:hint="eastAsia" w:cs="Times New Roman"/>
                    </w:rPr>
                    <w:t>（1）大英县2030年地下水开采控制控制量保持在0.06亿m</w:t>
                  </w:r>
                  <w:r>
                    <w:rPr>
                      <w:rFonts w:hint="eastAsia" w:cs="Times New Roman"/>
                      <w:vertAlign w:val="superscript"/>
                    </w:rPr>
                    <w:t>3</w:t>
                  </w:r>
                  <w:r>
                    <w:rPr>
                      <w:rFonts w:hint="eastAsia" w:cs="Times New Roman"/>
                    </w:rPr>
                    <w:t>以内。</w:t>
                  </w:r>
                </w:p>
                <w:p w14:paraId="521D66F4">
                  <w:pPr>
                    <w:pStyle w:val="31"/>
                    <w:jc w:val="both"/>
                    <w:rPr>
                      <w:rFonts w:cs="Times New Roman"/>
                    </w:rPr>
                  </w:pPr>
                  <w:r>
                    <w:rPr>
                      <w:rFonts w:hint="eastAsia" w:cs="Times New Roman"/>
                    </w:rPr>
                    <w:t>（2）全面建设节水型社会，达到合理高效用水。</w:t>
                  </w:r>
                </w:p>
              </w:tc>
              <w:tc>
                <w:tcPr>
                  <w:tcW w:w="1135" w:type="pct"/>
                  <w:vAlign w:val="center"/>
                </w:tcPr>
                <w:p w14:paraId="4D038943">
                  <w:pPr>
                    <w:pStyle w:val="31"/>
                    <w:rPr>
                      <w:rFonts w:cs="Times New Roman"/>
                    </w:rPr>
                  </w:pPr>
                  <w:r>
                    <w:rPr>
                      <w:rFonts w:hint="eastAsia" w:cs="Times New Roman"/>
                    </w:rPr>
                    <w:t>本项目不涉及地下水开采</w:t>
                  </w:r>
                </w:p>
              </w:tc>
              <w:tc>
                <w:tcPr>
                  <w:tcW w:w="128" w:type="pct"/>
                  <w:vAlign w:val="center"/>
                </w:tcPr>
                <w:p w14:paraId="1BB5BB64">
                  <w:pPr>
                    <w:pStyle w:val="31"/>
                    <w:rPr>
                      <w:rFonts w:cs="Times New Roman"/>
                    </w:rPr>
                  </w:pPr>
                  <w:r>
                    <w:rPr>
                      <w:rFonts w:hint="eastAsia" w:cs="Times New Roman"/>
                    </w:rPr>
                    <w:t>符合</w:t>
                  </w:r>
                </w:p>
              </w:tc>
            </w:tr>
            <w:tr w14:paraId="43B045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0185DB6D">
                  <w:pPr>
                    <w:pStyle w:val="31"/>
                    <w:rPr>
                      <w:rFonts w:cs="Times New Roman"/>
                    </w:rPr>
                  </w:pPr>
                </w:p>
              </w:tc>
              <w:tc>
                <w:tcPr>
                  <w:tcW w:w="172" w:type="pct"/>
                  <w:vMerge w:val="continue"/>
                  <w:vAlign w:val="center"/>
                </w:tcPr>
                <w:p w14:paraId="073F9AC6">
                  <w:pPr>
                    <w:pStyle w:val="31"/>
                    <w:rPr>
                      <w:rFonts w:cs="Times New Roman"/>
                    </w:rPr>
                  </w:pPr>
                </w:p>
              </w:tc>
              <w:tc>
                <w:tcPr>
                  <w:tcW w:w="208" w:type="pct"/>
                  <w:vMerge w:val="continue"/>
                  <w:vAlign w:val="center"/>
                </w:tcPr>
                <w:p w14:paraId="2E215DEC">
                  <w:pPr>
                    <w:pStyle w:val="31"/>
                    <w:rPr>
                      <w:rFonts w:cs="Times New Roman"/>
                    </w:rPr>
                  </w:pPr>
                </w:p>
              </w:tc>
              <w:tc>
                <w:tcPr>
                  <w:tcW w:w="2655" w:type="pct"/>
                  <w:vAlign w:val="center"/>
                </w:tcPr>
                <w:p w14:paraId="511CEA5B">
                  <w:pPr>
                    <w:pStyle w:val="31"/>
                    <w:jc w:val="both"/>
                    <w:rPr>
                      <w:rFonts w:cs="Times New Roman"/>
                    </w:rPr>
                  </w:pPr>
                  <w:r>
                    <w:rPr>
                      <w:rFonts w:hint="eastAsia" w:cs="Times New Roman"/>
                    </w:rPr>
                    <w:t>能源利用效率要求</w:t>
                  </w:r>
                </w:p>
                <w:p w14:paraId="5D578F6B">
                  <w:pPr>
                    <w:pStyle w:val="31"/>
                    <w:jc w:val="both"/>
                    <w:rPr>
                      <w:rFonts w:cs="Times New Roman"/>
                    </w:rPr>
                  </w:pPr>
                  <w:r>
                    <w:rPr>
                      <w:rFonts w:hint="eastAsia" w:cs="Times New Roman"/>
                    </w:rPr>
                    <w:t>参照遂宁市总体准入要求-工业重点管控单元</w:t>
                  </w:r>
                </w:p>
              </w:tc>
              <w:tc>
                <w:tcPr>
                  <w:tcW w:w="1135" w:type="pct"/>
                  <w:vAlign w:val="center"/>
                </w:tcPr>
                <w:p w14:paraId="0325E2AD">
                  <w:pPr>
                    <w:pStyle w:val="31"/>
                    <w:rPr>
                      <w:rFonts w:cs="Times New Roman"/>
                    </w:rPr>
                  </w:pPr>
                  <w:r>
                    <w:rPr>
                      <w:rFonts w:hint="eastAsia" w:cs="Times New Roman"/>
                    </w:rPr>
                    <w:t>/</w:t>
                  </w:r>
                </w:p>
              </w:tc>
              <w:tc>
                <w:tcPr>
                  <w:tcW w:w="128" w:type="pct"/>
                  <w:vAlign w:val="center"/>
                </w:tcPr>
                <w:p w14:paraId="5F75C26A">
                  <w:pPr>
                    <w:pStyle w:val="31"/>
                    <w:rPr>
                      <w:rFonts w:cs="Times New Roman"/>
                    </w:rPr>
                  </w:pPr>
                  <w:r>
                    <w:rPr>
                      <w:rFonts w:hint="eastAsia" w:cs="Times New Roman"/>
                    </w:rPr>
                    <w:t>/</w:t>
                  </w:r>
                </w:p>
              </w:tc>
            </w:tr>
            <w:tr w14:paraId="109619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02" w:type="pct"/>
                  <w:vMerge w:val="continue"/>
                  <w:vAlign w:val="center"/>
                </w:tcPr>
                <w:p w14:paraId="5C74E23C">
                  <w:pPr>
                    <w:pStyle w:val="31"/>
                    <w:rPr>
                      <w:rFonts w:cs="Times New Roman"/>
                    </w:rPr>
                  </w:pPr>
                </w:p>
              </w:tc>
              <w:tc>
                <w:tcPr>
                  <w:tcW w:w="172" w:type="pct"/>
                  <w:vMerge w:val="continue"/>
                  <w:vAlign w:val="center"/>
                </w:tcPr>
                <w:p w14:paraId="0B18056C">
                  <w:pPr>
                    <w:pStyle w:val="31"/>
                    <w:rPr>
                      <w:rFonts w:cs="Times New Roman"/>
                    </w:rPr>
                  </w:pPr>
                </w:p>
              </w:tc>
              <w:tc>
                <w:tcPr>
                  <w:tcW w:w="208" w:type="pct"/>
                  <w:vMerge w:val="continue"/>
                  <w:vAlign w:val="center"/>
                </w:tcPr>
                <w:p w14:paraId="3394A9BF">
                  <w:pPr>
                    <w:pStyle w:val="31"/>
                    <w:rPr>
                      <w:rFonts w:cs="Times New Roman"/>
                    </w:rPr>
                  </w:pPr>
                </w:p>
              </w:tc>
              <w:tc>
                <w:tcPr>
                  <w:tcW w:w="2655" w:type="pct"/>
                  <w:vAlign w:val="center"/>
                </w:tcPr>
                <w:p w14:paraId="6940CFFD">
                  <w:pPr>
                    <w:pStyle w:val="31"/>
                    <w:jc w:val="both"/>
                    <w:rPr>
                      <w:rFonts w:cs="Times New Roman"/>
                    </w:rPr>
                  </w:pPr>
                  <w:r>
                    <w:rPr>
                      <w:rFonts w:hint="eastAsia" w:cs="Times New Roman"/>
                    </w:rPr>
                    <w:t>其他资源利用效率要求</w:t>
                  </w:r>
                </w:p>
                <w:p w14:paraId="76780150">
                  <w:pPr>
                    <w:pStyle w:val="31"/>
                    <w:jc w:val="both"/>
                    <w:rPr>
                      <w:rFonts w:cs="Times New Roman"/>
                    </w:rPr>
                  </w:pPr>
                  <w:r>
                    <w:rPr>
                      <w:rFonts w:hint="eastAsia" w:cs="Times New Roman"/>
                    </w:rPr>
                    <w:t>禁燃区管控要求：参照遂宁市总体准入要求-工业重点管控单元</w:t>
                  </w:r>
                </w:p>
              </w:tc>
              <w:tc>
                <w:tcPr>
                  <w:tcW w:w="1135" w:type="pct"/>
                  <w:vAlign w:val="center"/>
                </w:tcPr>
                <w:p w14:paraId="74D7432F">
                  <w:pPr>
                    <w:pStyle w:val="31"/>
                    <w:rPr>
                      <w:rFonts w:cs="Times New Roman"/>
                    </w:rPr>
                  </w:pPr>
                  <w:r>
                    <w:rPr>
                      <w:rFonts w:hint="eastAsia" w:cs="Times New Roman"/>
                    </w:rPr>
                    <w:t>/</w:t>
                  </w:r>
                </w:p>
              </w:tc>
              <w:tc>
                <w:tcPr>
                  <w:tcW w:w="128" w:type="pct"/>
                  <w:vAlign w:val="center"/>
                </w:tcPr>
                <w:p w14:paraId="01395C49">
                  <w:pPr>
                    <w:pStyle w:val="31"/>
                    <w:rPr>
                      <w:rFonts w:cs="Times New Roman"/>
                    </w:rPr>
                  </w:pPr>
                  <w:r>
                    <w:rPr>
                      <w:rFonts w:hint="eastAsia" w:cs="Times New Roman"/>
                    </w:rPr>
                    <w:t>/</w:t>
                  </w:r>
                </w:p>
              </w:tc>
            </w:tr>
          </w:tbl>
          <w:p w14:paraId="696BEA3D">
            <w:pPr>
              <w:ind w:firstLine="480"/>
            </w:pPr>
            <w:r>
              <w:rPr>
                <w:rStyle w:val="39"/>
                <w:rFonts w:hint="eastAsia" w:cs="Times New Roman"/>
              </w:rPr>
              <w:t>综上，本项目的建设符合生态环境分区管控的要求</w:t>
            </w:r>
            <w:r>
              <w:rPr>
                <w:rFonts w:hint="eastAsia"/>
              </w:rPr>
              <w:t>。</w:t>
            </w:r>
          </w:p>
        </w:tc>
      </w:tr>
    </w:tbl>
    <w:p w14:paraId="3DDA5A88">
      <w:pPr>
        <w:ind w:firstLine="560"/>
        <w:jc w:val="center"/>
        <w:rPr>
          <w:rFonts w:hint="eastAsia" w:ascii="黑体" w:hAnsi="黑体" w:eastAsia="黑体"/>
          <w:sz w:val="28"/>
          <w:szCs w:val="32"/>
        </w:rPr>
        <w:sectPr>
          <w:pgSz w:w="16838" w:h="11906" w:orient="landscape"/>
          <w:pgMar w:top="1800" w:right="1440" w:bottom="1800" w:left="1440" w:header="851" w:footer="992" w:gutter="0"/>
          <w:cols w:space="425" w:num="1"/>
          <w:docGrid w:type="lines" w:linePitch="326"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9"/>
        <w:gridCol w:w="8017"/>
      </w:tblGrid>
      <w:tr w14:paraId="2C30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39" w:hRule="atLeast"/>
        </w:trPr>
        <w:tc>
          <w:tcPr>
            <w:tcW w:w="279" w:type="dxa"/>
            <w:tcMar>
              <w:left w:w="28" w:type="dxa"/>
              <w:right w:w="28" w:type="dxa"/>
            </w:tcMar>
            <w:vAlign w:val="center"/>
          </w:tcPr>
          <w:p w14:paraId="7CCFF1BD">
            <w:pPr>
              <w:ind w:firstLine="0" w:firstLineChars="0"/>
              <w:jc w:val="center"/>
              <w:rPr>
                <w:rFonts w:hint="eastAsia" w:ascii="黑体" w:hAnsi="黑体" w:eastAsia="黑体"/>
                <w:sz w:val="28"/>
                <w:szCs w:val="32"/>
              </w:rPr>
            </w:pPr>
          </w:p>
        </w:tc>
        <w:tc>
          <w:tcPr>
            <w:tcW w:w="8017" w:type="dxa"/>
            <w:tcMar>
              <w:left w:w="28" w:type="dxa"/>
              <w:right w:w="28" w:type="dxa"/>
            </w:tcMar>
            <w:vAlign w:val="center"/>
          </w:tcPr>
          <w:p w14:paraId="5079D3CC">
            <w:pPr>
              <w:ind w:firstLine="482"/>
              <w:rPr>
                <w:b/>
                <w:bCs/>
              </w:rPr>
            </w:pPr>
            <w:r>
              <w:rPr>
                <w:rFonts w:hint="eastAsia"/>
                <w:b/>
                <w:bCs/>
              </w:rPr>
              <w:t>二、产业政策符合性分析</w:t>
            </w:r>
          </w:p>
          <w:p w14:paraId="6CBF27ED">
            <w:pPr>
              <w:ind w:firstLine="480"/>
            </w:pPr>
            <w:r>
              <w:rPr>
                <w:rFonts w:hint="eastAsia"/>
              </w:rPr>
              <w:t>按照《国民经济行业分类》（</w:t>
            </w:r>
            <w:r>
              <w:t>GB/T4754-2017</w:t>
            </w:r>
            <w:r>
              <w:rPr>
                <w:rFonts w:hint="eastAsia"/>
              </w:rPr>
              <w:t>），本项目属于</w:t>
            </w:r>
            <w:r>
              <w:rPr>
                <w:szCs w:val="24"/>
              </w:rPr>
              <w:t>D4430</w:t>
            </w:r>
            <w:r>
              <w:rPr>
                <w:rFonts w:hint="eastAsia"/>
                <w:szCs w:val="24"/>
              </w:rPr>
              <w:t>热力生产和供应</w:t>
            </w:r>
            <w:r>
              <w:rPr>
                <w:rFonts w:hint="eastAsia"/>
              </w:rPr>
              <w:t>，本项目将生物质燃料在气化炉内气化，再将生物质燃气引入燃烧机送入生物质燃气专用锅炉内燃烧放热产生蒸汽，</w:t>
            </w:r>
            <w:r>
              <w:t>根据《产业结构调整指导目录（2024本）》的有关规定，本项目</w:t>
            </w:r>
            <w:r>
              <w:rPr>
                <w:rFonts w:hint="eastAsia"/>
              </w:rPr>
              <w:t>“</w:t>
            </w:r>
            <w:r>
              <w:t>鼓励类</w:t>
            </w:r>
            <w:r>
              <w:rPr>
                <w:rFonts w:hint="eastAsia"/>
              </w:rPr>
              <w:t>”</w:t>
            </w:r>
            <w:r>
              <w:t>中</w:t>
            </w:r>
            <w:r>
              <w:rPr>
                <w:rFonts w:hint="eastAsia"/>
              </w:rPr>
              <w:t>“</w:t>
            </w:r>
            <w:r>
              <w:t>四十二、环境保护与资源节约综合利用</w:t>
            </w:r>
            <w:r>
              <w:rPr>
                <w:rFonts w:hint="eastAsia"/>
              </w:rPr>
              <w:t>”</w:t>
            </w:r>
            <w:r>
              <w:t>中</w:t>
            </w:r>
            <w:r>
              <w:rPr>
                <w:rFonts w:hint="eastAsia"/>
              </w:rPr>
              <w:t>“8</w:t>
            </w:r>
            <w:r>
              <w:t>、生物质能技术装备（发电、供热、制油、沼气）</w:t>
            </w:r>
            <w:r>
              <w:rPr>
                <w:rFonts w:hint="eastAsia"/>
              </w:rPr>
              <w:t>”</w:t>
            </w:r>
            <w:r>
              <w:t>。属于鼓励类。</w:t>
            </w:r>
            <w:r>
              <w:rPr>
                <w:rFonts w:hint="eastAsia"/>
              </w:rPr>
              <w:t>本项目炉排为旋转式炉排，根据《产业机构指导目录（2024本）》，不属于限制类的固定式炉排。</w:t>
            </w:r>
          </w:p>
          <w:p w14:paraId="7C6BA1BC">
            <w:pPr>
              <w:ind w:firstLine="480"/>
            </w:pPr>
            <w:r>
              <w:rPr>
                <w:rFonts w:hint="eastAsia"/>
              </w:rPr>
              <w:t>同时，本项目生产设备中不涉及《部分工业行业淘汰落后生产工艺装备和产品指导目录》淘汰类中明令淘汰的机械设备。</w:t>
            </w:r>
          </w:p>
          <w:p w14:paraId="4828A634">
            <w:pPr>
              <w:ind w:firstLine="480"/>
            </w:pPr>
            <w:r>
              <w:rPr>
                <w:rFonts w:hint="eastAsia"/>
              </w:rPr>
              <w:t>大英县发展和改革局于</w:t>
            </w:r>
            <w:r>
              <w:t>2024</w:t>
            </w:r>
            <w:r>
              <w:rPr>
                <w:rFonts w:hint="eastAsia"/>
              </w:rPr>
              <w:t>年</w:t>
            </w:r>
            <w:r>
              <w:t>10</w:t>
            </w:r>
            <w:r>
              <w:rPr>
                <w:rFonts w:hint="eastAsia"/>
              </w:rPr>
              <w:t>月</w:t>
            </w:r>
            <w:r>
              <w:t>18</w:t>
            </w:r>
            <w:r>
              <w:rPr>
                <w:rFonts w:hint="eastAsia"/>
              </w:rPr>
              <w:t>日以</w:t>
            </w:r>
            <w:r>
              <w:rPr>
                <w:rFonts w:hint="eastAsia"/>
                <w:szCs w:val="24"/>
              </w:rPr>
              <w:t>川投资备【</w:t>
            </w:r>
            <w:r>
              <w:rPr>
                <w:szCs w:val="24"/>
              </w:rPr>
              <w:t>2410-510923-04-01-305250</w:t>
            </w:r>
            <w:r>
              <w:rPr>
                <w:rFonts w:hint="eastAsia"/>
                <w:szCs w:val="24"/>
              </w:rPr>
              <w:t>】</w:t>
            </w:r>
            <w:r>
              <w:rPr>
                <w:szCs w:val="24"/>
              </w:rPr>
              <w:t>FGQB-0322</w:t>
            </w:r>
            <w:r>
              <w:rPr>
                <w:rFonts w:hint="eastAsia"/>
                <w:szCs w:val="24"/>
              </w:rPr>
              <w:t>号</w:t>
            </w:r>
            <w:r>
              <w:rPr>
                <w:rFonts w:hint="eastAsia"/>
              </w:rPr>
              <w:t>投资备案对项目予以备案。</w:t>
            </w:r>
          </w:p>
          <w:p w14:paraId="5A7CEAF0">
            <w:pPr>
              <w:ind w:firstLine="482"/>
              <w:rPr>
                <w:b/>
              </w:rPr>
            </w:pPr>
            <w:r>
              <w:rPr>
                <w:rFonts w:hint="eastAsia"/>
                <w:b/>
              </w:rPr>
              <w:t>因此，本项目的建设符合国家现行产业政策。</w:t>
            </w:r>
          </w:p>
          <w:p w14:paraId="054DCF0F">
            <w:pPr>
              <w:ind w:firstLine="482"/>
              <w:rPr>
                <w:b/>
                <w:bCs/>
              </w:rPr>
            </w:pPr>
            <w:r>
              <w:rPr>
                <w:rFonts w:hint="eastAsia"/>
                <w:b/>
                <w:bCs/>
              </w:rPr>
              <w:t>三、用地符合性分析</w:t>
            </w:r>
          </w:p>
          <w:p w14:paraId="150D2C12">
            <w:pPr>
              <w:ind w:firstLine="480"/>
              <w:rPr>
                <w:szCs w:val="32"/>
              </w:rPr>
            </w:pPr>
            <w:r>
              <w:rPr>
                <w:rFonts w:hint="eastAsia"/>
                <w:szCs w:val="32"/>
              </w:rPr>
              <w:t>本项目位于</w:t>
            </w:r>
            <w:r>
              <w:rPr>
                <w:rFonts w:hint="eastAsia"/>
                <w:szCs w:val="24"/>
              </w:rPr>
              <w:t>大英县经济开发区，根据大英经济开发区土地利用规划图本项目所在地为三类工业用地。</w:t>
            </w:r>
            <w:r>
              <w:rPr>
                <w:rFonts w:hint="eastAsia"/>
                <w:szCs w:val="32"/>
              </w:rPr>
              <w:t>同时，本项目已取得国土证（川（2025）大英县不动产权第0006055号和川（2025）大英县不动产权第0006068号），土地用途为工业用地。</w:t>
            </w:r>
          </w:p>
          <w:p w14:paraId="35607C2A">
            <w:pPr>
              <w:ind w:firstLine="482"/>
              <w:rPr>
                <w:b/>
                <w:bCs/>
                <w:szCs w:val="32"/>
              </w:rPr>
            </w:pPr>
            <w:r>
              <w:rPr>
                <w:rFonts w:hint="eastAsia"/>
                <w:b/>
                <w:bCs/>
                <w:szCs w:val="32"/>
              </w:rPr>
              <w:t>因此，本项目符合当地用地规划要求。</w:t>
            </w:r>
          </w:p>
          <w:p w14:paraId="518837FD">
            <w:pPr>
              <w:ind w:firstLine="482"/>
              <w:rPr>
                <w:b/>
                <w:bCs/>
              </w:rPr>
            </w:pPr>
            <w:r>
              <w:rPr>
                <w:rFonts w:hint="eastAsia"/>
                <w:b/>
                <w:bCs/>
              </w:rPr>
              <w:t>四、选址可行性分析</w:t>
            </w:r>
          </w:p>
          <w:p w14:paraId="71D8D1DA">
            <w:pPr>
              <w:ind w:firstLine="480"/>
            </w:pPr>
            <w:r>
              <w:rPr>
                <w:rFonts w:hint="eastAsia"/>
              </w:rPr>
              <w:t>（1）项目外环境关系</w:t>
            </w:r>
          </w:p>
          <w:p w14:paraId="25F79C72">
            <w:pPr>
              <w:ind w:firstLine="480"/>
              <w:rPr>
                <w:szCs w:val="24"/>
              </w:rPr>
            </w:pPr>
            <w:r>
              <w:rPr>
                <w:rFonts w:hint="eastAsia"/>
              </w:rPr>
              <w:t>本项目位于</w:t>
            </w:r>
            <w:r>
              <w:rPr>
                <w:rFonts w:hint="eastAsia"/>
                <w:szCs w:val="24"/>
              </w:rPr>
              <w:t>大英县经济开发区席家沟村盛马大道中段，厂址周边主要为工业企业，项目选址周边外环境状况具体见下表。</w:t>
            </w:r>
          </w:p>
          <w:p w14:paraId="27398BD2">
            <w:pPr>
              <w:pStyle w:val="35"/>
            </w:pPr>
            <w:r>
              <w:rPr>
                <w:rFonts w:hint="eastAsia"/>
              </w:rPr>
              <w:t xml:space="preserve">  项目周边外环境关系分布</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6"/>
              <w:gridCol w:w="3454"/>
              <w:gridCol w:w="992"/>
              <w:gridCol w:w="1276"/>
              <w:gridCol w:w="1525"/>
            </w:tblGrid>
            <w:tr w14:paraId="69BC3C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65B5B8ED">
                  <w:pPr>
                    <w:pStyle w:val="31"/>
                  </w:pPr>
                  <w:bookmarkStart w:id="6" w:name="_Hlk173147930"/>
                  <w:r>
                    <w:rPr>
                      <w:rFonts w:hint="eastAsia"/>
                    </w:rPr>
                    <w:t>序号</w:t>
                  </w:r>
                </w:p>
              </w:tc>
              <w:tc>
                <w:tcPr>
                  <w:tcW w:w="3454" w:type="dxa"/>
                  <w:tcMar>
                    <w:left w:w="28" w:type="dxa"/>
                    <w:right w:w="28" w:type="dxa"/>
                  </w:tcMar>
                  <w:vAlign w:val="center"/>
                </w:tcPr>
                <w:p w14:paraId="07843A70">
                  <w:pPr>
                    <w:pStyle w:val="31"/>
                  </w:pPr>
                  <w:r>
                    <w:rPr>
                      <w:rFonts w:hint="eastAsia"/>
                    </w:rPr>
                    <w:t>名称</w:t>
                  </w:r>
                </w:p>
              </w:tc>
              <w:tc>
                <w:tcPr>
                  <w:tcW w:w="992" w:type="dxa"/>
                  <w:tcMar>
                    <w:left w:w="28" w:type="dxa"/>
                    <w:right w:w="28" w:type="dxa"/>
                  </w:tcMar>
                  <w:vAlign w:val="center"/>
                </w:tcPr>
                <w:p w14:paraId="76C28219">
                  <w:pPr>
                    <w:pStyle w:val="31"/>
                  </w:pPr>
                  <w:r>
                    <w:rPr>
                      <w:rFonts w:hint="eastAsia"/>
                    </w:rPr>
                    <w:t>方位</w:t>
                  </w:r>
                </w:p>
              </w:tc>
              <w:tc>
                <w:tcPr>
                  <w:tcW w:w="1276" w:type="dxa"/>
                  <w:tcMar>
                    <w:left w:w="28" w:type="dxa"/>
                    <w:right w:w="28" w:type="dxa"/>
                  </w:tcMar>
                  <w:vAlign w:val="center"/>
                </w:tcPr>
                <w:p w14:paraId="1F05E7C1">
                  <w:pPr>
                    <w:pStyle w:val="31"/>
                  </w:pPr>
                  <w:r>
                    <w:rPr>
                      <w:rFonts w:hint="eastAsia"/>
                    </w:rPr>
                    <w:t>与生产区</w:t>
                  </w:r>
                </w:p>
                <w:p w14:paraId="40989587">
                  <w:pPr>
                    <w:pStyle w:val="31"/>
                  </w:pPr>
                  <w:r>
                    <w:rPr>
                      <w:rFonts w:hint="eastAsia"/>
                    </w:rPr>
                    <w:t>距离（</w:t>
                  </w:r>
                  <w:r>
                    <w:t>m</w:t>
                  </w:r>
                  <w:r>
                    <w:rPr>
                      <w:rFonts w:hint="eastAsia"/>
                    </w:rPr>
                    <w:t>）</w:t>
                  </w:r>
                </w:p>
              </w:tc>
              <w:tc>
                <w:tcPr>
                  <w:tcW w:w="1525" w:type="dxa"/>
                  <w:tcMar>
                    <w:left w:w="28" w:type="dxa"/>
                    <w:right w:w="28" w:type="dxa"/>
                  </w:tcMar>
                  <w:vAlign w:val="center"/>
                </w:tcPr>
                <w:p w14:paraId="38AD41A6">
                  <w:pPr>
                    <w:pStyle w:val="31"/>
                  </w:pPr>
                  <w:r>
                    <w:rPr>
                      <w:rFonts w:hint="eastAsia"/>
                    </w:rPr>
                    <w:t>概况</w:t>
                  </w:r>
                </w:p>
              </w:tc>
            </w:tr>
            <w:tr w14:paraId="22AFB4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7568A626">
                  <w:pPr>
                    <w:pStyle w:val="31"/>
                  </w:pPr>
                  <w:r>
                    <w:rPr>
                      <w:rFonts w:hint="eastAsia"/>
                    </w:rPr>
                    <w:t>1</w:t>
                  </w:r>
                </w:p>
              </w:tc>
              <w:tc>
                <w:tcPr>
                  <w:tcW w:w="3454" w:type="dxa"/>
                  <w:tcMar>
                    <w:left w:w="28" w:type="dxa"/>
                    <w:right w:w="28" w:type="dxa"/>
                  </w:tcMar>
                  <w:vAlign w:val="center"/>
                </w:tcPr>
                <w:p w14:paraId="4ABB08D9">
                  <w:pPr>
                    <w:pStyle w:val="31"/>
                  </w:pPr>
                  <w:r>
                    <w:rPr>
                      <w:rFonts w:hint="eastAsia"/>
                    </w:rPr>
                    <w:t>四川银宇化工有限公司</w:t>
                  </w:r>
                </w:p>
              </w:tc>
              <w:tc>
                <w:tcPr>
                  <w:tcW w:w="992" w:type="dxa"/>
                  <w:tcMar>
                    <w:left w:w="28" w:type="dxa"/>
                    <w:right w:w="28" w:type="dxa"/>
                  </w:tcMar>
                  <w:vAlign w:val="center"/>
                </w:tcPr>
                <w:p w14:paraId="044F4F38">
                  <w:pPr>
                    <w:pStyle w:val="31"/>
                  </w:pPr>
                  <w:r>
                    <w:rPr>
                      <w:rFonts w:hint="eastAsia"/>
                    </w:rPr>
                    <w:t>西侧</w:t>
                  </w:r>
                </w:p>
              </w:tc>
              <w:tc>
                <w:tcPr>
                  <w:tcW w:w="1276" w:type="dxa"/>
                  <w:tcMar>
                    <w:left w:w="28" w:type="dxa"/>
                    <w:right w:w="28" w:type="dxa"/>
                  </w:tcMar>
                  <w:vAlign w:val="center"/>
                </w:tcPr>
                <w:p w14:paraId="719EB769">
                  <w:pPr>
                    <w:pStyle w:val="31"/>
                  </w:pPr>
                  <w:r>
                    <w:t>80</w:t>
                  </w:r>
                </w:p>
              </w:tc>
              <w:tc>
                <w:tcPr>
                  <w:tcW w:w="1525" w:type="dxa"/>
                  <w:tcMar>
                    <w:left w:w="28" w:type="dxa"/>
                    <w:right w:w="28" w:type="dxa"/>
                  </w:tcMar>
                  <w:vAlign w:val="center"/>
                </w:tcPr>
                <w:p w14:paraId="70EF2D74">
                  <w:pPr>
                    <w:pStyle w:val="31"/>
                  </w:pPr>
                  <w:r>
                    <w:t>化学制品制造</w:t>
                  </w:r>
                </w:p>
              </w:tc>
            </w:tr>
            <w:tr w14:paraId="5AD07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499EFD21">
                  <w:pPr>
                    <w:pStyle w:val="31"/>
                  </w:pPr>
                  <w:r>
                    <w:rPr>
                      <w:rFonts w:hint="eastAsia"/>
                    </w:rPr>
                    <w:t>2</w:t>
                  </w:r>
                </w:p>
              </w:tc>
              <w:tc>
                <w:tcPr>
                  <w:tcW w:w="3454" w:type="dxa"/>
                  <w:tcMar>
                    <w:left w:w="28" w:type="dxa"/>
                    <w:right w:w="28" w:type="dxa"/>
                  </w:tcMar>
                  <w:vAlign w:val="center"/>
                </w:tcPr>
                <w:p w14:paraId="7361C755">
                  <w:pPr>
                    <w:pStyle w:val="31"/>
                  </w:pPr>
                  <w:r>
                    <w:rPr>
                      <w:rFonts w:hint="eastAsia"/>
                    </w:rPr>
                    <w:t>大英日旺鑫新材料科技有限公司</w:t>
                  </w:r>
                </w:p>
              </w:tc>
              <w:tc>
                <w:tcPr>
                  <w:tcW w:w="992" w:type="dxa"/>
                  <w:tcMar>
                    <w:left w:w="28" w:type="dxa"/>
                    <w:right w:w="28" w:type="dxa"/>
                  </w:tcMar>
                  <w:vAlign w:val="center"/>
                </w:tcPr>
                <w:p w14:paraId="0928FABF">
                  <w:pPr>
                    <w:pStyle w:val="31"/>
                  </w:pPr>
                  <w:r>
                    <w:rPr>
                      <w:rFonts w:hint="eastAsia"/>
                    </w:rPr>
                    <w:t>西侧</w:t>
                  </w:r>
                </w:p>
              </w:tc>
              <w:tc>
                <w:tcPr>
                  <w:tcW w:w="1276" w:type="dxa"/>
                  <w:tcMar>
                    <w:left w:w="28" w:type="dxa"/>
                    <w:right w:w="28" w:type="dxa"/>
                  </w:tcMar>
                  <w:vAlign w:val="center"/>
                </w:tcPr>
                <w:p w14:paraId="04283666">
                  <w:pPr>
                    <w:pStyle w:val="31"/>
                  </w:pPr>
                  <w:r>
                    <w:t>25</w:t>
                  </w:r>
                </w:p>
              </w:tc>
              <w:tc>
                <w:tcPr>
                  <w:tcW w:w="1525" w:type="dxa"/>
                  <w:tcMar>
                    <w:left w:w="28" w:type="dxa"/>
                    <w:right w:w="28" w:type="dxa"/>
                  </w:tcMar>
                  <w:vAlign w:val="center"/>
                </w:tcPr>
                <w:p w14:paraId="15BBA5B3">
                  <w:pPr>
                    <w:pStyle w:val="31"/>
                  </w:pPr>
                  <w:r>
                    <w:t>化学制品制造</w:t>
                  </w:r>
                </w:p>
              </w:tc>
            </w:tr>
            <w:tr w14:paraId="43237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09AAEB5E">
                  <w:pPr>
                    <w:pStyle w:val="31"/>
                  </w:pPr>
                  <w:r>
                    <w:rPr>
                      <w:rFonts w:hint="eastAsia"/>
                    </w:rPr>
                    <w:t>3</w:t>
                  </w:r>
                </w:p>
              </w:tc>
              <w:tc>
                <w:tcPr>
                  <w:tcW w:w="3454" w:type="dxa"/>
                  <w:tcMar>
                    <w:left w:w="28" w:type="dxa"/>
                    <w:right w:w="28" w:type="dxa"/>
                  </w:tcMar>
                  <w:vAlign w:val="center"/>
                </w:tcPr>
                <w:p w14:paraId="7D142E77">
                  <w:pPr>
                    <w:pStyle w:val="31"/>
                  </w:pPr>
                  <w:r>
                    <w:rPr>
                      <w:rFonts w:hint="eastAsia"/>
                    </w:rPr>
                    <w:t>四川科尔瑞环保科技有限责任公司</w:t>
                  </w:r>
                </w:p>
              </w:tc>
              <w:tc>
                <w:tcPr>
                  <w:tcW w:w="992" w:type="dxa"/>
                  <w:tcMar>
                    <w:left w:w="28" w:type="dxa"/>
                    <w:right w:w="28" w:type="dxa"/>
                  </w:tcMar>
                  <w:vAlign w:val="center"/>
                </w:tcPr>
                <w:p w14:paraId="0A4789B7">
                  <w:pPr>
                    <w:pStyle w:val="31"/>
                  </w:pPr>
                  <w:r>
                    <w:rPr>
                      <w:rFonts w:hint="eastAsia"/>
                    </w:rPr>
                    <w:t>西北侧</w:t>
                  </w:r>
                </w:p>
              </w:tc>
              <w:tc>
                <w:tcPr>
                  <w:tcW w:w="1276" w:type="dxa"/>
                  <w:tcMar>
                    <w:left w:w="28" w:type="dxa"/>
                    <w:right w:w="28" w:type="dxa"/>
                  </w:tcMar>
                  <w:vAlign w:val="center"/>
                </w:tcPr>
                <w:p w14:paraId="757AD5F8">
                  <w:pPr>
                    <w:pStyle w:val="31"/>
                  </w:pPr>
                  <w:r>
                    <w:t>265</w:t>
                  </w:r>
                </w:p>
              </w:tc>
              <w:tc>
                <w:tcPr>
                  <w:tcW w:w="1525" w:type="dxa"/>
                  <w:tcMar>
                    <w:left w:w="28" w:type="dxa"/>
                    <w:right w:w="28" w:type="dxa"/>
                  </w:tcMar>
                  <w:vAlign w:val="center"/>
                </w:tcPr>
                <w:p w14:paraId="046F768B">
                  <w:pPr>
                    <w:pStyle w:val="31"/>
                  </w:pPr>
                  <w:r>
                    <w:t>化学制品制造</w:t>
                  </w:r>
                </w:p>
              </w:tc>
            </w:tr>
            <w:tr w14:paraId="334673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42C93393">
                  <w:pPr>
                    <w:pStyle w:val="31"/>
                  </w:pPr>
                  <w:r>
                    <w:rPr>
                      <w:rFonts w:hint="eastAsia"/>
                    </w:rPr>
                    <w:t>4</w:t>
                  </w:r>
                </w:p>
              </w:tc>
              <w:tc>
                <w:tcPr>
                  <w:tcW w:w="3454" w:type="dxa"/>
                  <w:tcMar>
                    <w:left w:w="28" w:type="dxa"/>
                    <w:right w:w="28" w:type="dxa"/>
                  </w:tcMar>
                  <w:vAlign w:val="center"/>
                </w:tcPr>
                <w:p w14:paraId="3BCC5FB3">
                  <w:pPr>
                    <w:pStyle w:val="31"/>
                  </w:pPr>
                  <w:r>
                    <w:rPr>
                      <w:rFonts w:hint="eastAsia"/>
                    </w:rPr>
                    <w:t>四川蜀泰化工科技有限公司</w:t>
                  </w:r>
                </w:p>
              </w:tc>
              <w:tc>
                <w:tcPr>
                  <w:tcW w:w="992" w:type="dxa"/>
                  <w:tcMar>
                    <w:left w:w="28" w:type="dxa"/>
                    <w:right w:w="28" w:type="dxa"/>
                  </w:tcMar>
                  <w:vAlign w:val="center"/>
                </w:tcPr>
                <w:p w14:paraId="2A8032F1">
                  <w:pPr>
                    <w:pStyle w:val="31"/>
                  </w:pPr>
                  <w:r>
                    <w:rPr>
                      <w:rFonts w:hint="eastAsia"/>
                    </w:rPr>
                    <w:t>西北侧</w:t>
                  </w:r>
                </w:p>
              </w:tc>
              <w:tc>
                <w:tcPr>
                  <w:tcW w:w="1276" w:type="dxa"/>
                  <w:tcMar>
                    <w:left w:w="28" w:type="dxa"/>
                    <w:right w:w="28" w:type="dxa"/>
                  </w:tcMar>
                  <w:vAlign w:val="center"/>
                </w:tcPr>
                <w:p w14:paraId="132F0405">
                  <w:pPr>
                    <w:pStyle w:val="31"/>
                  </w:pPr>
                  <w:r>
                    <w:t>280</w:t>
                  </w:r>
                </w:p>
              </w:tc>
              <w:tc>
                <w:tcPr>
                  <w:tcW w:w="1525" w:type="dxa"/>
                  <w:tcMar>
                    <w:left w:w="28" w:type="dxa"/>
                    <w:right w:w="28" w:type="dxa"/>
                  </w:tcMar>
                  <w:vAlign w:val="center"/>
                </w:tcPr>
                <w:p w14:paraId="0DB9FDB3">
                  <w:pPr>
                    <w:pStyle w:val="31"/>
                  </w:pPr>
                  <w:r>
                    <w:t>化学制品制造</w:t>
                  </w:r>
                </w:p>
              </w:tc>
            </w:tr>
            <w:tr w14:paraId="2C622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30C03312">
                  <w:pPr>
                    <w:pStyle w:val="31"/>
                  </w:pPr>
                  <w:r>
                    <w:rPr>
                      <w:rFonts w:hint="eastAsia"/>
                    </w:rPr>
                    <w:t>5</w:t>
                  </w:r>
                </w:p>
              </w:tc>
              <w:tc>
                <w:tcPr>
                  <w:tcW w:w="3454" w:type="dxa"/>
                  <w:tcMar>
                    <w:left w:w="28" w:type="dxa"/>
                    <w:right w:w="28" w:type="dxa"/>
                  </w:tcMar>
                  <w:vAlign w:val="center"/>
                </w:tcPr>
                <w:p w14:paraId="587404B1">
                  <w:pPr>
                    <w:pStyle w:val="31"/>
                  </w:pPr>
                  <w:r>
                    <w:rPr>
                      <w:rFonts w:hint="eastAsia"/>
                    </w:rPr>
                    <w:t>大英达科特化工科技有限公司</w:t>
                  </w:r>
                </w:p>
              </w:tc>
              <w:tc>
                <w:tcPr>
                  <w:tcW w:w="992" w:type="dxa"/>
                  <w:tcMar>
                    <w:left w:w="28" w:type="dxa"/>
                    <w:right w:w="28" w:type="dxa"/>
                  </w:tcMar>
                  <w:vAlign w:val="center"/>
                </w:tcPr>
                <w:p w14:paraId="75E4DB41">
                  <w:pPr>
                    <w:pStyle w:val="31"/>
                  </w:pPr>
                  <w:r>
                    <w:rPr>
                      <w:rFonts w:hint="eastAsia"/>
                    </w:rPr>
                    <w:t>北侧</w:t>
                  </w:r>
                </w:p>
              </w:tc>
              <w:tc>
                <w:tcPr>
                  <w:tcW w:w="1276" w:type="dxa"/>
                  <w:tcMar>
                    <w:left w:w="28" w:type="dxa"/>
                    <w:right w:w="28" w:type="dxa"/>
                  </w:tcMar>
                  <w:vAlign w:val="center"/>
                </w:tcPr>
                <w:p w14:paraId="67BC4E76">
                  <w:pPr>
                    <w:pStyle w:val="31"/>
                  </w:pPr>
                  <w:r>
                    <w:t>230</w:t>
                  </w:r>
                </w:p>
              </w:tc>
              <w:tc>
                <w:tcPr>
                  <w:tcW w:w="1525" w:type="dxa"/>
                  <w:tcMar>
                    <w:left w:w="28" w:type="dxa"/>
                    <w:right w:w="28" w:type="dxa"/>
                  </w:tcMar>
                  <w:vAlign w:val="center"/>
                </w:tcPr>
                <w:p w14:paraId="3E1AFCD4">
                  <w:pPr>
                    <w:pStyle w:val="31"/>
                  </w:pPr>
                  <w:r>
                    <w:t>化学制品制造</w:t>
                  </w:r>
                </w:p>
              </w:tc>
            </w:tr>
            <w:tr w14:paraId="72FBD8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4BF65209">
                  <w:pPr>
                    <w:pStyle w:val="31"/>
                  </w:pPr>
                  <w:r>
                    <w:rPr>
                      <w:rFonts w:hint="eastAsia"/>
                    </w:rPr>
                    <w:t>6</w:t>
                  </w:r>
                </w:p>
              </w:tc>
              <w:tc>
                <w:tcPr>
                  <w:tcW w:w="3454" w:type="dxa"/>
                  <w:tcMar>
                    <w:left w:w="28" w:type="dxa"/>
                    <w:right w:w="28" w:type="dxa"/>
                  </w:tcMar>
                  <w:vAlign w:val="center"/>
                </w:tcPr>
                <w:p w14:paraId="43B5EEA6">
                  <w:pPr>
                    <w:pStyle w:val="31"/>
                  </w:pPr>
                  <w:r>
                    <w:rPr>
                      <w:rFonts w:hint="eastAsia"/>
                    </w:rPr>
                    <w:t>四川省大英蓥峰化工有限责任公司</w:t>
                  </w:r>
                </w:p>
              </w:tc>
              <w:tc>
                <w:tcPr>
                  <w:tcW w:w="992" w:type="dxa"/>
                  <w:tcMar>
                    <w:left w:w="28" w:type="dxa"/>
                    <w:right w:w="28" w:type="dxa"/>
                  </w:tcMar>
                  <w:vAlign w:val="center"/>
                </w:tcPr>
                <w:p w14:paraId="359125CE">
                  <w:pPr>
                    <w:pStyle w:val="31"/>
                  </w:pPr>
                  <w:r>
                    <w:rPr>
                      <w:rFonts w:hint="eastAsia"/>
                    </w:rPr>
                    <w:t>北侧</w:t>
                  </w:r>
                </w:p>
              </w:tc>
              <w:tc>
                <w:tcPr>
                  <w:tcW w:w="1276" w:type="dxa"/>
                  <w:tcMar>
                    <w:left w:w="28" w:type="dxa"/>
                    <w:right w:w="28" w:type="dxa"/>
                  </w:tcMar>
                  <w:vAlign w:val="center"/>
                </w:tcPr>
                <w:p w14:paraId="1C641EF6">
                  <w:pPr>
                    <w:pStyle w:val="31"/>
                  </w:pPr>
                  <w:r>
                    <w:t>370</w:t>
                  </w:r>
                </w:p>
              </w:tc>
              <w:tc>
                <w:tcPr>
                  <w:tcW w:w="1525" w:type="dxa"/>
                  <w:tcMar>
                    <w:left w:w="28" w:type="dxa"/>
                    <w:right w:w="28" w:type="dxa"/>
                  </w:tcMar>
                  <w:vAlign w:val="center"/>
                </w:tcPr>
                <w:p w14:paraId="48049603">
                  <w:pPr>
                    <w:pStyle w:val="31"/>
                  </w:pPr>
                  <w:r>
                    <w:t>化学制品制造</w:t>
                  </w:r>
                </w:p>
              </w:tc>
            </w:tr>
            <w:tr w14:paraId="27146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42A766FC">
                  <w:pPr>
                    <w:pStyle w:val="31"/>
                  </w:pPr>
                  <w:r>
                    <w:rPr>
                      <w:rFonts w:hint="eastAsia"/>
                    </w:rPr>
                    <w:t>7</w:t>
                  </w:r>
                </w:p>
              </w:tc>
              <w:tc>
                <w:tcPr>
                  <w:tcW w:w="3454" w:type="dxa"/>
                  <w:tcMar>
                    <w:left w:w="28" w:type="dxa"/>
                    <w:right w:w="28" w:type="dxa"/>
                  </w:tcMar>
                  <w:vAlign w:val="center"/>
                </w:tcPr>
                <w:p w14:paraId="2B26A23F">
                  <w:pPr>
                    <w:pStyle w:val="31"/>
                  </w:pPr>
                  <w:r>
                    <w:rPr>
                      <w:rFonts w:hint="eastAsia"/>
                    </w:rPr>
                    <w:t>四川盛马化工股份有限公司</w:t>
                  </w:r>
                </w:p>
              </w:tc>
              <w:tc>
                <w:tcPr>
                  <w:tcW w:w="992" w:type="dxa"/>
                  <w:tcMar>
                    <w:left w:w="28" w:type="dxa"/>
                    <w:right w:w="28" w:type="dxa"/>
                  </w:tcMar>
                  <w:vAlign w:val="center"/>
                </w:tcPr>
                <w:p w14:paraId="042B166B">
                  <w:pPr>
                    <w:pStyle w:val="31"/>
                  </w:pPr>
                  <w:r>
                    <w:rPr>
                      <w:rFonts w:hint="eastAsia"/>
                    </w:rPr>
                    <w:t>西侧</w:t>
                  </w:r>
                </w:p>
              </w:tc>
              <w:tc>
                <w:tcPr>
                  <w:tcW w:w="1276" w:type="dxa"/>
                  <w:tcMar>
                    <w:left w:w="28" w:type="dxa"/>
                    <w:right w:w="28" w:type="dxa"/>
                  </w:tcMar>
                  <w:vAlign w:val="center"/>
                </w:tcPr>
                <w:p w14:paraId="0407BDF3">
                  <w:pPr>
                    <w:pStyle w:val="31"/>
                  </w:pPr>
                  <w:r>
                    <w:t>330</w:t>
                  </w:r>
                </w:p>
              </w:tc>
              <w:tc>
                <w:tcPr>
                  <w:tcW w:w="1525" w:type="dxa"/>
                  <w:tcMar>
                    <w:left w:w="28" w:type="dxa"/>
                    <w:right w:w="28" w:type="dxa"/>
                  </w:tcMar>
                  <w:vAlign w:val="center"/>
                </w:tcPr>
                <w:p w14:paraId="380EB3CC">
                  <w:pPr>
                    <w:pStyle w:val="31"/>
                  </w:pPr>
                  <w:r>
                    <w:t>化学制品制造</w:t>
                  </w:r>
                </w:p>
              </w:tc>
            </w:tr>
            <w:tr w14:paraId="1D7E24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55937112">
                  <w:pPr>
                    <w:pStyle w:val="31"/>
                  </w:pPr>
                  <w:r>
                    <w:rPr>
                      <w:rFonts w:hint="eastAsia"/>
                    </w:rPr>
                    <w:t>8</w:t>
                  </w:r>
                </w:p>
              </w:tc>
              <w:tc>
                <w:tcPr>
                  <w:tcW w:w="3454" w:type="dxa"/>
                  <w:tcMar>
                    <w:left w:w="28" w:type="dxa"/>
                    <w:right w:w="28" w:type="dxa"/>
                  </w:tcMar>
                  <w:vAlign w:val="center"/>
                </w:tcPr>
                <w:p w14:paraId="1465A213">
                  <w:pPr>
                    <w:pStyle w:val="31"/>
                  </w:pPr>
                  <w:r>
                    <w:rPr>
                      <w:rFonts w:hint="eastAsia"/>
                    </w:rPr>
                    <w:t>四川锦泰石油化工有限公司</w:t>
                  </w:r>
                </w:p>
              </w:tc>
              <w:tc>
                <w:tcPr>
                  <w:tcW w:w="992" w:type="dxa"/>
                  <w:tcMar>
                    <w:left w:w="28" w:type="dxa"/>
                    <w:right w:w="28" w:type="dxa"/>
                  </w:tcMar>
                  <w:vAlign w:val="center"/>
                </w:tcPr>
                <w:p w14:paraId="1A0760E9">
                  <w:pPr>
                    <w:pStyle w:val="31"/>
                  </w:pPr>
                  <w:r>
                    <w:rPr>
                      <w:rFonts w:hint="eastAsia"/>
                    </w:rPr>
                    <w:t>西南侧</w:t>
                  </w:r>
                </w:p>
              </w:tc>
              <w:tc>
                <w:tcPr>
                  <w:tcW w:w="1276" w:type="dxa"/>
                  <w:tcMar>
                    <w:left w:w="28" w:type="dxa"/>
                    <w:right w:w="28" w:type="dxa"/>
                  </w:tcMar>
                  <w:vAlign w:val="center"/>
                </w:tcPr>
                <w:p w14:paraId="281D925A">
                  <w:pPr>
                    <w:pStyle w:val="31"/>
                  </w:pPr>
                  <w:r>
                    <w:t>400</w:t>
                  </w:r>
                </w:p>
              </w:tc>
              <w:tc>
                <w:tcPr>
                  <w:tcW w:w="1525" w:type="dxa"/>
                  <w:tcMar>
                    <w:left w:w="28" w:type="dxa"/>
                    <w:right w:w="28" w:type="dxa"/>
                  </w:tcMar>
                  <w:vAlign w:val="center"/>
                </w:tcPr>
                <w:p w14:paraId="11845A05">
                  <w:pPr>
                    <w:pStyle w:val="31"/>
                  </w:pPr>
                  <w:r>
                    <w:t>化学制品制造</w:t>
                  </w:r>
                </w:p>
              </w:tc>
            </w:tr>
            <w:tr w14:paraId="56C29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0B5280F5">
                  <w:pPr>
                    <w:pStyle w:val="31"/>
                  </w:pPr>
                  <w:r>
                    <w:rPr>
                      <w:rFonts w:hint="eastAsia"/>
                    </w:rPr>
                    <w:t>9</w:t>
                  </w:r>
                </w:p>
              </w:tc>
              <w:tc>
                <w:tcPr>
                  <w:tcW w:w="3454" w:type="dxa"/>
                  <w:tcMar>
                    <w:left w:w="28" w:type="dxa"/>
                    <w:right w:w="28" w:type="dxa"/>
                  </w:tcMar>
                  <w:vAlign w:val="center"/>
                </w:tcPr>
                <w:p w14:paraId="7729E4A2">
                  <w:pPr>
                    <w:pStyle w:val="31"/>
                  </w:pPr>
                  <w:r>
                    <w:rPr>
                      <w:rFonts w:hint="eastAsia"/>
                    </w:rPr>
                    <w:t>四川之江高新材料股份有限公司</w:t>
                  </w:r>
                </w:p>
              </w:tc>
              <w:tc>
                <w:tcPr>
                  <w:tcW w:w="992" w:type="dxa"/>
                  <w:tcMar>
                    <w:left w:w="28" w:type="dxa"/>
                    <w:right w:w="28" w:type="dxa"/>
                  </w:tcMar>
                  <w:vAlign w:val="center"/>
                </w:tcPr>
                <w:p w14:paraId="1D350C72">
                  <w:pPr>
                    <w:pStyle w:val="31"/>
                  </w:pPr>
                  <w:r>
                    <w:rPr>
                      <w:rFonts w:hint="eastAsia"/>
                    </w:rPr>
                    <w:t>东南</w:t>
                  </w:r>
                </w:p>
              </w:tc>
              <w:tc>
                <w:tcPr>
                  <w:tcW w:w="1276" w:type="dxa"/>
                  <w:tcMar>
                    <w:left w:w="28" w:type="dxa"/>
                    <w:right w:w="28" w:type="dxa"/>
                  </w:tcMar>
                  <w:vAlign w:val="center"/>
                </w:tcPr>
                <w:p w14:paraId="172B32FB">
                  <w:pPr>
                    <w:pStyle w:val="31"/>
                  </w:pPr>
                  <w:r>
                    <w:t>340</w:t>
                  </w:r>
                </w:p>
              </w:tc>
              <w:tc>
                <w:tcPr>
                  <w:tcW w:w="1525" w:type="dxa"/>
                  <w:tcMar>
                    <w:left w:w="28" w:type="dxa"/>
                    <w:right w:w="28" w:type="dxa"/>
                  </w:tcMar>
                  <w:vAlign w:val="center"/>
                </w:tcPr>
                <w:p w14:paraId="6F4F782F">
                  <w:pPr>
                    <w:pStyle w:val="31"/>
                  </w:pPr>
                  <w:r>
                    <w:t>化学制品制造</w:t>
                  </w:r>
                </w:p>
              </w:tc>
            </w:tr>
            <w:tr w14:paraId="41A15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02CDFA41">
                  <w:pPr>
                    <w:pStyle w:val="31"/>
                  </w:pPr>
                  <w:r>
                    <w:rPr>
                      <w:rFonts w:hint="eastAsia"/>
                    </w:rPr>
                    <w:t>10</w:t>
                  </w:r>
                </w:p>
              </w:tc>
              <w:tc>
                <w:tcPr>
                  <w:tcW w:w="3454" w:type="dxa"/>
                  <w:tcMar>
                    <w:left w:w="28" w:type="dxa"/>
                    <w:right w:w="28" w:type="dxa"/>
                  </w:tcMar>
                  <w:vAlign w:val="center"/>
                </w:tcPr>
                <w:p w14:paraId="33063215">
                  <w:pPr>
                    <w:pStyle w:val="31"/>
                  </w:pPr>
                  <w:r>
                    <w:rPr>
                      <w:rFonts w:hint="eastAsia"/>
                    </w:rPr>
                    <w:t>四川福美来新型建筑材料有限公司</w:t>
                  </w:r>
                </w:p>
              </w:tc>
              <w:tc>
                <w:tcPr>
                  <w:tcW w:w="992" w:type="dxa"/>
                  <w:tcMar>
                    <w:left w:w="28" w:type="dxa"/>
                    <w:right w:w="28" w:type="dxa"/>
                  </w:tcMar>
                  <w:vAlign w:val="center"/>
                </w:tcPr>
                <w:p w14:paraId="0FBC1864">
                  <w:pPr>
                    <w:pStyle w:val="31"/>
                  </w:pPr>
                  <w:r>
                    <w:rPr>
                      <w:rFonts w:hint="eastAsia"/>
                    </w:rPr>
                    <w:t>东北</w:t>
                  </w:r>
                </w:p>
              </w:tc>
              <w:tc>
                <w:tcPr>
                  <w:tcW w:w="1276" w:type="dxa"/>
                  <w:tcMar>
                    <w:left w:w="28" w:type="dxa"/>
                    <w:right w:w="28" w:type="dxa"/>
                  </w:tcMar>
                  <w:vAlign w:val="center"/>
                </w:tcPr>
                <w:p w14:paraId="3E0066C1">
                  <w:pPr>
                    <w:pStyle w:val="31"/>
                  </w:pPr>
                  <w:r>
                    <w:t>400</w:t>
                  </w:r>
                </w:p>
              </w:tc>
              <w:tc>
                <w:tcPr>
                  <w:tcW w:w="1525" w:type="dxa"/>
                  <w:tcMar>
                    <w:left w:w="28" w:type="dxa"/>
                    <w:right w:w="28" w:type="dxa"/>
                  </w:tcMar>
                  <w:vAlign w:val="center"/>
                </w:tcPr>
                <w:p w14:paraId="3072DD52">
                  <w:pPr>
                    <w:pStyle w:val="31"/>
                  </w:pPr>
                  <w:r>
                    <w:t>建筑装饰材料</w:t>
                  </w:r>
                </w:p>
              </w:tc>
            </w:tr>
            <w:tr w14:paraId="776E2B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Mar>
                    <w:left w:w="28" w:type="dxa"/>
                    <w:right w:w="28" w:type="dxa"/>
                  </w:tcMar>
                  <w:vAlign w:val="center"/>
                </w:tcPr>
                <w:p w14:paraId="65E5CFC8">
                  <w:pPr>
                    <w:pStyle w:val="31"/>
                  </w:pPr>
                  <w:r>
                    <w:rPr>
                      <w:rFonts w:hint="eastAsia"/>
                    </w:rPr>
                    <w:t>11</w:t>
                  </w:r>
                </w:p>
              </w:tc>
              <w:tc>
                <w:tcPr>
                  <w:tcW w:w="3454" w:type="dxa"/>
                  <w:tcMar>
                    <w:left w:w="28" w:type="dxa"/>
                    <w:right w:w="28" w:type="dxa"/>
                  </w:tcMar>
                  <w:vAlign w:val="center"/>
                </w:tcPr>
                <w:p w14:paraId="3C6128B6">
                  <w:pPr>
                    <w:pStyle w:val="31"/>
                  </w:pPr>
                  <w:r>
                    <w:rPr>
                      <w:rFonts w:hint="eastAsia"/>
                    </w:rPr>
                    <w:t>郪江</w:t>
                  </w:r>
                </w:p>
              </w:tc>
              <w:tc>
                <w:tcPr>
                  <w:tcW w:w="992" w:type="dxa"/>
                  <w:tcMar>
                    <w:left w:w="28" w:type="dxa"/>
                    <w:right w:w="28" w:type="dxa"/>
                  </w:tcMar>
                  <w:vAlign w:val="center"/>
                </w:tcPr>
                <w:p w14:paraId="7663AE06">
                  <w:pPr>
                    <w:pStyle w:val="31"/>
                  </w:pPr>
                  <w:r>
                    <w:rPr>
                      <w:rFonts w:hint="eastAsia"/>
                    </w:rPr>
                    <w:t>西侧</w:t>
                  </w:r>
                </w:p>
              </w:tc>
              <w:tc>
                <w:tcPr>
                  <w:tcW w:w="1276" w:type="dxa"/>
                  <w:tcMar>
                    <w:left w:w="28" w:type="dxa"/>
                    <w:right w:w="28" w:type="dxa"/>
                  </w:tcMar>
                  <w:vAlign w:val="center"/>
                </w:tcPr>
                <w:p w14:paraId="69180933">
                  <w:pPr>
                    <w:pStyle w:val="31"/>
                  </w:pPr>
                  <w:r>
                    <w:t>980</w:t>
                  </w:r>
                </w:p>
              </w:tc>
              <w:tc>
                <w:tcPr>
                  <w:tcW w:w="1525" w:type="dxa"/>
                  <w:tcMar>
                    <w:left w:w="28" w:type="dxa"/>
                    <w:right w:w="28" w:type="dxa"/>
                  </w:tcMar>
                  <w:vAlign w:val="center"/>
                </w:tcPr>
                <w:p w14:paraId="5A25CE74">
                  <w:pPr>
                    <w:pStyle w:val="31"/>
                  </w:pPr>
                  <w:r>
                    <w:rPr>
                      <w:rFonts w:hint="eastAsia"/>
                    </w:rPr>
                    <w:t>河流</w:t>
                  </w:r>
                </w:p>
              </w:tc>
            </w:tr>
            <w:bookmarkEnd w:id="6"/>
          </w:tbl>
          <w:p w14:paraId="588E8F7F">
            <w:pPr>
              <w:ind w:firstLine="480"/>
            </w:pPr>
            <w:r>
              <w:rPr>
                <w:rFonts w:hint="eastAsia"/>
              </w:rPr>
              <w:t>（2）项目选址合理性分析</w:t>
            </w:r>
          </w:p>
          <w:p w14:paraId="7023DA85">
            <w:pPr>
              <w:ind w:firstLine="480"/>
            </w:pPr>
            <w:r>
              <w:rPr>
                <w:rFonts w:hint="eastAsia"/>
              </w:rPr>
              <w:t>①本项目对周边企业的影响分析</w:t>
            </w:r>
          </w:p>
          <w:p w14:paraId="2A8302EC">
            <w:pPr>
              <w:ind w:firstLine="480"/>
              <w:rPr>
                <w:rFonts w:cs="Times New Roman"/>
                <w:bCs/>
              </w:rPr>
            </w:pPr>
            <w:r>
              <w:rPr>
                <w:rFonts w:hint="eastAsia"/>
              </w:rPr>
              <w:t>本项目位于</w:t>
            </w:r>
            <w:r>
              <w:rPr>
                <w:rFonts w:cs="Times New Roman"/>
                <w:szCs w:val="32"/>
              </w:rPr>
              <w:t>大英县工业集中发展区</w:t>
            </w:r>
            <w:r>
              <w:rPr>
                <w:rFonts w:hint="eastAsia"/>
              </w:rPr>
              <w:t>，区域交通便利，供水供电设施均已到位，可满足本项目运营的需求。</w:t>
            </w:r>
            <w:r>
              <w:rPr>
                <w:rFonts w:cs="Times New Roman"/>
                <w:bCs/>
              </w:rPr>
              <w:t>项目周边企业主要以工业企业</w:t>
            </w:r>
            <w:r>
              <w:rPr>
                <w:rFonts w:hint="eastAsia" w:cs="Times New Roman"/>
                <w:bCs/>
              </w:rPr>
              <w:t>、待建空地</w:t>
            </w:r>
            <w:r>
              <w:rPr>
                <w:rFonts w:cs="Times New Roman"/>
                <w:bCs/>
              </w:rPr>
              <w:t>为主，周边不涉及自然保护区、风景名胜区、基本农田保护区、重点文物古迹、饮用水水源保护区，无古树名木分布，项目500m范围内无环境敏感点。</w:t>
            </w:r>
          </w:p>
          <w:p w14:paraId="7F13F312">
            <w:pPr>
              <w:ind w:firstLine="480"/>
            </w:pPr>
            <w:r>
              <w:rPr>
                <w:rFonts w:hint="eastAsia"/>
              </w:rPr>
              <w:t>根据污染影响分析，项目生产过程中排放的废气污染物主要为颗粒物、氮氧化物、二氧化硫。本项目</w:t>
            </w:r>
            <w:r>
              <w:rPr>
                <w:rFonts w:cs="Times New Roman"/>
                <w:bCs/>
              </w:rPr>
              <w:t>产生的废气通过</w:t>
            </w:r>
            <w:r>
              <w:rPr>
                <w:rFonts w:hint="eastAsia" w:cs="Times New Roman"/>
                <w:bCs/>
              </w:rPr>
              <w:t>低氮燃烧+SCR脱硝+水膜除尘器处理后由2根26m高排气筒排放。生活废水经拟建预处理池（6m</w:t>
            </w:r>
            <w:r>
              <w:rPr>
                <w:rFonts w:hint="eastAsia" w:cs="Times New Roman"/>
                <w:bCs/>
                <w:vertAlign w:val="superscript"/>
              </w:rPr>
              <w:t>3</w:t>
            </w:r>
            <w:r>
              <w:rPr>
                <w:rFonts w:hint="eastAsia" w:cs="Times New Roman"/>
                <w:bCs/>
              </w:rPr>
              <w:t>）处理达标后经市政污水管排入大英经济开发区污水处理厂，最终排入郪江；软水制备废水为清洁下水，排入园区雨水管网；锅炉排污水</w:t>
            </w:r>
            <w:r>
              <w:rPr>
                <w:rFonts w:hint="eastAsia"/>
              </w:rPr>
              <w:t>用于厂区绿化、除尘设备用水等，无法利用的经预处理池（6m</w:t>
            </w:r>
            <w:r>
              <w:rPr>
                <w:rFonts w:hint="eastAsia"/>
                <w:vertAlign w:val="superscript"/>
              </w:rPr>
              <w:t>3</w:t>
            </w:r>
            <w:r>
              <w:rPr>
                <w:rFonts w:hint="eastAsia"/>
              </w:rPr>
              <w:t>）处理后进入市政污水管网，进入大英经济开发区污水处理厂，最终排入郪江；气化炉冷却用水和除尘设备用水均各自循环使用，不外排。本项目主要噪声为生物气质化炉、生物质燃气锅炉、尾气处理环保设备等设备运行声，经采取降噪措施后能够实现达标排放，对周边环境影响很小。项目产生的固废通过厂家回收、外售或者交由当地环卫部门统一清运，产生的危废委托有资质的单位处理，固废处置率100%。因此，项目对周边环境影响很小。</w:t>
            </w:r>
          </w:p>
          <w:p w14:paraId="3B60E37D">
            <w:pPr>
              <w:ind w:firstLine="480"/>
            </w:pPr>
            <w:r>
              <w:rPr>
                <w:rFonts w:hint="eastAsia"/>
              </w:rPr>
              <w:t>②周边企业对本项目的影响分析</w:t>
            </w:r>
          </w:p>
          <w:p w14:paraId="0F040642">
            <w:pPr>
              <w:ind w:firstLine="480"/>
            </w:pPr>
            <w:r>
              <w:rPr>
                <w:rFonts w:hint="eastAsia"/>
              </w:rPr>
              <w:t>本项目位于</w:t>
            </w:r>
            <w:r>
              <w:rPr>
                <w:rFonts w:cs="Times New Roman"/>
                <w:szCs w:val="32"/>
              </w:rPr>
              <w:t>大英县工业集中发展区</w:t>
            </w:r>
            <w:r>
              <w:rPr>
                <w:rFonts w:hint="eastAsia" w:cs="Times New Roman"/>
                <w:szCs w:val="32"/>
              </w:rPr>
              <w:t>，周边企业主要工业企业。</w:t>
            </w:r>
            <w:r>
              <w:rPr>
                <w:rFonts w:cs="Times New Roman"/>
              </w:rPr>
              <w:t>根据调查，周边企业在生产过程中产生的</w:t>
            </w:r>
            <w:r>
              <w:rPr>
                <w:rFonts w:hint="eastAsia" w:cs="Times New Roman"/>
              </w:rPr>
              <w:t>“</w:t>
            </w:r>
            <w:r>
              <w:rPr>
                <w:rFonts w:cs="Times New Roman"/>
              </w:rPr>
              <w:t>三废</w:t>
            </w:r>
            <w:r>
              <w:rPr>
                <w:rFonts w:hint="eastAsia" w:cs="Times New Roman"/>
              </w:rPr>
              <w:t>”</w:t>
            </w:r>
            <w:r>
              <w:rPr>
                <w:rFonts w:cs="Times New Roman"/>
              </w:rPr>
              <w:t>及噪声均能得到有效的治理达标排放，对本项目影响较小。</w:t>
            </w:r>
            <w:r>
              <w:rPr>
                <w:rFonts w:hint="eastAsia" w:cs="Times New Roman"/>
                <w:szCs w:val="32"/>
              </w:rPr>
              <w:t>本项目旨在为园区内的蒸汽使用单位提供稳定、可靠的能源供应，以满足其生产运营需求。</w:t>
            </w:r>
            <w:r>
              <w:rPr>
                <w:rFonts w:hint="eastAsia"/>
              </w:rPr>
              <w:t>本项目</w:t>
            </w:r>
            <w:r>
              <w:rPr>
                <w:rFonts w:hint="eastAsia" w:cs="Times New Roman"/>
              </w:rPr>
              <w:t>“</w:t>
            </w:r>
            <w:r>
              <w:rPr>
                <w:rFonts w:cs="Times New Roman"/>
              </w:rPr>
              <w:t>三废</w:t>
            </w:r>
            <w:r>
              <w:rPr>
                <w:rFonts w:hint="eastAsia" w:cs="Times New Roman"/>
              </w:rPr>
              <w:t>”</w:t>
            </w:r>
            <w:r>
              <w:rPr>
                <w:rFonts w:cs="Times New Roman"/>
              </w:rPr>
              <w:t>及噪声均能得到有效的治理达标排放</w:t>
            </w:r>
            <w:r>
              <w:rPr>
                <w:rFonts w:hint="eastAsia"/>
              </w:rPr>
              <w:t>，对区域环境影响很小，故项目不会与周边企业形成制约，可与周边企业相容。</w:t>
            </w:r>
          </w:p>
          <w:p w14:paraId="2870CF45">
            <w:pPr>
              <w:ind w:firstLine="480"/>
            </w:pPr>
            <w:r>
              <w:rPr>
                <w:rFonts w:hint="eastAsia"/>
              </w:rPr>
              <w:t>综上，</w:t>
            </w:r>
            <w:r>
              <w:rPr>
                <w:rFonts w:cs="Times New Roman"/>
                <w:szCs w:val="32"/>
              </w:rPr>
              <w:t>本项目选址于大英县工业集中发展区，土地性质为工业用地</w:t>
            </w:r>
            <w:r>
              <w:rPr>
                <w:rFonts w:hint="eastAsia" w:cs="Times New Roman"/>
                <w:szCs w:val="32"/>
              </w:rPr>
              <w:t>，</w:t>
            </w:r>
            <w:r>
              <w:rPr>
                <w:rFonts w:hint="eastAsia"/>
              </w:rPr>
              <w:t>选址区域交通便利，配套设施完善，外环境无明显制约因素，可与周边企业相容，选址合理。</w:t>
            </w:r>
          </w:p>
          <w:p w14:paraId="0ACC53E0">
            <w:pPr>
              <w:ind w:firstLine="482"/>
              <w:rPr>
                <w:b/>
                <w:bCs/>
              </w:rPr>
            </w:pPr>
            <w:r>
              <w:rPr>
                <w:rFonts w:hint="eastAsia"/>
                <w:b/>
                <w:bCs/>
              </w:rPr>
              <w:t>五、项目总图布置合理性分析</w:t>
            </w:r>
          </w:p>
          <w:p w14:paraId="5BBA68A1">
            <w:pPr>
              <w:ind w:firstLine="480"/>
            </w:pPr>
            <w:r>
              <w:rPr>
                <w:rFonts w:hint="eastAsia"/>
              </w:rPr>
              <w:t>本项目根据工艺流程、生产设施规划及场地情况，尽量合理利用厂房面积，使各生产区域布置合理、紧凑，便于生产操作和生产管理。</w:t>
            </w:r>
          </w:p>
          <w:p w14:paraId="194CC16E">
            <w:pPr>
              <w:ind w:firstLine="480"/>
            </w:pPr>
            <w:r>
              <w:rPr>
                <w:rFonts w:hint="eastAsia"/>
              </w:rPr>
              <w:t>本项目锅炉房位于厂区北侧；1#材料库房位于厂区西南侧；研发楼位于厂区外西侧，距离厂区约125m；一体化消防站紧邻锅炉房，位于锅炉房东侧；门卫室位于</w:t>
            </w:r>
            <w:r>
              <w:t>1#</w:t>
            </w:r>
            <w:r>
              <w:rPr>
                <w:rFonts w:hint="eastAsia"/>
              </w:rPr>
              <w:t>材料库房西侧。</w:t>
            </w:r>
          </w:p>
          <w:p w14:paraId="30A563BE">
            <w:pPr>
              <w:ind w:firstLine="480"/>
            </w:pPr>
            <w:r>
              <w:rPr>
                <w:rFonts w:hint="eastAsia"/>
              </w:rPr>
              <w:t>环保设施方面，本项目每台锅炉配套</w:t>
            </w:r>
            <w:r>
              <w:t>1</w:t>
            </w:r>
            <w:r>
              <w:rPr>
                <w:rFonts w:hint="eastAsia"/>
              </w:rPr>
              <w:t>套尾气处理装置（低氮燃烧+</w:t>
            </w:r>
            <w:r>
              <w:t>SCR</w:t>
            </w:r>
            <w:r>
              <w:rPr>
                <w:rFonts w:hint="eastAsia"/>
              </w:rPr>
              <w:t>脱硝</w:t>
            </w:r>
            <w:r>
              <w:t>+</w:t>
            </w:r>
            <w:r>
              <w:rPr>
                <w:rFonts w:hint="eastAsia"/>
              </w:rPr>
              <w:t>喷淋式水膜除尘器），全厂共</w:t>
            </w:r>
            <w:r>
              <w:t>4</w:t>
            </w:r>
            <w:r>
              <w:rPr>
                <w:rFonts w:hint="eastAsia"/>
              </w:rPr>
              <w:t>套尾气处理装置，每</w:t>
            </w:r>
            <w:r>
              <w:t>2</w:t>
            </w:r>
            <w:r>
              <w:rPr>
                <w:rFonts w:hint="eastAsia"/>
              </w:rPr>
              <w:t>套尾气处理装置共用</w:t>
            </w:r>
            <w:r>
              <w:t>1</w:t>
            </w:r>
            <w:r>
              <w:rPr>
                <w:rFonts w:hint="eastAsia"/>
              </w:rPr>
              <w:t>根</w:t>
            </w:r>
            <w:r>
              <w:t>26m</w:t>
            </w:r>
            <w:r>
              <w:rPr>
                <w:rFonts w:hint="eastAsia"/>
              </w:rPr>
              <w:t>高排气筒，全厂共</w:t>
            </w:r>
            <w:r>
              <w:t>2</w:t>
            </w:r>
            <w:r>
              <w:rPr>
                <w:rFonts w:hint="eastAsia"/>
              </w:rPr>
              <w:t>根排气筒（</w:t>
            </w:r>
            <w:r>
              <w:t>DA001</w:t>
            </w:r>
            <w:r>
              <w:rPr>
                <w:rFonts w:hint="eastAsia"/>
              </w:rPr>
              <w:t>和</w:t>
            </w:r>
            <w:r>
              <w:t>DA002</w:t>
            </w:r>
            <w:r>
              <w:rPr>
                <w:rFonts w:hint="eastAsia"/>
              </w:rPr>
              <w:t>），废气环保设施位于锅炉房北侧。冷却水池（10m</w:t>
            </w:r>
            <w:r>
              <w:rPr>
                <w:rFonts w:hint="eastAsia"/>
                <w:vertAlign w:val="superscript"/>
              </w:rPr>
              <w:t>3</w:t>
            </w:r>
            <w:r>
              <w:rPr>
                <w:rFonts w:hint="eastAsia"/>
              </w:rPr>
              <w:t>）位于锅炉房西侧，沉淀池（240m</w:t>
            </w:r>
            <w:r>
              <w:rPr>
                <w:rFonts w:hint="eastAsia"/>
                <w:vertAlign w:val="superscript"/>
              </w:rPr>
              <w:t>3</w:t>
            </w:r>
            <w:r>
              <w:rPr>
                <w:rFonts w:hint="eastAsia"/>
              </w:rPr>
              <w:t>）位于锅炉房北侧，消防水池（890m</w:t>
            </w:r>
            <w:r>
              <w:rPr>
                <w:rFonts w:hint="eastAsia"/>
                <w:vertAlign w:val="superscript"/>
              </w:rPr>
              <w:t>3</w:t>
            </w:r>
            <w:r>
              <w:rPr>
                <w:rFonts w:hint="eastAsia"/>
              </w:rPr>
              <w:t>）位于锅炉房东侧，雨水收集池（780m</w:t>
            </w:r>
            <w:r>
              <w:rPr>
                <w:rFonts w:hint="eastAsia"/>
                <w:vertAlign w:val="superscript"/>
              </w:rPr>
              <w:t>3</w:t>
            </w:r>
            <w:r>
              <w:rPr>
                <w:rFonts w:hint="eastAsia"/>
              </w:rPr>
              <w:t>）位于门卫室东侧。设危废暂存间1间，位于锅炉房东南角，便于危废暂存。</w:t>
            </w:r>
          </w:p>
          <w:p w14:paraId="53F02E23">
            <w:pPr>
              <w:ind w:firstLine="480"/>
            </w:pPr>
            <w:r>
              <w:rPr>
                <w:rFonts w:hint="eastAsia"/>
              </w:rPr>
              <w:t>本项目功能分区明确、布局上相互协调、人流物流组织合理，符合工艺、建筑、卫生、消防、劳动保护、交通运输、节约用地等要求，力求做到功能分区明确，工艺流程合理，运输线路便捷。</w:t>
            </w:r>
          </w:p>
          <w:p w14:paraId="4026E4CF">
            <w:pPr>
              <w:ind w:firstLine="480"/>
            </w:pPr>
            <w:r>
              <w:rPr>
                <w:rFonts w:hint="eastAsia"/>
              </w:rPr>
              <w:t>通过以上分析，评价认为项目的平面布局是较合理的。</w:t>
            </w:r>
          </w:p>
          <w:p w14:paraId="2F24A8D9">
            <w:pPr>
              <w:ind w:firstLine="482"/>
              <w:rPr>
                <w:b/>
                <w:bCs/>
              </w:rPr>
            </w:pPr>
            <w:r>
              <w:rPr>
                <w:rFonts w:hint="eastAsia"/>
                <w:b/>
                <w:bCs/>
              </w:rPr>
              <w:t>六、其他符合性分析</w:t>
            </w:r>
          </w:p>
          <w:p w14:paraId="2C6E69E5">
            <w:pPr>
              <w:ind w:firstLine="480"/>
            </w:pPr>
            <w:r>
              <w:rPr>
                <w:rFonts w:hint="eastAsia"/>
              </w:rPr>
              <w:t>1）与长江经济带相关规划符合性分析</w:t>
            </w:r>
          </w:p>
          <w:p w14:paraId="22E14099">
            <w:pPr>
              <w:ind w:firstLine="480"/>
            </w:pPr>
            <w:r>
              <w:rPr>
                <w:rFonts w:hint="eastAsia"/>
              </w:rPr>
              <w:t>2022年8月25日四川省及重庆市推动长江经济带发展领导小组办公室发布了《四川省、重庆市长江经济带发展负面清单实施细则（试行，2022版）》（川长江办〔2022〕17号）。根据文件精神，本项目符合性分析如下。</w:t>
            </w:r>
          </w:p>
          <w:p w14:paraId="3677EF38">
            <w:pPr>
              <w:pStyle w:val="35"/>
            </w:pPr>
            <w:r>
              <w:rPr>
                <w:rFonts w:hint="eastAsia"/>
                <w:lang w:val="zh-CN"/>
              </w:rPr>
              <w:t xml:space="preserve">  </w:t>
            </w:r>
            <w:r>
              <w:rPr>
                <w:lang w:val="zh-CN"/>
              </w:rPr>
              <w:t>项目与</w:t>
            </w:r>
            <w:r>
              <w:t>川</w:t>
            </w:r>
            <w:r>
              <w:rPr>
                <w:lang w:val="zh-CN"/>
              </w:rPr>
              <w:t>长江办〔2022〕</w:t>
            </w:r>
            <w:r>
              <w:t>1</w:t>
            </w:r>
            <w:r>
              <w:rPr>
                <w:lang w:val="zh-CN"/>
              </w:rPr>
              <w:t>7号符合性分析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961"/>
              <w:gridCol w:w="1191"/>
              <w:gridCol w:w="809"/>
            </w:tblGrid>
            <w:tr w14:paraId="49DF15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3743" w:type="pct"/>
                  <w:tcBorders>
                    <w:tl2br w:val="nil"/>
                    <w:tr2bl w:val="nil"/>
                  </w:tcBorders>
                  <w:vAlign w:val="center"/>
                </w:tcPr>
                <w:p w14:paraId="322115AE">
                  <w:pPr>
                    <w:pStyle w:val="31"/>
                    <w:rPr>
                      <w:b/>
                      <w:bCs/>
                    </w:rPr>
                  </w:pPr>
                  <w:r>
                    <w:rPr>
                      <w:b/>
                      <w:bCs/>
                    </w:rPr>
                    <w:t>川</w:t>
                  </w:r>
                  <w:r>
                    <w:rPr>
                      <w:b/>
                      <w:bCs/>
                      <w:lang w:val="zh-CN"/>
                    </w:rPr>
                    <w:t>长江办〔2022〕</w:t>
                  </w:r>
                  <w:r>
                    <w:rPr>
                      <w:b/>
                      <w:bCs/>
                    </w:rPr>
                    <w:t>1</w:t>
                  </w:r>
                  <w:r>
                    <w:rPr>
                      <w:b/>
                      <w:bCs/>
                      <w:lang w:val="zh-CN"/>
                    </w:rPr>
                    <w:t>7号</w:t>
                  </w:r>
                  <w:r>
                    <w:rPr>
                      <w:b/>
                      <w:bCs/>
                    </w:rPr>
                    <w:t>文件要求</w:t>
                  </w:r>
                </w:p>
              </w:tc>
              <w:tc>
                <w:tcPr>
                  <w:tcW w:w="748" w:type="pct"/>
                  <w:tcBorders>
                    <w:tl2br w:val="nil"/>
                    <w:tr2bl w:val="nil"/>
                  </w:tcBorders>
                  <w:vAlign w:val="center"/>
                </w:tcPr>
                <w:p w14:paraId="3A4981FD">
                  <w:pPr>
                    <w:pStyle w:val="31"/>
                    <w:rPr>
                      <w:b/>
                      <w:bCs/>
                    </w:rPr>
                  </w:pPr>
                  <w:r>
                    <w:rPr>
                      <w:b/>
                      <w:bCs/>
                    </w:rPr>
                    <w:t>本项目情况</w:t>
                  </w:r>
                </w:p>
              </w:tc>
              <w:tc>
                <w:tcPr>
                  <w:tcW w:w="508" w:type="pct"/>
                  <w:tcBorders>
                    <w:tl2br w:val="nil"/>
                    <w:tr2bl w:val="nil"/>
                  </w:tcBorders>
                  <w:vAlign w:val="center"/>
                </w:tcPr>
                <w:p w14:paraId="310C8F38">
                  <w:pPr>
                    <w:pStyle w:val="31"/>
                    <w:rPr>
                      <w:b/>
                      <w:bCs/>
                    </w:rPr>
                  </w:pPr>
                  <w:r>
                    <w:rPr>
                      <w:b/>
                      <w:bCs/>
                    </w:rPr>
                    <w:t>符合性</w:t>
                  </w:r>
                </w:p>
              </w:tc>
            </w:tr>
            <w:tr w14:paraId="3B731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8" w:hRule="atLeast"/>
                <w:jc w:val="center"/>
              </w:trPr>
              <w:tc>
                <w:tcPr>
                  <w:tcW w:w="3743" w:type="pct"/>
                  <w:tcBorders>
                    <w:tl2br w:val="nil"/>
                    <w:tr2bl w:val="nil"/>
                  </w:tcBorders>
                  <w:vAlign w:val="center"/>
                </w:tcPr>
                <w:p w14:paraId="0E4FB936">
                  <w:pPr>
                    <w:pStyle w:val="31"/>
                    <w:jc w:val="both"/>
                  </w:pPr>
                  <w:r>
                    <w:t>第五条禁止新建、改建和扩建不符合全国港口布局规划，以及《四川省内河水运发展规划》</w:t>
                  </w:r>
                  <w:r>
                    <w:rPr>
                      <w:rFonts w:hint="eastAsia"/>
                    </w:rPr>
                    <w:t>、</w:t>
                  </w:r>
                  <w:r>
                    <w:t>《泸州—宜宾—乐山港口群布局规划》</w:t>
                  </w:r>
                  <w:r>
                    <w:rPr>
                      <w:rFonts w:hint="eastAsia"/>
                    </w:rPr>
                    <w:t>、</w:t>
                  </w:r>
                  <w:r>
                    <w:t>《重庆港总体规划（2035年）》等省级港口布局规划及市级港口总体规划的码头项目。</w:t>
                  </w:r>
                </w:p>
              </w:tc>
              <w:tc>
                <w:tcPr>
                  <w:tcW w:w="748" w:type="pct"/>
                  <w:tcBorders>
                    <w:tl2br w:val="nil"/>
                    <w:tr2bl w:val="nil"/>
                  </w:tcBorders>
                  <w:vAlign w:val="center"/>
                </w:tcPr>
                <w:p w14:paraId="23810FE8">
                  <w:pPr>
                    <w:pStyle w:val="31"/>
                  </w:pPr>
                  <w:r>
                    <w:t>本项目不</w:t>
                  </w:r>
                </w:p>
                <w:p w14:paraId="294BEF1B">
                  <w:pPr>
                    <w:pStyle w:val="31"/>
                  </w:pPr>
                  <w:r>
                    <w:t>涉及</w:t>
                  </w:r>
                </w:p>
              </w:tc>
              <w:tc>
                <w:tcPr>
                  <w:tcW w:w="508" w:type="pct"/>
                  <w:tcBorders>
                    <w:tl2br w:val="nil"/>
                    <w:tr2bl w:val="nil"/>
                  </w:tcBorders>
                  <w:vAlign w:val="center"/>
                </w:tcPr>
                <w:p w14:paraId="61209EA5">
                  <w:pPr>
                    <w:pStyle w:val="31"/>
                  </w:pPr>
                  <w:r>
                    <w:t>符合</w:t>
                  </w:r>
                </w:p>
              </w:tc>
            </w:tr>
            <w:tr w14:paraId="1F297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7" w:hRule="atLeast"/>
                <w:jc w:val="center"/>
              </w:trPr>
              <w:tc>
                <w:tcPr>
                  <w:tcW w:w="3743" w:type="pct"/>
                  <w:tcBorders>
                    <w:tl2br w:val="nil"/>
                    <w:tr2bl w:val="nil"/>
                  </w:tcBorders>
                  <w:vAlign w:val="center"/>
                </w:tcPr>
                <w:p w14:paraId="49408D26">
                  <w:pPr>
                    <w:pStyle w:val="31"/>
                    <w:jc w:val="both"/>
                  </w:pPr>
                  <w:r>
                    <w:t>第六条禁止新建、改建和扩建不符合《长江干线过江通道布局规划（2020——2035年）》的过长江通道项目（含桥梁、隧道），国家发展改革委同意过长江通道线位调整的除外。</w:t>
                  </w:r>
                </w:p>
              </w:tc>
              <w:tc>
                <w:tcPr>
                  <w:tcW w:w="748" w:type="pct"/>
                  <w:tcBorders>
                    <w:tl2br w:val="nil"/>
                    <w:tr2bl w:val="nil"/>
                  </w:tcBorders>
                  <w:vAlign w:val="center"/>
                </w:tcPr>
                <w:p w14:paraId="4C73D07B">
                  <w:pPr>
                    <w:pStyle w:val="31"/>
                  </w:pPr>
                  <w:r>
                    <w:t>本项目不</w:t>
                  </w:r>
                </w:p>
                <w:p w14:paraId="1211EB2F">
                  <w:pPr>
                    <w:pStyle w:val="31"/>
                  </w:pPr>
                  <w:r>
                    <w:t>涉及</w:t>
                  </w:r>
                </w:p>
              </w:tc>
              <w:tc>
                <w:tcPr>
                  <w:tcW w:w="508" w:type="pct"/>
                  <w:tcBorders>
                    <w:tl2br w:val="nil"/>
                    <w:tr2bl w:val="nil"/>
                  </w:tcBorders>
                  <w:vAlign w:val="center"/>
                </w:tcPr>
                <w:p w14:paraId="54781E26">
                  <w:pPr>
                    <w:pStyle w:val="31"/>
                  </w:pPr>
                  <w:r>
                    <w:t>符合</w:t>
                  </w:r>
                </w:p>
              </w:tc>
            </w:tr>
            <w:tr w14:paraId="12777C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17" w:hRule="atLeast"/>
                <w:jc w:val="center"/>
              </w:trPr>
              <w:tc>
                <w:tcPr>
                  <w:tcW w:w="3743" w:type="pct"/>
                  <w:tcBorders>
                    <w:tl2br w:val="nil"/>
                    <w:tr2bl w:val="nil"/>
                  </w:tcBorders>
                  <w:vAlign w:val="center"/>
                </w:tcPr>
                <w:p w14:paraId="155B28B6">
                  <w:pPr>
                    <w:pStyle w:val="31"/>
                    <w:jc w:val="both"/>
                  </w:pPr>
                  <w:r>
                    <w:t>第七条禁止在自然保护区核心区、缓冲区的岸线和河段范围内投资建设旅游和生产经营项目。自然保护区的内部未分区的，依照核心区和缓冲区的规定管控。</w:t>
                  </w:r>
                </w:p>
              </w:tc>
              <w:tc>
                <w:tcPr>
                  <w:tcW w:w="748" w:type="pct"/>
                  <w:tcBorders>
                    <w:tl2br w:val="nil"/>
                    <w:tr2bl w:val="nil"/>
                  </w:tcBorders>
                  <w:vAlign w:val="center"/>
                </w:tcPr>
                <w:p w14:paraId="653578F9">
                  <w:pPr>
                    <w:pStyle w:val="31"/>
                  </w:pPr>
                  <w:r>
                    <w:t>本项目不</w:t>
                  </w:r>
                </w:p>
                <w:p w14:paraId="4F6EE4C3">
                  <w:pPr>
                    <w:pStyle w:val="31"/>
                  </w:pPr>
                  <w:r>
                    <w:t>涉及</w:t>
                  </w:r>
                </w:p>
              </w:tc>
              <w:tc>
                <w:tcPr>
                  <w:tcW w:w="508" w:type="pct"/>
                  <w:tcBorders>
                    <w:tl2br w:val="nil"/>
                    <w:tr2bl w:val="nil"/>
                  </w:tcBorders>
                  <w:vAlign w:val="center"/>
                </w:tcPr>
                <w:p w14:paraId="6C4AF3CA">
                  <w:pPr>
                    <w:pStyle w:val="31"/>
                  </w:pPr>
                  <w:r>
                    <w:t>符合</w:t>
                  </w:r>
                </w:p>
              </w:tc>
            </w:tr>
            <w:tr w14:paraId="44C738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45" w:hRule="atLeast"/>
                <w:jc w:val="center"/>
              </w:trPr>
              <w:tc>
                <w:tcPr>
                  <w:tcW w:w="3743" w:type="pct"/>
                  <w:tcBorders>
                    <w:tl2br w:val="nil"/>
                    <w:tr2bl w:val="nil"/>
                  </w:tcBorders>
                  <w:vAlign w:val="center"/>
                </w:tcPr>
                <w:p w14:paraId="0CE6846F">
                  <w:pPr>
                    <w:pStyle w:val="31"/>
                    <w:jc w:val="both"/>
                  </w:pPr>
                  <w:r>
                    <w:t>第八条禁止违反风景名胜区规划，在风景名胜区内设立各类开发区。禁止在风景名胜区核心景区的岸线和河段范围内建设宾馆、招待所、培训中心、疗养院以及与风景名胜资源保护无关的项目。</w:t>
                  </w:r>
                </w:p>
              </w:tc>
              <w:tc>
                <w:tcPr>
                  <w:tcW w:w="748" w:type="pct"/>
                  <w:tcBorders>
                    <w:tl2br w:val="nil"/>
                    <w:tr2bl w:val="nil"/>
                  </w:tcBorders>
                  <w:vAlign w:val="center"/>
                </w:tcPr>
                <w:p w14:paraId="0273605C">
                  <w:pPr>
                    <w:pStyle w:val="31"/>
                  </w:pPr>
                  <w:r>
                    <w:t>本项目</w:t>
                  </w:r>
                </w:p>
                <w:p w14:paraId="1F444838">
                  <w:pPr>
                    <w:pStyle w:val="31"/>
                  </w:pPr>
                  <w:r>
                    <w:t>不涉及</w:t>
                  </w:r>
                </w:p>
              </w:tc>
              <w:tc>
                <w:tcPr>
                  <w:tcW w:w="508" w:type="pct"/>
                  <w:tcBorders>
                    <w:tl2br w:val="nil"/>
                    <w:tr2bl w:val="nil"/>
                  </w:tcBorders>
                  <w:vAlign w:val="center"/>
                </w:tcPr>
                <w:p w14:paraId="199358ED">
                  <w:pPr>
                    <w:pStyle w:val="31"/>
                  </w:pPr>
                  <w:r>
                    <w:t>符合</w:t>
                  </w:r>
                </w:p>
              </w:tc>
            </w:tr>
            <w:tr w14:paraId="31F293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2" w:hRule="atLeast"/>
                <w:jc w:val="center"/>
              </w:trPr>
              <w:tc>
                <w:tcPr>
                  <w:tcW w:w="3743" w:type="pct"/>
                  <w:tcBorders>
                    <w:tl2br w:val="nil"/>
                    <w:tr2bl w:val="nil"/>
                  </w:tcBorders>
                  <w:vAlign w:val="center"/>
                </w:tcPr>
                <w:p w14:paraId="29D4BC6D">
                  <w:pPr>
                    <w:pStyle w:val="31"/>
                    <w:jc w:val="both"/>
                  </w:pPr>
                  <w:r>
                    <w:t>第九条禁止在饮用水水源标准保护区的岸线和河段范围内新建、扩建对水体污染严重的建设项目，禁止改建增加排污量的建设项目。</w:t>
                  </w:r>
                </w:p>
              </w:tc>
              <w:tc>
                <w:tcPr>
                  <w:tcW w:w="748" w:type="pct"/>
                  <w:tcBorders>
                    <w:tl2br w:val="nil"/>
                    <w:tr2bl w:val="nil"/>
                  </w:tcBorders>
                  <w:vAlign w:val="center"/>
                </w:tcPr>
                <w:p w14:paraId="614D7B0F">
                  <w:pPr>
                    <w:pStyle w:val="31"/>
                  </w:pPr>
                  <w:r>
                    <w:t>本项目不</w:t>
                  </w:r>
                </w:p>
                <w:p w14:paraId="7476EA01">
                  <w:pPr>
                    <w:pStyle w:val="31"/>
                  </w:pPr>
                  <w:r>
                    <w:t>涉及</w:t>
                  </w:r>
                </w:p>
              </w:tc>
              <w:tc>
                <w:tcPr>
                  <w:tcW w:w="508" w:type="pct"/>
                  <w:tcBorders>
                    <w:tl2br w:val="nil"/>
                    <w:tr2bl w:val="nil"/>
                  </w:tcBorders>
                  <w:vAlign w:val="center"/>
                </w:tcPr>
                <w:p w14:paraId="10FC165C">
                  <w:pPr>
                    <w:pStyle w:val="31"/>
                  </w:pPr>
                  <w:r>
                    <w:t>符合</w:t>
                  </w:r>
                </w:p>
              </w:tc>
            </w:tr>
            <w:tr w14:paraId="000B6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7" w:hRule="atLeast"/>
                <w:jc w:val="center"/>
              </w:trPr>
              <w:tc>
                <w:tcPr>
                  <w:tcW w:w="3743" w:type="pct"/>
                  <w:tcBorders>
                    <w:tl2br w:val="nil"/>
                    <w:tr2bl w:val="nil"/>
                  </w:tcBorders>
                  <w:vAlign w:val="center"/>
                </w:tcPr>
                <w:p w14:paraId="421BF04A">
                  <w:pPr>
                    <w:pStyle w:val="31"/>
                    <w:jc w:val="both"/>
                  </w:pPr>
                  <w:r>
                    <w:t>第十条饮用水水源二级保护区的岸线和河段范围内，除遵守准保护区规定外，禁止新建、改建、扩建排放污染物的投资建设项目；禁止从事对水体有污染的水产养殖等活动。</w:t>
                  </w:r>
                </w:p>
              </w:tc>
              <w:tc>
                <w:tcPr>
                  <w:tcW w:w="748" w:type="pct"/>
                  <w:tcBorders>
                    <w:tl2br w:val="nil"/>
                    <w:tr2bl w:val="nil"/>
                  </w:tcBorders>
                  <w:vAlign w:val="center"/>
                </w:tcPr>
                <w:p w14:paraId="44DE2D29">
                  <w:pPr>
                    <w:pStyle w:val="31"/>
                  </w:pPr>
                  <w:r>
                    <w:t>本项目不</w:t>
                  </w:r>
                </w:p>
                <w:p w14:paraId="1A77556A">
                  <w:pPr>
                    <w:pStyle w:val="31"/>
                  </w:pPr>
                  <w:r>
                    <w:t>涉及</w:t>
                  </w:r>
                </w:p>
              </w:tc>
              <w:tc>
                <w:tcPr>
                  <w:tcW w:w="508" w:type="pct"/>
                  <w:tcBorders>
                    <w:tl2br w:val="nil"/>
                    <w:tr2bl w:val="nil"/>
                  </w:tcBorders>
                  <w:vAlign w:val="center"/>
                </w:tcPr>
                <w:p w14:paraId="6F147CFA">
                  <w:pPr>
                    <w:pStyle w:val="31"/>
                  </w:pPr>
                  <w:r>
                    <w:t>符合</w:t>
                  </w:r>
                </w:p>
              </w:tc>
            </w:tr>
            <w:tr w14:paraId="30386A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79" w:hRule="atLeast"/>
                <w:jc w:val="center"/>
              </w:trPr>
              <w:tc>
                <w:tcPr>
                  <w:tcW w:w="3743" w:type="pct"/>
                  <w:tcBorders>
                    <w:tl2br w:val="nil"/>
                    <w:tr2bl w:val="nil"/>
                  </w:tcBorders>
                  <w:vAlign w:val="center"/>
                </w:tcPr>
                <w:p w14:paraId="50C31C23">
                  <w:pPr>
                    <w:pStyle w:val="31"/>
                    <w:jc w:val="both"/>
                  </w:pPr>
                  <w: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748" w:type="pct"/>
                  <w:tcBorders>
                    <w:tl2br w:val="nil"/>
                    <w:tr2bl w:val="nil"/>
                  </w:tcBorders>
                  <w:vAlign w:val="center"/>
                </w:tcPr>
                <w:p w14:paraId="681B3E7C">
                  <w:pPr>
                    <w:pStyle w:val="31"/>
                  </w:pPr>
                  <w:r>
                    <w:t>本项目不</w:t>
                  </w:r>
                </w:p>
                <w:p w14:paraId="7839055E">
                  <w:pPr>
                    <w:pStyle w:val="31"/>
                  </w:pPr>
                  <w:r>
                    <w:t>涉及</w:t>
                  </w:r>
                </w:p>
              </w:tc>
              <w:tc>
                <w:tcPr>
                  <w:tcW w:w="508" w:type="pct"/>
                  <w:tcBorders>
                    <w:tl2br w:val="nil"/>
                    <w:tr2bl w:val="nil"/>
                  </w:tcBorders>
                  <w:vAlign w:val="center"/>
                </w:tcPr>
                <w:p w14:paraId="3E8FDDAF">
                  <w:pPr>
                    <w:pStyle w:val="31"/>
                  </w:pPr>
                  <w:r>
                    <w:t>符合</w:t>
                  </w:r>
                </w:p>
              </w:tc>
            </w:tr>
            <w:tr w14:paraId="1739DB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3743" w:type="pct"/>
                  <w:tcBorders>
                    <w:tl2br w:val="nil"/>
                    <w:tr2bl w:val="nil"/>
                  </w:tcBorders>
                  <w:vAlign w:val="center"/>
                </w:tcPr>
                <w:p w14:paraId="7F4F0861">
                  <w:pPr>
                    <w:pStyle w:val="31"/>
                    <w:jc w:val="both"/>
                  </w:pPr>
                  <w:r>
                    <w:t>第十二条禁止在水产种质资源保护区岸线和河段范围内新建围湖造田、围湖造地或挖沙采石等投资建设项目。</w:t>
                  </w:r>
                </w:p>
              </w:tc>
              <w:tc>
                <w:tcPr>
                  <w:tcW w:w="748" w:type="pct"/>
                  <w:tcBorders>
                    <w:tl2br w:val="nil"/>
                    <w:tr2bl w:val="nil"/>
                  </w:tcBorders>
                  <w:vAlign w:val="center"/>
                </w:tcPr>
                <w:p w14:paraId="160179FC">
                  <w:pPr>
                    <w:pStyle w:val="31"/>
                  </w:pPr>
                  <w:r>
                    <w:t>本项目不</w:t>
                  </w:r>
                </w:p>
                <w:p w14:paraId="51B17F0E">
                  <w:pPr>
                    <w:pStyle w:val="31"/>
                  </w:pPr>
                  <w:r>
                    <w:t>涉及</w:t>
                  </w:r>
                </w:p>
              </w:tc>
              <w:tc>
                <w:tcPr>
                  <w:tcW w:w="508" w:type="pct"/>
                  <w:tcBorders>
                    <w:tl2br w:val="nil"/>
                    <w:tr2bl w:val="nil"/>
                  </w:tcBorders>
                  <w:vAlign w:val="center"/>
                </w:tcPr>
                <w:p w14:paraId="21641301">
                  <w:pPr>
                    <w:pStyle w:val="31"/>
                  </w:pPr>
                  <w:r>
                    <w:t>符合</w:t>
                  </w:r>
                </w:p>
              </w:tc>
            </w:tr>
            <w:tr w14:paraId="40617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04" w:hRule="atLeast"/>
                <w:jc w:val="center"/>
              </w:trPr>
              <w:tc>
                <w:tcPr>
                  <w:tcW w:w="3743" w:type="pct"/>
                  <w:tcBorders>
                    <w:tl2br w:val="nil"/>
                    <w:tr2bl w:val="nil"/>
                  </w:tcBorders>
                  <w:vAlign w:val="center"/>
                </w:tcPr>
                <w:p w14:paraId="21B29B39">
                  <w:pPr>
                    <w:pStyle w:val="31"/>
                    <w:jc w:val="both"/>
                  </w:pPr>
                  <w:r>
                    <w:t>第十三条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p>
              </w:tc>
              <w:tc>
                <w:tcPr>
                  <w:tcW w:w="748" w:type="pct"/>
                  <w:tcBorders>
                    <w:tl2br w:val="nil"/>
                    <w:tr2bl w:val="nil"/>
                  </w:tcBorders>
                  <w:vAlign w:val="center"/>
                </w:tcPr>
                <w:p w14:paraId="5BF99952">
                  <w:pPr>
                    <w:pStyle w:val="31"/>
                  </w:pPr>
                  <w:r>
                    <w:t>本项目不</w:t>
                  </w:r>
                </w:p>
                <w:p w14:paraId="117BC0CC">
                  <w:pPr>
                    <w:pStyle w:val="31"/>
                  </w:pPr>
                  <w:r>
                    <w:t>涉及</w:t>
                  </w:r>
                </w:p>
              </w:tc>
              <w:tc>
                <w:tcPr>
                  <w:tcW w:w="508" w:type="pct"/>
                  <w:tcBorders>
                    <w:tl2br w:val="nil"/>
                    <w:tr2bl w:val="nil"/>
                  </w:tcBorders>
                  <w:vAlign w:val="center"/>
                </w:tcPr>
                <w:p w14:paraId="53A01C10">
                  <w:pPr>
                    <w:pStyle w:val="31"/>
                  </w:pPr>
                  <w:r>
                    <w:t>符合</w:t>
                  </w:r>
                </w:p>
              </w:tc>
            </w:tr>
            <w:tr w14:paraId="063F82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59" w:hRule="atLeast"/>
                <w:jc w:val="center"/>
              </w:trPr>
              <w:tc>
                <w:tcPr>
                  <w:tcW w:w="3743" w:type="pct"/>
                  <w:tcBorders>
                    <w:tl2br w:val="nil"/>
                    <w:tr2bl w:val="nil"/>
                  </w:tcBorders>
                  <w:vAlign w:val="center"/>
                </w:tcPr>
                <w:p w14:paraId="7606C4D8">
                  <w:pPr>
                    <w:pStyle w:val="31"/>
                    <w:jc w:val="both"/>
                  </w:pPr>
                  <w: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748" w:type="pct"/>
                  <w:tcBorders>
                    <w:tl2br w:val="nil"/>
                    <w:tr2bl w:val="nil"/>
                  </w:tcBorders>
                  <w:vAlign w:val="center"/>
                </w:tcPr>
                <w:p w14:paraId="7CBA845B">
                  <w:pPr>
                    <w:pStyle w:val="31"/>
                  </w:pPr>
                  <w:r>
                    <w:t>本项目不</w:t>
                  </w:r>
                </w:p>
                <w:p w14:paraId="1A749ADC">
                  <w:pPr>
                    <w:pStyle w:val="31"/>
                  </w:pPr>
                  <w:r>
                    <w:t>涉及</w:t>
                  </w:r>
                </w:p>
              </w:tc>
              <w:tc>
                <w:tcPr>
                  <w:tcW w:w="508" w:type="pct"/>
                  <w:tcBorders>
                    <w:tl2br w:val="nil"/>
                    <w:tr2bl w:val="nil"/>
                  </w:tcBorders>
                  <w:vAlign w:val="center"/>
                </w:tcPr>
                <w:p w14:paraId="0665B0E2">
                  <w:pPr>
                    <w:pStyle w:val="31"/>
                  </w:pPr>
                  <w:r>
                    <w:t>符合</w:t>
                  </w:r>
                </w:p>
              </w:tc>
            </w:tr>
            <w:tr w14:paraId="6AB36F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7" w:hRule="atLeast"/>
                <w:jc w:val="center"/>
              </w:trPr>
              <w:tc>
                <w:tcPr>
                  <w:tcW w:w="3743" w:type="pct"/>
                  <w:tcBorders>
                    <w:tl2br w:val="nil"/>
                    <w:tr2bl w:val="nil"/>
                  </w:tcBorders>
                  <w:vAlign w:val="center"/>
                </w:tcPr>
                <w:p w14:paraId="4D6EFB88">
                  <w:pPr>
                    <w:pStyle w:val="31"/>
                    <w:jc w:val="both"/>
                  </w:pPr>
                  <w:r>
                    <w:t>第十五条禁止在《全国重要江河湖泊水功能区划》划定的河段及湖泊保护区、保留区内投资建设不利于水资源及自然生态保护的项目。</w:t>
                  </w:r>
                </w:p>
              </w:tc>
              <w:tc>
                <w:tcPr>
                  <w:tcW w:w="748" w:type="pct"/>
                  <w:tcBorders>
                    <w:tl2br w:val="nil"/>
                    <w:tr2bl w:val="nil"/>
                  </w:tcBorders>
                  <w:vAlign w:val="center"/>
                </w:tcPr>
                <w:p w14:paraId="35B47350">
                  <w:pPr>
                    <w:pStyle w:val="31"/>
                  </w:pPr>
                  <w:r>
                    <w:t>本项目不</w:t>
                  </w:r>
                </w:p>
                <w:p w14:paraId="66B894E8">
                  <w:pPr>
                    <w:pStyle w:val="31"/>
                  </w:pPr>
                  <w:r>
                    <w:t>涉及</w:t>
                  </w:r>
                </w:p>
              </w:tc>
              <w:tc>
                <w:tcPr>
                  <w:tcW w:w="508" w:type="pct"/>
                  <w:tcBorders>
                    <w:tl2br w:val="nil"/>
                    <w:tr2bl w:val="nil"/>
                  </w:tcBorders>
                  <w:vAlign w:val="center"/>
                </w:tcPr>
                <w:p w14:paraId="5235881C">
                  <w:pPr>
                    <w:pStyle w:val="31"/>
                  </w:pPr>
                  <w:r>
                    <w:t>符合</w:t>
                  </w:r>
                </w:p>
              </w:tc>
            </w:tr>
            <w:tr w14:paraId="04AF80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72" w:hRule="atLeast"/>
                <w:jc w:val="center"/>
              </w:trPr>
              <w:tc>
                <w:tcPr>
                  <w:tcW w:w="3743" w:type="pct"/>
                  <w:tcBorders>
                    <w:tl2br w:val="nil"/>
                    <w:tr2bl w:val="nil"/>
                  </w:tcBorders>
                  <w:vAlign w:val="center"/>
                </w:tcPr>
                <w:p w14:paraId="00C430C9">
                  <w:pPr>
                    <w:pStyle w:val="31"/>
                    <w:jc w:val="both"/>
                  </w:pPr>
                  <w:r>
                    <w:t>第十六条禁止在长江流域江河、湖泊新设、改设或者扩大排污口，经有管辖权的生态环境主管部门或者长江流域生态环境监督管理机构同意的除外。</w:t>
                  </w:r>
                </w:p>
              </w:tc>
              <w:tc>
                <w:tcPr>
                  <w:tcW w:w="748" w:type="pct"/>
                  <w:tcBorders>
                    <w:tl2br w:val="nil"/>
                    <w:tr2bl w:val="nil"/>
                  </w:tcBorders>
                  <w:vAlign w:val="center"/>
                </w:tcPr>
                <w:p w14:paraId="01903503">
                  <w:pPr>
                    <w:pStyle w:val="31"/>
                  </w:pPr>
                  <w:r>
                    <w:t>本项目不</w:t>
                  </w:r>
                </w:p>
                <w:p w14:paraId="144E6B17">
                  <w:pPr>
                    <w:pStyle w:val="31"/>
                  </w:pPr>
                  <w:r>
                    <w:t>涉及</w:t>
                  </w:r>
                </w:p>
              </w:tc>
              <w:tc>
                <w:tcPr>
                  <w:tcW w:w="508" w:type="pct"/>
                  <w:tcBorders>
                    <w:tl2br w:val="nil"/>
                    <w:tr2bl w:val="nil"/>
                  </w:tcBorders>
                  <w:vAlign w:val="center"/>
                </w:tcPr>
                <w:p w14:paraId="1F6F1CC5">
                  <w:pPr>
                    <w:pStyle w:val="31"/>
                  </w:pPr>
                  <w:r>
                    <w:t>符合</w:t>
                  </w:r>
                </w:p>
              </w:tc>
            </w:tr>
            <w:tr w14:paraId="31275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7" w:hRule="atLeast"/>
                <w:jc w:val="center"/>
              </w:trPr>
              <w:tc>
                <w:tcPr>
                  <w:tcW w:w="3743" w:type="pct"/>
                  <w:tcBorders>
                    <w:tl2br w:val="nil"/>
                    <w:tr2bl w:val="nil"/>
                  </w:tcBorders>
                  <w:vAlign w:val="center"/>
                </w:tcPr>
                <w:p w14:paraId="5BEA48E1">
                  <w:pPr>
                    <w:pStyle w:val="31"/>
                    <w:jc w:val="both"/>
                  </w:pPr>
                  <w:r>
                    <w:t>第十七条禁止在长江干流、大渡河、岷江、赤水河、沱江、嘉陵江、乌江、汉江和51个（四川省45个、重庆市6个）水生生物保护区开展生产性捕捞。</w:t>
                  </w:r>
                </w:p>
              </w:tc>
              <w:tc>
                <w:tcPr>
                  <w:tcW w:w="748" w:type="pct"/>
                  <w:tcBorders>
                    <w:tl2br w:val="nil"/>
                    <w:tr2bl w:val="nil"/>
                  </w:tcBorders>
                  <w:vAlign w:val="center"/>
                </w:tcPr>
                <w:p w14:paraId="45FAD81C">
                  <w:pPr>
                    <w:pStyle w:val="31"/>
                  </w:pPr>
                  <w:r>
                    <w:t>本项目不</w:t>
                  </w:r>
                </w:p>
                <w:p w14:paraId="43418FC6">
                  <w:pPr>
                    <w:pStyle w:val="31"/>
                  </w:pPr>
                  <w:r>
                    <w:t>涉及</w:t>
                  </w:r>
                </w:p>
              </w:tc>
              <w:tc>
                <w:tcPr>
                  <w:tcW w:w="508" w:type="pct"/>
                  <w:tcBorders>
                    <w:tl2br w:val="nil"/>
                    <w:tr2bl w:val="nil"/>
                  </w:tcBorders>
                  <w:vAlign w:val="center"/>
                </w:tcPr>
                <w:p w14:paraId="45358475">
                  <w:pPr>
                    <w:pStyle w:val="31"/>
                  </w:pPr>
                  <w:r>
                    <w:t>符合</w:t>
                  </w:r>
                </w:p>
              </w:tc>
            </w:tr>
            <w:tr w14:paraId="6DC434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47" w:hRule="atLeast"/>
                <w:jc w:val="center"/>
              </w:trPr>
              <w:tc>
                <w:tcPr>
                  <w:tcW w:w="3743" w:type="pct"/>
                  <w:tcBorders>
                    <w:tl2br w:val="nil"/>
                    <w:tr2bl w:val="nil"/>
                  </w:tcBorders>
                  <w:vAlign w:val="center"/>
                </w:tcPr>
                <w:p w14:paraId="4DDD577E">
                  <w:pPr>
                    <w:pStyle w:val="31"/>
                    <w:jc w:val="both"/>
                  </w:pPr>
                  <w:r>
                    <w:t>第十八条禁止在长江干支流、重要湖泊岸线一公里范围内新建、扩建化工园区和化工项目。</w:t>
                  </w:r>
                </w:p>
              </w:tc>
              <w:tc>
                <w:tcPr>
                  <w:tcW w:w="748" w:type="pct"/>
                  <w:tcBorders>
                    <w:tl2br w:val="nil"/>
                    <w:tr2bl w:val="nil"/>
                  </w:tcBorders>
                  <w:vAlign w:val="center"/>
                </w:tcPr>
                <w:p w14:paraId="3F725F14">
                  <w:pPr>
                    <w:pStyle w:val="31"/>
                  </w:pPr>
                  <w:r>
                    <w:t>本项目不属于化工项目</w:t>
                  </w:r>
                </w:p>
              </w:tc>
              <w:tc>
                <w:tcPr>
                  <w:tcW w:w="508" w:type="pct"/>
                  <w:tcBorders>
                    <w:tl2br w:val="nil"/>
                    <w:tr2bl w:val="nil"/>
                  </w:tcBorders>
                  <w:vAlign w:val="center"/>
                </w:tcPr>
                <w:p w14:paraId="21B66818">
                  <w:pPr>
                    <w:pStyle w:val="31"/>
                  </w:pPr>
                  <w:r>
                    <w:t>符合</w:t>
                  </w:r>
                </w:p>
              </w:tc>
            </w:tr>
            <w:tr w14:paraId="225D4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17" w:hRule="atLeast"/>
                <w:jc w:val="center"/>
              </w:trPr>
              <w:tc>
                <w:tcPr>
                  <w:tcW w:w="3743" w:type="pct"/>
                  <w:tcBorders>
                    <w:tl2br w:val="nil"/>
                    <w:tr2bl w:val="nil"/>
                  </w:tcBorders>
                  <w:vAlign w:val="center"/>
                </w:tcPr>
                <w:p w14:paraId="1B29FB95">
                  <w:pPr>
                    <w:pStyle w:val="31"/>
                    <w:jc w:val="both"/>
                  </w:pPr>
                  <w:r>
                    <w:t>第十九条禁止在长江干流岸线三公里范围内和重要支流岸线一公里范围内新建、改建、扩建尾矿库、冶炼渣库、磷石膏库，以提升安全、生态环境保护水平为符合目的的改建除外。</w:t>
                  </w:r>
                </w:p>
              </w:tc>
              <w:tc>
                <w:tcPr>
                  <w:tcW w:w="748" w:type="pct"/>
                  <w:tcBorders>
                    <w:tl2br w:val="nil"/>
                    <w:tr2bl w:val="nil"/>
                  </w:tcBorders>
                  <w:vAlign w:val="center"/>
                </w:tcPr>
                <w:p w14:paraId="34A540A5">
                  <w:pPr>
                    <w:pStyle w:val="31"/>
                  </w:pPr>
                  <w:r>
                    <w:t>本项目不涉及</w:t>
                  </w:r>
                </w:p>
              </w:tc>
              <w:tc>
                <w:tcPr>
                  <w:tcW w:w="508" w:type="pct"/>
                  <w:tcBorders>
                    <w:tl2br w:val="nil"/>
                    <w:tr2bl w:val="nil"/>
                  </w:tcBorders>
                  <w:vAlign w:val="center"/>
                </w:tcPr>
                <w:p w14:paraId="42ADD8A7">
                  <w:pPr>
                    <w:pStyle w:val="31"/>
                  </w:pPr>
                  <w:r>
                    <w:t>符合</w:t>
                  </w:r>
                </w:p>
              </w:tc>
            </w:tr>
            <w:tr w14:paraId="00526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657" w:hRule="atLeast"/>
                <w:jc w:val="center"/>
              </w:trPr>
              <w:tc>
                <w:tcPr>
                  <w:tcW w:w="3743" w:type="pct"/>
                  <w:tcBorders>
                    <w:tl2br w:val="nil"/>
                    <w:tr2bl w:val="nil"/>
                  </w:tcBorders>
                  <w:vAlign w:val="center"/>
                </w:tcPr>
                <w:p w14:paraId="6FC35FCC">
                  <w:pPr>
                    <w:pStyle w:val="31"/>
                    <w:jc w:val="both"/>
                  </w:pPr>
                  <w:r>
                    <w:t>第二十条禁止在生态保护红线区域、永久基本农田集中区域和其他需要特别保护的区域内选址建设尾矿库﹑冶炼渣库、磷石膏库。</w:t>
                  </w:r>
                </w:p>
              </w:tc>
              <w:tc>
                <w:tcPr>
                  <w:tcW w:w="748" w:type="pct"/>
                  <w:tcBorders>
                    <w:tl2br w:val="nil"/>
                    <w:tr2bl w:val="nil"/>
                  </w:tcBorders>
                  <w:vAlign w:val="center"/>
                </w:tcPr>
                <w:p w14:paraId="353EFBB0">
                  <w:pPr>
                    <w:pStyle w:val="31"/>
                  </w:pPr>
                  <w:r>
                    <w:t>本项目不</w:t>
                  </w:r>
                </w:p>
                <w:p w14:paraId="4C4A5C0A">
                  <w:pPr>
                    <w:pStyle w:val="31"/>
                  </w:pPr>
                  <w:r>
                    <w:t>涉及</w:t>
                  </w:r>
                </w:p>
              </w:tc>
              <w:tc>
                <w:tcPr>
                  <w:tcW w:w="508" w:type="pct"/>
                  <w:tcBorders>
                    <w:tl2br w:val="nil"/>
                    <w:tr2bl w:val="nil"/>
                  </w:tcBorders>
                  <w:vAlign w:val="center"/>
                </w:tcPr>
                <w:p w14:paraId="5BB9C1F3">
                  <w:pPr>
                    <w:pStyle w:val="31"/>
                  </w:pPr>
                  <w:r>
                    <w:t>符合</w:t>
                  </w:r>
                </w:p>
              </w:tc>
            </w:tr>
            <w:tr w14:paraId="5DFF20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35" w:hRule="atLeast"/>
                <w:jc w:val="center"/>
              </w:trPr>
              <w:tc>
                <w:tcPr>
                  <w:tcW w:w="3743" w:type="pct"/>
                  <w:tcBorders>
                    <w:tl2br w:val="nil"/>
                    <w:tr2bl w:val="nil"/>
                  </w:tcBorders>
                  <w:vAlign w:val="center"/>
                </w:tcPr>
                <w:p w14:paraId="74D47D03">
                  <w:pPr>
                    <w:pStyle w:val="31"/>
                    <w:jc w:val="both"/>
                  </w:pPr>
                  <w:r>
                    <w:t>第二十一条禁止在合规园区外新建、扩建钢铁、石化、化工、焦化、建材、有色、制浆造纸等高污染项目。</w:t>
                  </w:r>
                </w:p>
              </w:tc>
              <w:tc>
                <w:tcPr>
                  <w:tcW w:w="748" w:type="pct"/>
                  <w:tcBorders>
                    <w:tl2br w:val="nil"/>
                    <w:tr2bl w:val="nil"/>
                  </w:tcBorders>
                  <w:vAlign w:val="center"/>
                </w:tcPr>
                <w:p w14:paraId="16CCE570">
                  <w:pPr>
                    <w:pStyle w:val="31"/>
                  </w:pPr>
                  <w:r>
                    <w:t>本项目位于合规园区内</w:t>
                  </w:r>
                </w:p>
              </w:tc>
              <w:tc>
                <w:tcPr>
                  <w:tcW w:w="508" w:type="pct"/>
                  <w:tcBorders>
                    <w:tl2br w:val="nil"/>
                    <w:tr2bl w:val="nil"/>
                  </w:tcBorders>
                  <w:vAlign w:val="center"/>
                </w:tcPr>
                <w:p w14:paraId="4D8AB99A">
                  <w:pPr>
                    <w:pStyle w:val="31"/>
                  </w:pPr>
                  <w:r>
                    <w:t>符合</w:t>
                  </w:r>
                </w:p>
              </w:tc>
            </w:tr>
            <w:tr w14:paraId="7CEA7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92" w:hRule="atLeast"/>
                <w:jc w:val="center"/>
              </w:trPr>
              <w:tc>
                <w:tcPr>
                  <w:tcW w:w="3743" w:type="pct"/>
                  <w:tcBorders>
                    <w:tl2br w:val="nil"/>
                    <w:tr2bl w:val="nil"/>
                  </w:tcBorders>
                  <w:vAlign w:val="center"/>
                </w:tcPr>
                <w:p w14:paraId="1F8D2EB4">
                  <w:pPr>
                    <w:pStyle w:val="31"/>
                    <w:jc w:val="both"/>
                  </w:pPr>
                  <w:r>
                    <w:t>第二十二条禁止新建、扩建不符合国家石化、现代煤化工等产业布局规划的项目。</w:t>
                  </w:r>
                </w:p>
                <w:p w14:paraId="06456F15">
                  <w:pPr>
                    <w:pStyle w:val="31"/>
                    <w:jc w:val="both"/>
                  </w:pPr>
                  <w:r>
                    <w:t>（一）严格控制新增炼油产能，未列入《石化产业规划布局方案（修订版）》的新增炼油产能一律不得建设。</w:t>
                  </w:r>
                </w:p>
                <w:p w14:paraId="30C33B3E">
                  <w:pPr>
                    <w:pStyle w:val="31"/>
                    <w:jc w:val="both"/>
                  </w:pPr>
                  <w:r>
                    <w:t>（二）新建煤制烯经、煤制芳经项目必须列入《现代煤化工产业创新发展布局方案》，必须符合《现代煤化工建设项目环境准入条件（试行）》要求。</w:t>
                  </w:r>
                </w:p>
              </w:tc>
              <w:tc>
                <w:tcPr>
                  <w:tcW w:w="748" w:type="pct"/>
                  <w:tcBorders>
                    <w:tl2br w:val="nil"/>
                    <w:tr2bl w:val="nil"/>
                  </w:tcBorders>
                  <w:vAlign w:val="center"/>
                </w:tcPr>
                <w:p w14:paraId="4CC47F5B">
                  <w:pPr>
                    <w:pStyle w:val="31"/>
                  </w:pPr>
                  <w:r>
                    <w:t>本项目不属于石化及煤化工</w:t>
                  </w:r>
                </w:p>
              </w:tc>
              <w:tc>
                <w:tcPr>
                  <w:tcW w:w="508" w:type="pct"/>
                  <w:tcBorders>
                    <w:tl2br w:val="nil"/>
                    <w:tr2bl w:val="nil"/>
                  </w:tcBorders>
                  <w:vAlign w:val="center"/>
                </w:tcPr>
                <w:p w14:paraId="2956AAFD">
                  <w:pPr>
                    <w:pStyle w:val="31"/>
                  </w:pPr>
                  <w:r>
                    <w:t>符合</w:t>
                  </w:r>
                </w:p>
              </w:tc>
            </w:tr>
            <w:tr w14:paraId="1DB3FC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186" w:hRule="atLeast"/>
                <w:jc w:val="center"/>
              </w:trPr>
              <w:tc>
                <w:tcPr>
                  <w:tcW w:w="3743" w:type="pct"/>
                  <w:tcBorders>
                    <w:tl2br w:val="nil"/>
                    <w:tr2bl w:val="nil"/>
                  </w:tcBorders>
                  <w:vAlign w:val="center"/>
                </w:tcPr>
                <w:p w14:paraId="4A341E47">
                  <w:pPr>
                    <w:pStyle w:val="31"/>
                    <w:jc w:val="both"/>
                  </w:pPr>
                  <w:r>
                    <w:t>第二十三条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748" w:type="pct"/>
                  <w:tcBorders>
                    <w:tl2br w:val="nil"/>
                    <w:tr2bl w:val="nil"/>
                  </w:tcBorders>
                  <w:vAlign w:val="center"/>
                </w:tcPr>
                <w:p w14:paraId="4C7A692D">
                  <w:pPr>
                    <w:pStyle w:val="31"/>
                  </w:pPr>
                  <w:r>
                    <w:t>根据《产业结构调整指导目录》本项目属于鼓励类</w:t>
                  </w:r>
                </w:p>
              </w:tc>
              <w:tc>
                <w:tcPr>
                  <w:tcW w:w="508" w:type="pct"/>
                  <w:tcBorders>
                    <w:tl2br w:val="nil"/>
                    <w:tr2bl w:val="nil"/>
                  </w:tcBorders>
                  <w:vAlign w:val="center"/>
                </w:tcPr>
                <w:p w14:paraId="0F21C5F5">
                  <w:pPr>
                    <w:pStyle w:val="31"/>
                  </w:pPr>
                  <w:r>
                    <w:t>符合</w:t>
                  </w:r>
                </w:p>
              </w:tc>
            </w:tr>
            <w:tr w14:paraId="5A4154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25" w:hRule="atLeast"/>
                <w:jc w:val="center"/>
              </w:trPr>
              <w:tc>
                <w:tcPr>
                  <w:tcW w:w="3743" w:type="pct"/>
                  <w:tcBorders>
                    <w:tl2br w:val="nil"/>
                    <w:tr2bl w:val="nil"/>
                  </w:tcBorders>
                  <w:vAlign w:val="center"/>
                </w:tcPr>
                <w:p w14:paraId="1CFCECC5">
                  <w:pPr>
                    <w:pStyle w:val="31"/>
                    <w:jc w:val="both"/>
                  </w:pPr>
                  <w:r>
                    <w:t>第二十四条禁止新建、扩建不符合国家产能置换要求的严重过剩产能行业的项目。对于不符合国家产能置换要求的严重过剩产能行业，不得以其他任何名义、任何方式备案新增产能项目。</w:t>
                  </w:r>
                </w:p>
              </w:tc>
              <w:tc>
                <w:tcPr>
                  <w:tcW w:w="748" w:type="pct"/>
                  <w:tcBorders>
                    <w:tl2br w:val="nil"/>
                    <w:tr2bl w:val="nil"/>
                  </w:tcBorders>
                  <w:vAlign w:val="center"/>
                </w:tcPr>
                <w:p w14:paraId="2E141543">
                  <w:pPr>
                    <w:pStyle w:val="31"/>
                  </w:pPr>
                  <w:r>
                    <w:t>本项目</w:t>
                  </w:r>
                </w:p>
                <w:p w14:paraId="5380810F">
                  <w:pPr>
                    <w:pStyle w:val="31"/>
                  </w:pPr>
                  <w:r>
                    <w:t>不涉及</w:t>
                  </w:r>
                </w:p>
              </w:tc>
              <w:tc>
                <w:tcPr>
                  <w:tcW w:w="508" w:type="pct"/>
                  <w:tcBorders>
                    <w:tl2br w:val="nil"/>
                    <w:tr2bl w:val="nil"/>
                  </w:tcBorders>
                  <w:vAlign w:val="center"/>
                </w:tcPr>
                <w:p w14:paraId="03E3EE80">
                  <w:pPr>
                    <w:pStyle w:val="31"/>
                  </w:pPr>
                  <w:r>
                    <w:t>符合</w:t>
                  </w:r>
                </w:p>
              </w:tc>
            </w:tr>
            <w:tr w14:paraId="0CFF64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25" w:hRule="atLeast"/>
                <w:jc w:val="center"/>
              </w:trPr>
              <w:tc>
                <w:tcPr>
                  <w:tcW w:w="3743" w:type="pct"/>
                  <w:tcBorders>
                    <w:tl2br w:val="nil"/>
                    <w:tr2bl w:val="nil"/>
                  </w:tcBorders>
                  <w:vAlign w:val="center"/>
                </w:tcPr>
                <w:p w14:paraId="17408A59">
                  <w:pPr>
                    <w:pStyle w:val="31"/>
                    <w:jc w:val="both"/>
                  </w:pPr>
                  <w:r>
                    <w:t>第二十五条禁止建设以下燃油汽车投资项目（不在中国境内销售产品的投资项目除外）：</w:t>
                  </w:r>
                </w:p>
                <w:p w14:paraId="220845F6">
                  <w:pPr>
                    <w:pStyle w:val="31"/>
                    <w:jc w:val="both"/>
                  </w:pPr>
                  <w:r>
                    <w:t>（一）新建独立燃油汽车企业；</w:t>
                  </w:r>
                </w:p>
                <w:p w14:paraId="3270A8BD">
                  <w:pPr>
                    <w:pStyle w:val="31"/>
                    <w:jc w:val="both"/>
                  </w:pPr>
                  <w:r>
                    <w:t>（二）现有汽车企业跨乘用车、商用车类别建设燃油汽车生产能力；</w:t>
                  </w:r>
                </w:p>
                <w:p w14:paraId="2706213F">
                  <w:pPr>
                    <w:pStyle w:val="31"/>
                    <w:jc w:val="both"/>
                  </w:pPr>
                  <w:r>
                    <w:t>（三）外省现有燃油汽车企业整体搬迁至本省（列入国家级区域发展规划或不改变企业股权结构的项目除外）；</w:t>
                  </w:r>
                </w:p>
                <w:p w14:paraId="31362569">
                  <w:pPr>
                    <w:pStyle w:val="31"/>
                    <w:jc w:val="both"/>
                  </w:pPr>
                  <w:r>
                    <w:t>（四）对行业管理部门特别公示的燃油汽车企业进行投资企业原有股东投资或将该企业转为非独立法人的投资项目除外。</w:t>
                  </w:r>
                </w:p>
              </w:tc>
              <w:tc>
                <w:tcPr>
                  <w:tcW w:w="748" w:type="pct"/>
                  <w:tcBorders>
                    <w:tl2br w:val="nil"/>
                    <w:tr2bl w:val="nil"/>
                  </w:tcBorders>
                  <w:vAlign w:val="center"/>
                </w:tcPr>
                <w:p w14:paraId="0545F77A">
                  <w:pPr>
                    <w:pStyle w:val="31"/>
                  </w:pPr>
                  <w:r>
                    <w:t>本项目</w:t>
                  </w:r>
                </w:p>
                <w:p w14:paraId="6833BDFD">
                  <w:pPr>
                    <w:pStyle w:val="31"/>
                  </w:pPr>
                  <w:r>
                    <w:t>不涉及</w:t>
                  </w:r>
                </w:p>
              </w:tc>
              <w:tc>
                <w:tcPr>
                  <w:tcW w:w="508" w:type="pct"/>
                  <w:tcBorders>
                    <w:tl2br w:val="nil"/>
                    <w:tr2bl w:val="nil"/>
                  </w:tcBorders>
                  <w:vAlign w:val="center"/>
                </w:tcPr>
                <w:p w14:paraId="240C755E">
                  <w:pPr>
                    <w:pStyle w:val="31"/>
                  </w:pPr>
                  <w:r>
                    <w:t>符合</w:t>
                  </w:r>
                </w:p>
              </w:tc>
            </w:tr>
            <w:tr w14:paraId="1377F8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34" w:hRule="atLeast"/>
                <w:jc w:val="center"/>
              </w:trPr>
              <w:tc>
                <w:tcPr>
                  <w:tcW w:w="3743" w:type="pct"/>
                  <w:tcBorders>
                    <w:tl2br w:val="nil"/>
                    <w:tr2bl w:val="nil"/>
                  </w:tcBorders>
                  <w:vAlign w:val="center"/>
                </w:tcPr>
                <w:p w14:paraId="3CC1410D">
                  <w:pPr>
                    <w:pStyle w:val="31"/>
                    <w:jc w:val="both"/>
                  </w:pPr>
                  <w:r>
                    <w:t>第二十六条禁止新建、扩建不符合要求的高耗能、高排放、低水平项目。</w:t>
                  </w:r>
                </w:p>
              </w:tc>
              <w:tc>
                <w:tcPr>
                  <w:tcW w:w="748" w:type="pct"/>
                  <w:tcBorders>
                    <w:tl2br w:val="nil"/>
                    <w:tr2bl w:val="nil"/>
                  </w:tcBorders>
                  <w:vAlign w:val="center"/>
                </w:tcPr>
                <w:p w14:paraId="5CE962AB">
                  <w:pPr>
                    <w:pStyle w:val="31"/>
                  </w:pPr>
                  <w:r>
                    <w:t>本项目</w:t>
                  </w:r>
                </w:p>
                <w:p w14:paraId="007B16E3">
                  <w:pPr>
                    <w:pStyle w:val="31"/>
                  </w:pPr>
                  <w:r>
                    <w:t>不涉及</w:t>
                  </w:r>
                </w:p>
              </w:tc>
              <w:tc>
                <w:tcPr>
                  <w:tcW w:w="508" w:type="pct"/>
                  <w:tcBorders>
                    <w:tl2br w:val="nil"/>
                    <w:tr2bl w:val="nil"/>
                  </w:tcBorders>
                  <w:vAlign w:val="center"/>
                </w:tcPr>
                <w:p w14:paraId="0D29B100">
                  <w:pPr>
                    <w:pStyle w:val="31"/>
                  </w:pPr>
                  <w:r>
                    <w:t>符合</w:t>
                  </w:r>
                </w:p>
              </w:tc>
            </w:tr>
          </w:tbl>
          <w:p w14:paraId="7C8F12D0">
            <w:pPr>
              <w:ind w:firstLine="480"/>
            </w:pPr>
            <w:r>
              <w:t>根据以上分析，</w:t>
            </w:r>
            <w:r>
              <w:rPr>
                <w:lang w:val="zh-CN"/>
              </w:rPr>
              <w:t>本项目的建设符合《</w:t>
            </w:r>
            <w:r>
              <w:t>四川省、重庆市</w:t>
            </w:r>
            <w:r>
              <w:rPr>
                <w:lang w:val="zh-CN"/>
              </w:rPr>
              <w:t>长江经济带发展负面</w:t>
            </w:r>
            <w:r>
              <w:t>清单实施细则</w:t>
            </w:r>
            <w:r>
              <w:rPr>
                <w:lang w:val="zh-CN"/>
              </w:rPr>
              <w:t>（</w:t>
            </w:r>
            <w:r>
              <w:t>试行，2022版</w:t>
            </w:r>
            <w:r>
              <w:rPr>
                <w:lang w:val="zh-CN"/>
              </w:rPr>
              <w:t>）》（</w:t>
            </w:r>
            <w:r>
              <w:t>川长江办</w:t>
            </w:r>
            <w:r>
              <w:rPr>
                <w:lang w:val="zh-CN"/>
              </w:rPr>
              <w:t>〔</w:t>
            </w:r>
            <w:r>
              <w:t>2022</w:t>
            </w:r>
            <w:r>
              <w:rPr>
                <w:lang w:val="zh-CN"/>
              </w:rPr>
              <w:t>〕</w:t>
            </w:r>
            <w:r>
              <w:t>17号</w:t>
            </w:r>
            <w:r>
              <w:rPr>
                <w:lang w:val="zh-CN"/>
              </w:rPr>
              <w:t>）的</w:t>
            </w:r>
            <w:r>
              <w:t>文件</w:t>
            </w:r>
            <w:r>
              <w:rPr>
                <w:lang w:val="zh-CN"/>
              </w:rPr>
              <w:t>要求。</w:t>
            </w:r>
          </w:p>
          <w:p w14:paraId="17D1A013">
            <w:pPr>
              <w:ind w:firstLine="482"/>
              <w:rPr>
                <w:rFonts w:cs="Times New Roman"/>
                <w:b/>
                <w:bCs/>
              </w:rPr>
            </w:pPr>
            <w:r>
              <w:rPr>
                <w:rFonts w:hint="eastAsia"/>
                <w:b/>
                <w:bCs/>
              </w:rPr>
              <w:t>2）</w:t>
            </w:r>
            <w:r>
              <w:rPr>
                <w:b/>
                <w:bCs/>
              </w:rPr>
              <w:t>与</w:t>
            </w:r>
            <w:r>
              <w:rPr>
                <w:rFonts w:cs="Times New Roman"/>
                <w:b/>
                <w:bCs/>
              </w:rPr>
              <w:t>大气污染防治相关政策符合性分析</w:t>
            </w:r>
          </w:p>
          <w:p w14:paraId="36F061E3">
            <w:pPr>
              <w:ind w:firstLine="482"/>
              <w:rPr>
                <w:rFonts w:cs="Times New Roman"/>
                <w:b/>
                <w:bCs/>
              </w:rPr>
            </w:pPr>
          </w:p>
          <w:p w14:paraId="65D75A43">
            <w:pPr>
              <w:ind w:firstLine="482"/>
              <w:rPr>
                <w:b/>
                <w:bCs/>
              </w:rPr>
            </w:pPr>
          </w:p>
          <w:p w14:paraId="5FF6C75A">
            <w:pPr>
              <w:pStyle w:val="35"/>
            </w:pPr>
            <w:r>
              <w:rPr>
                <w:rFonts w:hint="eastAsia"/>
              </w:rPr>
              <w:t xml:space="preserve">  </w:t>
            </w:r>
            <w:r>
              <w:t>本项目与大气相关规划的符合性对照表</w:t>
            </w:r>
          </w:p>
          <w:tbl>
            <w:tblPr>
              <w:tblStyle w:val="22"/>
              <w:tblW w:w="5000"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57" w:type="dxa"/>
                <w:bottom w:w="0" w:type="dxa"/>
                <w:right w:w="57" w:type="dxa"/>
              </w:tblCellMar>
            </w:tblPr>
            <w:tblGrid>
              <w:gridCol w:w="1099"/>
              <w:gridCol w:w="3738"/>
              <w:gridCol w:w="2721"/>
              <w:gridCol w:w="403"/>
            </w:tblGrid>
            <w:tr w14:paraId="760CDD1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tblHeader/>
                <w:jc w:val="center"/>
              </w:trPr>
              <w:tc>
                <w:tcPr>
                  <w:tcW w:w="690" w:type="pct"/>
                  <w:tcMar>
                    <w:left w:w="28" w:type="dxa"/>
                    <w:right w:w="28" w:type="dxa"/>
                  </w:tcMar>
                  <w:vAlign w:val="center"/>
                </w:tcPr>
                <w:p w14:paraId="194AA85B">
                  <w:pPr>
                    <w:suppressAutoHyphens/>
                    <w:snapToGrid w:val="0"/>
                    <w:spacing w:line="240" w:lineRule="auto"/>
                    <w:ind w:firstLine="0" w:firstLineChars="0"/>
                    <w:jc w:val="center"/>
                    <w:rPr>
                      <w:b/>
                      <w:bCs/>
                      <w:sz w:val="21"/>
                      <w:szCs w:val="21"/>
                    </w:rPr>
                  </w:pPr>
                  <w:r>
                    <w:rPr>
                      <w:rFonts w:hint="eastAsia"/>
                      <w:b/>
                      <w:bCs/>
                      <w:sz w:val="21"/>
                      <w:szCs w:val="21"/>
                    </w:rPr>
                    <w:t>规划文件</w:t>
                  </w:r>
                </w:p>
              </w:tc>
              <w:tc>
                <w:tcPr>
                  <w:tcW w:w="2348" w:type="pct"/>
                  <w:tcMar>
                    <w:left w:w="28" w:type="dxa"/>
                    <w:right w:w="28" w:type="dxa"/>
                  </w:tcMar>
                  <w:vAlign w:val="center"/>
                </w:tcPr>
                <w:p w14:paraId="60296AAC">
                  <w:pPr>
                    <w:suppressAutoHyphens/>
                    <w:snapToGrid w:val="0"/>
                    <w:spacing w:line="240" w:lineRule="auto"/>
                    <w:ind w:firstLine="0" w:firstLineChars="0"/>
                    <w:jc w:val="center"/>
                    <w:rPr>
                      <w:b/>
                      <w:bCs/>
                      <w:sz w:val="21"/>
                      <w:szCs w:val="21"/>
                    </w:rPr>
                  </w:pPr>
                  <w:r>
                    <w:rPr>
                      <w:rFonts w:hint="eastAsia"/>
                      <w:b/>
                      <w:bCs/>
                      <w:sz w:val="21"/>
                      <w:szCs w:val="21"/>
                    </w:rPr>
                    <w:t>文件要求</w:t>
                  </w:r>
                </w:p>
              </w:tc>
              <w:tc>
                <w:tcPr>
                  <w:tcW w:w="1709" w:type="pct"/>
                  <w:tcMar>
                    <w:left w:w="28" w:type="dxa"/>
                    <w:right w:w="28" w:type="dxa"/>
                  </w:tcMar>
                  <w:vAlign w:val="center"/>
                </w:tcPr>
                <w:p w14:paraId="2FEE2A7E">
                  <w:pPr>
                    <w:suppressAutoHyphens/>
                    <w:snapToGrid w:val="0"/>
                    <w:spacing w:line="240" w:lineRule="auto"/>
                    <w:ind w:firstLine="0" w:firstLineChars="0"/>
                    <w:jc w:val="center"/>
                    <w:rPr>
                      <w:b/>
                      <w:bCs/>
                      <w:sz w:val="21"/>
                      <w:szCs w:val="21"/>
                    </w:rPr>
                  </w:pPr>
                  <w:r>
                    <w:rPr>
                      <w:rFonts w:hint="eastAsia"/>
                      <w:b/>
                      <w:bCs/>
                      <w:sz w:val="21"/>
                      <w:szCs w:val="21"/>
                    </w:rPr>
                    <w:t>本项目</w:t>
                  </w:r>
                </w:p>
              </w:tc>
              <w:tc>
                <w:tcPr>
                  <w:tcW w:w="253" w:type="pct"/>
                  <w:tcMar>
                    <w:left w:w="28" w:type="dxa"/>
                    <w:right w:w="28" w:type="dxa"/>
                  </w:tcMar>
                  <w:vAlign w:val="center"/>
                </w:tcPr>
                <w:p w14:paraId="5EE0EDBA">
                  <w:pPr>
                    <w:suppressAutoHyphens/>
                    <w:snapToGrid w:val="0"/>
                    <w:spacing w:line="240" w:lineRule="auto"/>
                    <w:ind w:firstLine="0" w:firstLineChars="0"/>
                    <w:jc w:val="center"/>
                    <w:rPr>
                      <w:b/>
                      <w:bCs/>
                      <w:sz w:val="21"/>
                      <w:szCs w:val="21"/>
                    </w:rPr>
                  </w:pPr>
                  <w:r>
                    <w:rPr>
                      <w:rFonts w:hint="eastAsia"/>
                      <w:b/>
                      <w:bCs/>
                      <w:sz w:val="21"/>
                      <w:szCs w:val="21"/>
                    </w:rPr>
                    <w:t>符合性</w:t>
                  </w:r>
                </w:p>
              </w:tc>
            </w:tr>
            <w:tr w14:paraId="32898C0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jc w:val="center"/>
              </w:trPr>
              <w:tc>
                <w:tcPr>
                  <w:tcW w:w="690" w:type="pct"/>
                  <w:tcMar>
                    <w:left w:w="28" w:type="dxa"/>
                    <w:right w:w="28" w:type="dxa"/>
                  </w:tcMar>
                  <w:vAlign w:val="center"/>
                </w:tcPr>
                <w:p w14:paraId="668BE552">
                  <w:pPr>
                    <w:pStyle w:val="31"/>
                    <w:rPr>
                      <w:bCs/>
                    </w:rPr>
                  </w:pPr>
                  <w:r>
                    <w:t>《大气污染防治行动计划》</w:t>
                  </w:r>
                </w:p>
              </w:tc>
              <w:tc>
                <w:tcPr>
                  <w:tcW w:w="2348" w:type="pct"/>
                  <w:tcMar>
                    <w:left w:w="28" w:type="dxa"/>
                    <w:right w:w="28" w:type="dxa"/>
                  </w:tcMar>
                  <w:vAlign w:val="center"/>
                </w:tcPr>
                <w:p w14:paraId="1FE96CC2">
                  <w:pPr>
                    <w:pStyle w:val="31"/>
                  </w:pPr>
                  <w:r>
                    <w:t>加强工业企业大气污染综合治理。全面整治燃煤小锅炉。加快推进集中供热、</w:t>
                  </w:r>
                  <w:r>
                    <w:rPr>
                      <w:rFonts w:hint="eastAsia"/>
                    </w:rPr>
                    <w:t>“煤改气”</w:t>
                  </w:r>
                  <w:r>
                    <w:t>、</w:t>
                  </w:r>
                  <w:r>
                    <w:rPr>
                      <w:rFonts w:hint="eastAsia"/>
                    </w:rPr>
                    <w:t>“</w:t>
                  </w:r>
                  <w:r>
                    <w:t>煤改电</w:t>
                  </w:r>
                  <w:r>
                    <w:rPr>
                      <w:rFonts w:hint="eastAsia"/>
                    </w:rPr>
                    <w:t>”</w:t>
                  </w:r>
                  <w:r>
                    <w:t>工程建设</w:t>
                  </w:r>
                </w:p>
              </w:tc>
              <w:tc>
                <w:tcPr>
                  <w:tcW w:w="1709" w:type="pct"/>
                  <w:tcMar>
                    <w:left w:w="28" w:type="dxa"/>
                    <w:right w:w="28" w:type="dxa"/>
                  </w:tcMar>
                  <w:vAlign w:val="center"/>
                </w:tcPr>
                <w:p w14:paraId="58FE0C84">
                  <w:pPr>
                    <w:pStyle w:val="31"/>
                  </w:pPr>
                  <w:r>
                    <w:t>本项目为集中供热工程，采用清洁的</w:t>
                  </w:r>
                  <w:r>
                    <w:rPr>
                      <w:rFonts w:hint="eastAsia"/>
                    </w:rPr>
                    <w:t>生物质燃气</w:t>
                  </w:r>
                  <w:r>
                    <w:t>作为原料，同时本项目将采</w:t>
                  </w:r>
                  <w:r>
                    <w:rPr>
                      <w:rFonts w:hint="eastAsia"/>
                    </w:rPr>
                    <w:t>“</w:t>
                  </w:r>
                  <w:r>
                    <w:rPr>
                      <w:rFonts w:hint="eastAsia"/>
                      <w:szCs w:val="20"/>
                    </w:rPr>
                    <w:t>低氮燃烧+</w:t>
                  </w:r>
                  <w:r>
                    <w:rPr>
                      <w:rFonts w:hint="eastAsia"/>
                    </w:rPr>
                    <w:t>SCR脱硝+喷淋式水膜除尘器”处理废气。</w:t>
                  </w:r>
                </w:p>
              </w:tc>
              <w:tc>
                <w:tcPr>
                  <w:tcW w:w="253" w:type="pct"/>
                  <w:tcMar>
                    <w:left w:w="28" w:type="dxa"/>
                    <w:right w:w="28" w:type="dxa"/>
                  </w:tcMar>
                  <w:vAlign w:val="center"/>
                </w:tcPr>
                <w:p w14:paraId="25330D14">
                  <w:pPr>
                    <w:suppressAutoHyphens/>
                    <w:snapToGrid w:val="0"/>
                    <w:spacing w:line="240" w:lineRule="auto"/>
                    <w:ind w:firstLine="0" w:firstLineChars="0"/>
                    <w:jc w:val="center"/>
                    <w:rPr>
                      <w:sz w:val="21"/>
                      <w:szCs w:val="21"/>
                    </w:rPr>
                  </w:pPr>
                  <w:r>
                    <w:rPr>
                      <w:rFonts w:hint="eastAsia"/>
                      <w:sz w:val="21"/>
                      <w:szCs w:val="21"/>
                    </w:rPr>
                    <w:t>符合</w:t>
                  </w:r>
                </w:p>
              </w:tc>
            </w:tr>
            <w:tr w14:paraId="6F02E0B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57" w:type="dxa"/>
                  <w:bottom w:w="0" w:type="dxa"/>
                  <w:right w:w="57" w:type="dxa"/>
                </w:tblCellMar>
              </w:tblPrEx>
              <w:trPr>
                <w:jc w:val="center"/>
              </w:trPr>
              <w:tc>
                <w:tcPr>
                  <w:tcW w:w="690" w:type="pct"/>
                  <w:tcMar>
                    <w:left w:w="28" w:type="dxa"/>
                    <w:right w:w="28" w:type="dxa"/>
                  </w:tcMar>
                  <w:vAlign w:val="center"/>
                </w:tcPr>
                <w:p w14:paraId="61CE11F4">
                  <w:pPr>
                    <w:pStyle w:val="31"/>
                    <w:rPr>
                      <w:bCs/>
                    </w:rPr>
                  </w:pPr>
                  <w:r>
                    <w:rPr>
                      <w:rFonts w:hint="eastAsia"/>
                    </w:rPr>
                    <w:t>《四川省空气质量持续改善行动计划实施方案》</w:t>
                  </w:r>
                </w:p>
              </w:tc>
              <w:tc>
                <w:tcPr>
                  <w:tcW w:w="2348" w:type="pct"/>
                  <w:tcMar>
                    <w:left w:w="28" w:type="dxa"/>
                    <w:right w:w="28" w:type="dxa"/>
                  </w:tcMar>
                  <w:vAlign w:val="center"/>
                </w:tcPr>
                <w:p w14:paraId="3993B1EE">
                  <w:pPr>
                    <w:pStyle w:val="31"/>
                  </w:pPr>
                  <w:r>
                    <w:t>(</w:t>
                  </w:r>
                  <w:r>
                    <w:rPr>
                      <w:rFonts w:hint="eastAsia"/>
                    </w:rPr>
                    <w:t>八</w:t>
                  </w:r>
                  <w:r>
                    <w:t>)</w:t>
                  </w:r>
                  <w:r>
                    <w:rPr>
                      <w:rFonts w:hint="eastAsia"/>
                    </w:rPr>
                    <w:t>积极推进锅炉淘汰。重点区域原则上不再新建燃煤锅炉，其余县级及以上城市建成区原则上不再新增35蒸吨</w:t>
                  </w:r>
                  <w:r>
                    <w:t>/</w:t>
                  </w:r>
                  <w:r>
                    <w:rPr>
                      <w:rFonts w:hint="eastAsia"/>
                    </w:rPr>
                    <w:t>小时及以下燃煤锅炉。淘汰10蒸吨</w:t>
                  </w:r>
                  <w:r>
                    <w:t>/</w:t>
                  </w:r>
                  <w:r>
                    <w:rPr>
                      <w:rFonts w:hint="eastAsia"/>
                    </w:rPr>
                    <w:t>小时及以下燃煤锅炉和2蒸吨</w:t>
                  </w:r>
                  <w:r>
                    <w:t>/</w:t>
                  </w:r>
                  <w:r>
                    <w:rPr>
                      <w:rFonts w:hint="eastAsia"/>
                    </w:rPr>
                    <w:t>小时及以下生物质锅炉。加快推进35蒸吨</w:t>
                  </w:r>
                  <w:r>
                    <w:t>/</w:t>
                  </w:r>
                  <w:r>
                    <w:rPr>
                      <w:rFonts w:hint="eastAsia"/>
                    </w:rPr>
                    <w:t>小时及以下的燃煤锅炉及茶水炉、经营性炉灶、储粮烘干设备、农产品加工等燃煤设施淘汰，重点区域城市建成区到2025年基本完成。加快热力管网建设，推进30万千瓦及以上热电联产电厂供热半径30公里范围内的燃煤锅炉和落后燃煤小热电机组</w:t>
                  </w:r>
                  <w:r>
                    <w:t>(</w:t>
                  </w:r>
                  <w:r>
                    <w:rPr>
                      <w:rFonts w:hint="eastAsia"/>
                    </w:rPr>
                    <w:t>含自备电厂</w:t>
                  </w:r>
                  <w:r>
                    <w:t>)</w:t>
                  </w:r>
                  <w:r>
                    <w:rPr>
                      <w:rFonts w:hint="eastAsia"/>
                    </w:rPr>
                    <w:t>关停或整合。</w:t>
                  </w:r>
                </w:p>
              </w:tc>
              <w:tc>
                <w:tcPr>
                  <w:tcW w:w="1709" w:type="pct"/>
                  <w:tcMar>
                    <w:left w:w="28" w:type="dxa"/>
                    <w:right w:w="28" w:type="dxa"/>
                  </w:tcMar>
                  <w:vAlign w:val="center"/>
                </w:tcPr>
                <w:p w14:paraId="721DCDB3">
                  <w:pPr>
                    <w:pStyle w:val="31"/>
                  </w:pPr>
                  <w:r>
                    <w:rPr>
                      <w:rFonts w:hint="eastAsia"/>
                    </w:rPr>
                    <w:t>本项目位于工业园区，新建4台35t/h生物质燃气锅炉。</w:t>
                  </w:r>
                </w:p>
              </w:tc>
              <w:tc>
                <w:tcPr>
                  <w:tcW w:w="253" w:type="pct"/>
                  <w:tcMar>
                    <w:left w:w="28" w:type="dxa"/>
                    <w:right w:w="28" w:type="dxa"/>
                  </w:tcMar>
                  <w:vAlign w:val="center"/>
                </w:tcPr>
                <w:p w14:paraId="7C694ED9">
                  <w:pPr>
                    <w:suppressAutoHyphens/>
                    <w:snapToGrid w:val="0"/>
                    <w:spacing w:line="240" w:lineRule="auto"/>
                    <w:ind w:firstLine="0" w:firstLineChars="0"/>
                    <w:jc w:val="center"/>
                    <w:rPr>
                      <w:sz w:val="21"/>
                      <w:szCs w:val="21"/>
                    </w:rPr>
                  </w:pPr>
                  <w:r>
                    <w:rPr>
                      <w:rFonts w:hint="eastAsia"/>
                      <w:sz w:val="21"/>
                      <w:szCs w:val="21"/>
                    </w:rPr>
                    <w:t>符合</w:t>
                  </w:r>
                </w:p>
              </w:tc>
            </w:tr>
          </w:tbl>
          <w:p w14:paraId="5C743030">
            <w:pPr>
              <w:ind w:firstLine="480"/>
            </w:pPr>
            <w:r>
              <w:t>综上，本项目与《大气污染防治行动计划》</w:t>
            </w:r>
            <w:r>
              <w:rPr>
                <w:rFonts w:hint="eastAsia"/>
              </w:rPr>
              <w:t>和《四川省空气质量持续改善行动计划实施方案》中的大气排放</w:t>
            </w:r>
            <w:r>
              <w:t>要求相符。</w:t>
            </w:r>
          </w:p>
          <w:p w14:paraId="70697B93">
            <w:pPr>
              <w:ind w:firstLine="482"/>
              <w:rPr>
                <w:b/>
                <w:bCs/>
              </w:rPr>
            </w:pPr>
            <w:r>
              <w:rPr>
                <w:rFonts w:hint="eastAsia"/>
                <w:b/>
                <w:bCs/>
              </w:rPr>
              <w:t>3）</w:t>
            </w:r>
            <w:r>
              <w:rPr>
                <w:b/>
                <w:bCs/>
              </w:rPr>
              <w:t>与</w:t>
            </w:r>
            <w:r>
              <w:rPr>
                <w:rFonts w:hint="eastAsia" w:cs="Times New Roman"/>
                <w:b/>
                <w:bCs/>
              </w:rPr>
              <w:t>水</w:t>
            </w:r>
            <w:r>
              <w:rPr>
                <w:rFonts w:cs="Times New Roman"/>
                <w:b/>
                <w:bCs/>
              </w:rPr>
              <w:t>污染防治相关政策符合性分析</w:t>
            </w:r>
          </w:p>
          <w:p w14:paraId="19B6A3F3">
            <w:pPr>
              <w:pStyle w:val="35"/>
            </w:pPr>
            <w:r>
              <w:rPr>
                <w:rFonts w:hint="eastAsia"/>
              </w:rPr>
              <w:t xml:space="preserve">  </w:t>
            </w:r>
            <w:r>
              <w:t>本项目与水污染防治相关规划的符合性对照表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02"/>
              <w:gridCol w:w="3723"/>
              <w:gridCol w:w="2118"/>
              <w:gridCol w:w="715"/>
            </w:tblGrid>
            <w:tr w14:paraId="73C45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1" w:type="pct"/>
                  <w:tcMar>
                    <w:left w:w="28" w:type="dxa"/>
                    <w:right w:w="28" w:type="dxa"/>
                  </w:tcMar>
                  <w:vAlign w:val="center"/>
                </w:tcPr>
                <w:p w14:paraId="0EBC6A56">
                  <w:pPr>
                    <w:pStyle w:val="58"/>
                    <w:jc w:val="center"/>
                  </w:pPr>
                  <w:r>
                    <w:t>文件名称</w:t>
                  </w:r>
                </w:p>
              </w:tc>
              <w:tc>
                <w:tcPr>
                  <w:tcW w:w="2339" w:type="pct"/>
                  <w:tcMar>
                    <w:left w:w="28" w:type="dxa"/>
                    <w:right w:w="28" w:type="dxa"/>
                  </w:tcMar>
                  <w:vAlign w:val="center"/>
                </w:tcPr>
                <w:p w14:paraId="6D481C89">
                  <w:pPr>
                    <w:pStyle w:val="58"/>
                    <w:jc w:val="center"/>
                  </w:pPr>
                  <w:r>
                    <w:t>要求</w:t>
                  </w:r>
                </w:p>
              </w:tc>
              <w:tc>
                <w:tcPr>
                  <w:tcW w:w="1331" w:type="pct"/>
                  <w:tcMar>
                    <w:left w:w="28" w:type="dxa"/>
                    <w:right w:w="28" w:type="dxa"/>
                  </w:tcMar>
                  <w:vAlign w:val="center"/>
                </w:tcPr>
                <w:p w14:paraId="027BB5ED">
                  <w:pPr>
                    <w:pStyle w:val="58"/>
                    <w:jc w:val="center"/>
                  </w:pPr>
                  <w:r>
                    <w:t>本项目</w:t>
                  </w:r>
                </w:p>
              </w:tc>
              <w:tc>
                <w:tcPr>
                  <w:tcW w:w="449" w:type="pct"/>
                  <w:tcMar>
                    <w:left w:w="28" w:type="dxa"/>
                    <w:right w:w="28" w:type="dxa"/>
                  </w:tcMar>
                  <w:vAlign w:val="center"/>
                </w:tcPr>
                <w:p w14:paraId="5EFEE5D7">
                  <w:pPr>
                    <w:pStyle w:val="58"/>
                    <w:jc w:val="center"/>
                  </w:pPr>
                  <w:r>
                    <w:t>符合性</w:t>
                  </w:r>
                </w:p>
              </w:tc>
            </w:tr>
            <w:tr w14:paraId="2C4CBE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1" w:type="pct"/>
                  <w:tcMar>
                    <w:left w:w="28" w:type="dxa"/>
                    <w:right w:w="28" w:type="dxa"/>
                  </w:tcMar>
                  <w:vAlign w:val="center"/>
                </w:tcPr>
                <w:p w14:paraId="4D73EDA1">
                  <w:pPr>
                    <w:pStyle w:val="58"/>
                    <w:rPr>
                      <w:b w:val="0"/>
                      <w:bCs w:val="0"/>
                    </w:rPr>
                  </w:pPr>
                  <w:r>
                    <w:rPr>
                      <w:b w:val="0"/>
                      <w:bCs w:val="0"/>
                    </w:rPr>
                    <w:t>水污染防治行动计划</w:t>
                  </w:r>
                </w:p>
              </w:tc>
              <w:tc>
                <w:tcPr>
                  <w:tcW w:w="2339" w:type="pct"/>
                  <w:tcMar>
                    <w:left w:w="28" w:type="dxa"/>
                    <w:right w:w="28" w:type="dxa"/>
                  </w:tcMar>
                  <w:vAlign w:val="center"/>
                </w:tcPr>
                <w:p w14:paraId="73701439">
                  <w:pPr>
                    <w:pStyle w:val="58"/>
                    <w:rPr>
                      <w:b w:val="0"/>
                      <w:bCs w:val="0"/>
                    </w:rPr>
                  </w:pPr>
                  <w:r>
                    <w:rPr>
                      <w:b w:val="0"/>
                      <w:bCs w:val="0"/>
                    </w:rPr>
                    <w:t>集聚区内工业废水必须经预处理达到集中处理要求，可进入污水集中处理设施。新建、升级工业集聚区应同步规划、建设污水、垃圾集中处理等污染治理设施。</w:t>
                  </w:r>
                </w:p>
              </w:tc>
              <w:tc>
                <w:tcPr>
                  <w:tcW w:w="1331" w:type="pct"/>
                  <w:vMerge w:val="restart"/>
                  <w:tcMar>
                    <w:left w:w="28" w:type="dxa"/>
                    <w:right w:w="28" w:type="dxa"/>
                  </w:tcMar>
                  <w:vAlign w:val="center"/>
                </w:tcPr>
                <w:p w14:paraId="2DC4CDA3">
                  <w:pPr>
                    <w:pStyle w:val="58"/>
                    <w:rPr>
                      <w:b w:val="0"/>
                      <w:bCs w:val="0"/>
                    </w:rPr>
                  </w:pPr>
                  <w:r>
                    <w:rPr>
                      <w:rFonts w:hint="eastAsia"/>
                      <w:b w:val="0"/>
                      <w:bCs w:val="0"/>
                    </w:rPr>
                    <w:t>本项目位于工业园区内，项目生活污水经预处理池（6m</w:t>
                  </w:r>
                  <w:r>
                    <w:rPr>
                      <w:rFonts w:hint="eastAsia"/>
                      <w:b w:val="0"/>
                      <w:bCs w:val="0"/>
                      <w:vertAlign w:val="superscript"/>
                    </w:rPr>
                    <w:t>3</w:t>
                  </w:r>
                  <w:r>
                    <w:rPr>
                      <w:rFonts w:hint="eastAsia"/>
                      <w:b w:val="0"/>
                      <w:bCs w:val="0"/>
                    </w:rPr>
                    <w:t>）处理后进入市政污水管网，再进入大英经济开发区污水处理厂，最终排入郪江。气化冷却水和除尘设备用水均循环使用，不外排。锅炉排污水用于厂区绿化、除尘设备用水等，无法利用的经预处理池（6m</w:t>
                  </w:r>
                  <w:r>
                    <w:rPr>
                      <w:rFonts w:hint="eastAsia"/>
                      <w:b w:val="0"/>
                      <w:bCs w:val="0"/>
                      <w:vertAlign w:val="superscript"/>
                    </w:rPr>
                    <w:t>3</w:t>
                  </w:r>
                  <w:r>
                    <w:rPr>
                      <w:rFonts w:hint="eastAsia"/>
                      <w:b w:val="0"/>
                      <w:bCs w:val="0"/>
                    </w:rPr>
                    <w:t>）处理后进入市政污水管网，进入大英经济开发区污水处理厂，最终排入郪江。</w:t>
                  </w:r>
                </w:p>
              </w:tc>
              <w:tc>
                <w:tcPr>
                  <w:tcW w:w="449" w:type="pct"/>
                  <w:tcMar>
                    <w:left w:w="28" w:type="dxa"/>
                    <w:right w:w="28" w:type="dxa"/>
                  </w:tcMar>
                  <w:vAlign w:val="center"/>
                </w:tcPr>
                <w:p w14:paraId="7211B4A9">
                  <w:pPr>
                    <w:pStyle w:val="58"/>
                    <w:rPr>
                      <w:b w:val="0"/>
                      <w:bCs w:val="0"/>
                    </w:rPr>
                  </w:pPr>
                  <w:r>
                    <w:rPr>
                      <w:b w:val="0"/>
                      <w:bCs w:val="0"/>
                    </w:rPr>
                    <w:t>符合</w:t>
                  </w:r>
                </w:p>
              </w:tc>
            </w:tr>
            <w:tr w14:paraId="23D2A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1" w:type="pct"/>
                  <w:tcMar>
                    <w:left w:w="28" w:type="dxa"/>
                    <w:right w:w="28" w:type="dxa"/>
                  </w:tcMar>
                  <w:vAlign w:val="center"/>
                </w:tcPr>
                <w:p w14:paraId="1731CEA3">
                  <w:pPr>
                    <w:pStyle w:val="58"/>
                    <w:rPr>
                      <w:b w:val="0"/>
                      <w:bCs w:val="0"/>
                    </w:rPr>
                  </w:pPr>
                  <w:r>
                    <w:rPr>
                      <w:b w:val="0"/>
                      <w:bCs w:val="0"/>
                    </w:rPr>
                    <w:t>《关于加强长江黄金水道环境污染防控治理的指导意见》</w:t>
                  </w:r>
                </w:p>
              </w:tc>
              <w:tc>
                <w:tcPr>
                  <w:tcW w:w="2339" w:type="pct"/>
                  <w:tcMar>
                    <w:left w:w="28" w:type="dxa"/>
                    <w:right w:w="28" w:type="dxa"/>
                  </w:tcMar>
                  <w:vAlign w:val="center"/>
                </w:tcPr>
                <w:p w14:paraId="6CD10CCB">
                  <w:pPr>
                    <w:pStyle w:val="58"/>
                    <w:rPr>
                      <w:b w:val="0"/>
                      <w:bCs w:val="0"/>
                    </w:rPr>
                  </w:pPr>
                  <w:r>
                    <w:rPr>
                      <w:b w:val="0"/>
                      <w:bCs w:val="0"/>
                    </w:rPr>
                    <w:t>落实主体功能区战略，实施差别化的区域产业政策。科学划定岸线功能分区边界，严格分区管理和用途管制。坚持“以水定发展”，统筹规划沿江岸线资源，严控下游高污染、高排放企业向上游转移。除在建项目外，严禁在干及主要支流岸线1公里范围内新建布局重化工园区，严控在中上游沿岸地区新建石油化工和煤化工项目。</w:t>
                  </w:r>
                </w:p>
              </w:tc>
              <w:tc>
                <w:tcPr>
                  <w:tcW w:w="1331" w:type="pct"/>
                  <w:vMerge w:val="continue"/>
                  <w:tcMar>
                    <w:left w:w="28" w:type="dxa"/>
                    <w:right w:w="28" w:type="dxa"/>
                  </w:tcMar>
                  <w:vAlign w:val="center"/>
                </w:tcPr>
                <w:p w14:paraId="2AE4AFD3">
                  <w:pPr>
                    <w:pStyle w:val="58"/>
                    <w:rPr>
                      <w:b w:val="0"/>
                      <w:bCs w:val="0"/>
                    </w:rPr>
                  </w:pPr>
                </w:p>
              </w:tc>
              <w:tc>
                <w:tcPr>
                  <w:tcW w:w="449" w:type="pct"/>
                  <w:tcMar>
                    <w:left w:w="28" w:type="dxa"/>
                    <w:right w:w="28" w:type="dxa"/>
                  </w:tcMar>
                  <w:vAlign w:val="center"/>
                </w:tcPr>
                <w:p w14:paraId="2239F0AB">
                  <w:pPr>
                    <w:pStyle w:val="58"/>
                    <w:rPr>
                      <w:b w:val="0"/>
                      <w:bCs w:val="0"/>
                    </w:rPr>
                  </w:pPr>
                  <w:r>
                    <w:rPr>
                      <w:b w:val="0"/>
                      <w:bCs w:val="0"/>
                    </w:rPr>
                    <w:t>符合</w:t>
                  </w:r>
                </w:p>
              </w:tc>
            </w:tr>
            <w:tr w14:paraId="6E45D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81" w:type="pct"/>
                  <w:tcMar>
                    <w:left w:w="28" w:type="dxa"/>
                    <w:right w:w="28" w:type="dxa"/>
                  </w:tcMar>
                  <w:vAlign w:val="center"/>
                </w:tcPr>
                <w:p w14:paraId="626D83F2">
                  <w:pPr>
                    <w:pStyle w:val="58"/>
                    <w:rPr>
                      <w:b w:val="0"/>
                      <w:bCs w:val="0"/>
                    </w:rPr>
                  </w:pPr>
                  <w:r>
                    <w:rPr>
                      <w:b w:val="0"/>
                      <w:bCs w:val="0"/>
                    </w:rPr>
                    <w:t>《水污染防治行动计划》（四川省工作方案）</w:t>
                  </w:r>
                </w:p>
              </w:tc>
              <w:tc>
                <w:tcPr>
                  <w:tcW w:w="2339" w:type="pct"/>
                  <w:tcMar>
                    <w:left w:w="28" w:type="dxa"/>
                    <w:right w:w="28" w:type="dxa"/>
                  </w:tcMar>
                  <w:vAlign w:val="center"/>
                </w:tcPr>
                <w:p w14:paraId="1E6BBC79">
                  <w:pPr>
                    <w:pStyle w:val="58"/>
                    <w:rPr>
                      <w:b w:val="0"/>
                      <w:bCs w:val="0"/>
                    </w:rPr>
                  </w:pPr>
                  <w:r>
                    <w:rPr>
                      <w:b w:val="0"/>
                      <w:bCs w:val="0"/>
                    </w:rPr>
                    <w:t>新建、升级工业集聚区应严格执行环境影响评价和环境保护“三同时”制度，同步规划、建设和运行污水垃圾集中处理等污染治理设施，集聚区内的工业废水必须经预处理达到集中处理要求后，方可排入集中污水处理施。</w:t>
                  </w:r>
                </w:p>
              </w:tc>
              <w:tc>
                <w:tcPr>
                  <w:tcW w:w="1331" w:type="pct"/>
                  <w:vMerge w:val="continue"/>
                  <w:tcMar>
                    <w:left w:w="28" w:type="dxa"/>
                    <w:right w:w="28" w:type="dxa"/>
                  </w:tcMar>
                  <w:vAlign w:val="center"/>
                </w:tcPr>
                <w:p w14:paraId="262A3477">
                  <w:pPr>
                    <w:pStyle w:val="58"/>
                    <w:rPr>
                      <w:b w:val="0"/>
                      <w:bCs w:val="0"/>
                    </w:rPr>
                  </w:pPr>
                </w:p>
              </w:tc>
              <w:tc>
                <w:tcPr>
                  <w:tcW w:w="449" w:type="pct"/>
                  <w:tcMar>
                    <w:left w:w="28" w:type="dxa"/>
                    <w:right w:w="28" w:type="dxa"/>
                  </w:tcMar>
                  <w:vAlign w:val="center"/>
                </w:tcPr>
                <w:p w14:paraId="3C2B9026">
                  <w:pPr>
                    <w:pStyle w:val="58"/>
                    <w:rPr>
                      <w:b w:val="0"/>
                      <w:bCs w:val="0"/>
                    </w:rPr>
                  </w:pPr>
                  <w:r>
                    <w:rPr>
                      <w:b w:val="0"/>
                      <w:bCs w:val="0"/>
                    </w:rPr>
                    <w:t>符合</w:t>
                  </w:r>
                </w:p>
              </w:tc>
            </w:tr>
          </w:tbl>
          <w:p w14:paraId="07532E46">
            <w:pPr>
              <w:ind w:firstLine="480"/>
            </w:pPr>
            <w:r>
              <w:t>综上，</w:t>
            </w:r>
            <w:r>
              <w:rPr>
                <w:rFonts w:hint="eastAsia"/>
              </w:rPr>
              <w:t>本</w:t>
            </w:r>
            <w:r>
              <w:t>项目建设符合</w:t>
            </w:r>
            <w:r>
              <w:rPr>
                <w:rFonts w:hint="eastAsia"/>
              </w:rPr>
              <w:t>水污染防治相关政策</w:t>
            </w:r>
            <w:r>
              <w:t>的要求。</w:t>
            </w:r>
          </w:p>
          <w:p w14:paraId="1D22F332">
            <w:pPr>
              <w:ind w:firstLine="480"/>
            </w:pPr>
            <w:r>
              <w:rPr>
                <w:rFonts w:hint="eastAsia"/>
              </w:rPr>
              <w:t>5）项目与《高污染燃料目录》（国环规大气〔2017〕2号）符合性分析</w:t>
            </w:r>
          </w:p>
          <w:p w14:paraId="60D88EBE">
            <w:pPr>
              <w:pStyle w:val="35"/>
            </w:pPr>
            <w:r>
              <w:rPr>
                <w:rFonts w:hint="eastAsia"/>
              </w:rPr>
              <w:t xml:space="preserve">  本项目与</w:t>
            </w:r>
            <w:r>
              <w:t>国环规大气〔2017〕2号符合性分析</w:t>
            </w:r>
          </w:p>
          <w:tbl>
            <w:tblPr>
              <w:tblStyle w:val="22"/>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2"/>
              <w:gridCol w:w="3278"/>
              <w:gridCol w:w="1820"/>
              <w:gridCol w:w="1790"/>
            </w:tblGrid>
            <w:tr w14:paraId="3370F6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top w:val="single" w:color="auto" w:sz="12" w:space="0"/>
                  </w:tcBorders>
                  <w:vAlign w:val="center"/>
                </w:tcPr>
                <w:p w14:paraId="6EE8F719">
                  <w:pPr>
                    <w:pStyle w:val="31"/>
                    <w:rPr>
                      <w:b/>
                      <w:bCs/>
                      <w:kern w:val="0"/>
                      <w:lang w:bidi="ar"/>
                    </w:rPr>
                  </w:pPr>
                  <w:r>
                    <w:rPr>
                      <w:rFonts w:hint="eastAsia"/>
                      <w:b/>
                      <w:bCs/>
                    </w:rPr>
                    <w:t>类别</w:t>
                  </w:r>
                </w:p>
              </w:tc>
              <w:tc>
                <w:tcPr>
                  <w:tcW w:w="5098" w:type="dxa"/>
                  <w:gridSpan w:val="2"/>
                  <w:tcBorders>
                    <w:top w:val="single" w:color="auto" w:sz="12" w:space="0"/>
                  </w:tcBorders>
                  <w:vAlign w:val="center"/>
                </w:tcPr>
                <w:p w14:paraId="7A5C5F62">
                  <w:pPr>
                    <w:pStyle w:val="31"/>
                    <w:rPr>
                      <w:b/>
                      <w:bCs/>
                    </w:rPr>
                  </w:pPr>
                  <w:r>
                    <w:rPr>
                      <w:rFonts w:hint="eastAsia"/>
                      <w:b/>
                      <w:bCs/>
                    </w:rPr>
                    <w:t>燃料种类</w:t>
                  </w:r>
                </w:p>
              </w:tc>
              <w:tc>
                <w:tcPr>
                  <w:tcW w:w="1790" w:type="dxa"/>
                  <w:tcBorders>
                    <w:top w:val="single" w:color="auto" w:sz="12" w:space="0"/>
                  </w:tcBorders>
                  <w:vAlign w:val="center"/>
                </w:tcPr>
                <w:p w14:paraId="44C4229F">
                  <w:pPr>
                    <w:pStyle w:val="31"/>
                    <w:rPr>
                      <w:b/>
                      <w:bCs/>
                    </w:rPr>
                  </w:pPr>
                  <w:r>
                    <w:rPr>
                      <w:rFonts w:hint="eastAsia"/>
                      <w:b/>
                      <w:bCs/>
                    </w:rPr>
                    <w:t>本项目</w:t>
                  </w:r>
                </w:p>
              </w:tc>
            </w:tr>
            <w:tr w14:paraId="482D7F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Align w:val="center"/>
                </w:tcPr>
                <w:p w14:paraId="0FAE0E1B">
                  <w:pPr>
                    <w:pStyle w:val="31"/>
                  </w:pPr>
                  <w:r>
                    <w:rPr>
                      <w:rFonts w:hint="eastAsia"/>
                    </w:rPr>
                    <w:t>I类</w:t>
                  </w:r>
                </w:p>
              </w:tc>
              <w:tc>
                <w:tcPr>
                  <w:tcW w:w="3278" w:type="dxa"/>
                  <w:vAlign w:val="center"/>
                </w:tcPr>
                <w:p w14:paraId="235FE7B8">
                  <w:pPr>
                    <w:pStyle w:val="31"/>
                  </w:pPr>
                  <w:r>
                    <w:t>单台出力小于20蒸吨/小时的锅炉和民用燃煤设备燃用的含硫量大于0.5%、灰分大于10%的煤炭及其制品（其中，型煤、焦炭、兰炭的组分含量大于表2中规定的限值）</w:t>
                  </w:r>
                </w:p>
              </w:tc>
              <w:tc>
                <w:tcPr>
                  <w:tcW w:w="1820" w:type="dxa"/>
                  <w:vMerge w:val="restart"/>
                  <w:vAlign w:val="center"/>
                </w:tcPr>
                <w:p w14:paraId="31494361">
                  <w:pPr>
                    <w:pStyle w:val="31"/>
                  </w:pPr>
                  <w:r>
                    <w:rPr>
                      <w:rFonts w:hint="eastAsia"/>
                    </w:rPr>
                    <w:t>石油焦、油页岩、原油、重油、渣油、煤焦油</w:t>
                  </w:r>
                </w:p>
              </w:tc>
              <w:tc>
                <w:tcPr>
                  <w:tcW w:w="1790" w:type="dxa"/>
                  <w:vMerge w:val="restart"/>
                  <w:vAlign w:val="center"/>
                </w:tcPr>
                <w:p w14:paraId="62AAA94B">
                  <w:pPr>
                    <w:pStyle w:val="31"/>
                  </w:pPr>
                  <w:r>
                    <w:rPr>
                      <w:rFonts w:hint="eastAsia"/>
                    </w:rPr>
                    <w:t>本项目不属于燃煤锅炉</w:t>
                  </w:r>
                </w:p>
              </w:tc>
            </w:tr>
            <w:tr w14:paraId="6FEB51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vAlign w:val="center"/>
                </w:tcPr>
                <w:p w14:paraId="1490C312">
                  <w:pPr>
                    <w:pStyle w:val="31"/>
                  </w:pPr>
                  <w:r>
                    <w:rPr>
                      <w:rFonts w:hint="eastAsia"/>
                    </w:rPr>
                    <w:t>II类</w:t>
                  </w:r>
                </w:p>
              </w:tc>
              <w:tc>
                <w:tcPr>
                  <w:tcW w:w="3278" w:type="dxa"/>
                  <w:vAlign w:val="center"/>
                </w:tcPr>
                <w:p w14:paraId="10985093">
                  <w:pPr>
                    <w:pStyle w:val="31"/>
                  </w:pPr>
                  <w:r>
                    <w:t>除单台出力大于等于20蒸吨/小时锅炉以外燃用的煤炭及其制品</w:t>
                  </w:r>
                </w:p>
              </w:tc>
              <w:tc>
                <w:tcPr>
                  <w:tcW w:w="1820" w:type="dxa"/>
                  <w:vMerge w:val="continue"/>
                  <w:vAlign w:val="center"/>
                </w:tcPr>
                <w:p w14:paraId="3E57D25F">
                  <w:pPr>
                    <w:pStyle w:val="31"/>
                  </w:pPr>
                </w:p>
              </w:tc>
              <w:tc>
                <w:tcPr>
                  <w:tcW w:w="1790" w:type="dxa"/>
                  <w:vMerge w:val="continue"/>
                  <w:vAlign w:val="center"/>
                </w:tcPr>
                <w:p w14:paraId="4A2E5E7A">
                  <w:pPr>
                    <w:pStyle w:val="31"/>
                  </w:pPr>
                </w:p>
              </w:tc>
            </w:tr>
            <w:tr w14:paraId="5A5ECD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2" w:type="dxa"/>
                  <w:tcBorders>
                    <w:bottom w:val="single" w:color="auto" w:sz="12" w:space="0"/>
                  </w:tcBorders>
                  <w:vAlign w:val="center"/>
                </w:tcPr>
                <w:p w14:paraId="31A64E46">
                  <w:pPr>
                    <w:pStyle w:val="31"/>
                  </w:pPr>
                  <w:r>
                    <w:rPr>
                      <w:rFonts w:hint="eastAsia"/>
                    </w:rPr>
                    <w:t>III类</w:t>
                  </w:r>
                </w:p>
              </w:tc>
              <w:tc>
                <w:tcPr>
                  <w:tcW w:w="3278" w:type="dxa"/>
                  <w:tcBorders>
                    <w:bottom w:val="single" w:color="auto" w:sz="12" w:space="0"/>
                  </w:tcBorders>
                  <w:vAlign w:val="center"/>
                </w:tcPr>
                <w:p w14:paraId="5415984A">
                  <w:pPr>
                    <w:pStyle w:val="31"/>
                  </w:pPr>
                  <w:r>
                    <w:t>煤炭及其制品</w:t>
                  </w:r>
                </w:p>
              </w:tc>
              <w:tc>
                <w:tcPr>
                  <w:tcW w:w="1820" w:type="dxa"/>
                  <w:tcBorders>
                    <w:bottom w:val="single" w:color="auto" w:sz="12" w:space="0"/>
                  </w:tcBorders>
                  <w:vAlign w:val="center"/>
                </w:tcPr>
                <w:p w14:paraId="5B8025F3">
                  <w:pPr>
                    <w:pStyle w:val="31"/>
                  </w:pPr>
                  <w:r>
                    <w:rPr>
                      <w:rFonts w:hint="eastAsia"/>
                    </w:rPr>
                    <w:t>非专用锅炉或未配置高效除尘设施的专用锅炉燃用的生物质成型燃料</w:t>
                  </w:r>
                </w:p>
              </w:tc>
              <w:tc>
                <w:tcPr>
                  <w:tcW w:w="1790" w:type="dxa"/>
                  <w:tcBorders>
                    <w:bottom w:val="single" w:color="auto" w:sz="12" w:space="0"/>
                  </w:tcBorders>
                  <w:vAlign w:val="center"/>
                </w:tcPr>
                <w:p w14:paraId="5E3CB7AA">
                  <w:pPr>
                    <w:pStyle w:val="31"/>
                  </w:pPr>
                  <w:r>
                    <w:rPr>
                      <w:rFonts w:hint="eastAsia"/>
                    </w:rPr>
                    <w:t>本项目属于集中供热专用锅炉，且配置了高效除尘设施，原料为生物质气</w:t>
                  </w:r>
                </w:p>
              </w:tc>
            </w:tr>
          </w:tbl>
          <w:p w14:paraId="01F1F7B7">
            <w:pPr>
              <w:ind w:firstLine="480"/>
            </w:pPr>
            <w:r>
              <w:rPr>
                <w:rFonts w:hint="eastAsia"/>
              </w:rPr>
              <w:t>6）与《遂宁市人民政府关于调整扩大高污染燃料禁燃区的通告》符合性分析</w:t>
            </w:r>
          </w:p>
          <w:p w14:paraId="3AB8DC15">
            <w:pPr>
              <w:ind w:firstLine="480"/>
            </w:pPr>
            <w:r>
              <w:rPr>
                <w:rFonts w:hint="eastAsia"/>
              </w:rPr>
              <w:t>本项目建设地位于遂宁市</w:t>
            </w:r>
            <w:r>
              <w:rPr>
                <w:rFonts w:hint="eastAsia"/>
                <w:szCs w:val="24"/>
              </w:rPr>
              <w:t>大英县经济开发区席家沟村盛马大道中段</w:t>
            </w:r>
            <w:r>
              <w:rPr>
                <w:rFonts w:hint="eastAsia"/>
              </w:rPr>
              <w:t>，属于遂宁市高污染燃料禁燃区，项目与《遂宁市人民政府关于调整扩大高污染燃料禁燃区的通告》符合性分析见下表。</w:t>
            </w:r>
          </w:p>
          <w:p w14:paraId="60DFD8BD">
            <w:pPr>
              <w:pStyle w:val="35"/>
            </w:pPr>
            <w:r>
              <w:t>与《遂宁市人民政府关于调整扩大高污染燃料禁燃区的通告》符合性</w:t>
            </w:r>
            <w:r>
              <w:rPr>
                <w:rFonts w:hint="eastAsia"/>
              </w:rPr>
              <w:t>分析</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48"/>
              <w:gridCol w:w="509"/>
              <w:gridCol w:w="4042"/>
              <w:gridCol w:w="2378"/>
              <w:gridCol w:w="684"/>
            </w:tblGrid>
            <w:tr w14:paraId="402A02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Mar>
                    <w:left w:w="28" w:type="dxa"/>
                    <w:right w:w="28" w:type="dxa"/>
                  </w:tcMar>
                  <w:vAlign w:val="center"/>
                </w:tcPr>
                <w:p w14:paraId="068AA39B">
                  <w:pPr>
                    <w:pStyle w:val="31"/>
                    <w:rPr>
                      <w:b/>
                      <w:bCs/>
                      <w:kern w:val="0"/>
                      <w:lang w:bidi="ar"/>
                    </w:rPr>
                  </w:pPr>
                  <w:r>
                    <w:rPr>
                      <w:b/>
                      <w:bCs/>
                    </w:rPr>
                    <w:t>序号</w:t>
                  </w:r>
                </w:p>
              </w:tc>
              <w:tc>
                <w:tcPr>
                  <w:tcW w:w="0" w:type="auto"/>
                  <w:gridSpan w:val="2"/>
                  <w:tcMar>
                    <w:left w:w="28" w:type="dxa"/>
                    <w:right w:w="28" w:type="dxa"/>
                  </w:tcMar>
                  <w:vAlign w:val="center"/>
                </w:tcPr>
                <w:p w14:paraId="0FB315BA">
                  <w:pPr>
                    <w:pStyle w:val="31"/>
                    <w:rPr>
                      <w:b/>
                      <w:bCs/>
                    </w:rPr>
                  </w:pPr>
                  <w:r>
                    <w:rPr>
                      <w:rFonts w:hint="eastAsia"/>
                      <w:b/>
                      <w:bCs/>
                      <w:kern w:val="0"/>
                      <w:lang w:bidi="ar"/>
                    </w:rPr>
                    <w:t>文件要求</w:t>
                  </w:r>
                </w:p>
              </w:tc>
              <w:tc>
                <w:tcPr>
                  <w:tcW w:w="2377" w:type="dxa"/>
                  <w:tcMar>
                    <w:left w:w="28" w:type="dxa"/>
                    <w:right w:w="28" w:type="dxa"/>
                  </w:tcMar>
                  <w:vAlign w:val="center"/>
                </w:tcPr>
                <w:p w14:paraId="64553EAF">
                  <w:pPr>
                    <w:pStyle w:val="31"/>
                    <w:rPr>
                      <w:b/>
                      <w:bCs/>
                    </w:rPr>
                  </w:pPr>
                  <w:r>
                    <w:rPr>
                      <w:b/>
                      <w:bCs/>
                    </w:rPr>
                    <w:t>本项目</w:t>
                  </w:r>
                  <w:r>
                    <w:rPr>
                      <w:rFonts w:hint="eastAsia"/>
                      <w:b/>
                      <w:bCs/>
                    </w:rPr>
                    <w:t>内容</w:t>
                  </w:r>
                </w:p>
              </w:tc>
              <w:tc>
                <w:tcPr>
                  <w:tcW w:w="684" w:type="dxa"/>
                  <w:tcMar>
                    <w:left w:w="28" w:type="dxa"/>
                    <w:right w:w="28" w:type="dxa"/>
                  </w:tcMar>
                  <w:vAlign w:val="center"/>
                </w:tcPr>
                <w:p w14:paraId="3552AFAB">
                  <w:pPr>
                    <w:pStyle w:val="31"/>
                    <w:rPr>
                      <w:b/>
                      <w:bCs/>
                    </w:rPr>
                  </w:pPr>
                  <w:r>
                    <w:rPr>
                      <w:rFonts w:hint="eastAsia"/>
                      <w:b/>
                      <w:bCs/>
                    </w:rPr>
                    <w:t>符合性</w:t>
                  </w:r>
                </w:p>
              </w:tc>
            </w:tr>
            <w:tr w14:paraId="7B3E17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0" w:type="auto"/>
                  <w:tcMar>
                    <w:left w:w="28" w:type="dxa"/>
                    <w:right w:w="28" w:type="dxa"/>
                  </w:tcMar>
                  <w:vAlign w:val="center"/>
                </w:tcPr>
                <w:p w14:paraId="26B91CA1">
                  <w:pPr>
                    <w:pStyle w:val="31"/>
                  </w:pPr>
                  <w:r>
                    <w:t>1</w:t>
                  </w:r>
                </w:p>
              </w:tc>
              <w:tc>
                <w:tcPr>
                  <w:tcW w:w="0" w:type="auto"/>
                  <w:vMerge w:val="restart"/>
                  <w:tcMar>
                    <w:left w:w="28" w:type="dxa"/>
                    <w:right w:w="28" w:type="dxa"/>
                  </w:tcMar>
                  <w:vAlign w:val="center"/>
                </w:tcPr>
                <w:p w14:paraId="268C16E5">
                  <w:pPr>
                    <w:pStyle w:val="31"/>
                  </w:pPr>
                  <w:r>
                    <w:t>燃料</w:t>
                  </w:r>
                  <w:r>
                    <w:rPr>
                      <w:rFonts w:hint="eastAsia"/>
                    </w:rPr>
                    <w:t>要求</w:t>
                  </w:r>
                </w:p>
              </w:tc>
              <w:tc>
                <w:tcPr>
                  <w:tcW w:w="0" w:type="auto"/>
                  <w:tcMar>
                    <w:left w:w="28" w:type="dxa"/>
                    <w:right w:w="28" w:type="dxa"/>
                  </w:tcMar>
                  <w:vAlign w:val="center"/>
                </w:tcPr>
                <w:p w14:paraId="675710D4">
                  <w:pPr>
                    <w:pStyle w:val="31"/>
                  </w:pPr>
                  <w:r>
                    <w:t>煤炭及其制品（包括原煤、散煤、煤矸石、煤泥、煤粉、水浆煤、型煤、焦炭、兰炭、油类等常规燃料）</w:t>
                  </w:r>
                </w:p>
              </w:tc>
              <w:tc>
                <w:tcPr>
                  <w:tcW w:w="2377" w:type="dxa"/>
                  <w:vMerge w:val="restart"/>
                  <w:tcMar>
                    <w:left w:w="28" w:type="dxa"/>
                    <w:right w:w="28" w:type="dxa"/>
                  </w:tcMar>
                  <w:vAlign w:val="center"/>
                </w:tcPr>
                <w:p w14:paraId="122D735A">
                  <w:pPr>
                    <w:pStyle w:val="31"/>
                  </w:pPr>
                  <w:r>
                    <w:rPr>
                      <w:rFonts w:hint="eastAsia"/>
                    </w:rPr>
                    <w:t>本项目燃料为生物质气，非高污染燃料。</w:t>
                  </w:r>
                </w:p>
              </w:tc>
              <w:tc>
                <w:tcPr>
                  <w:tcW w:w="684" w:type="dxa"/>
                  <w:vMerge w:val="restart"/>
                  <w:tcMar>
                    <w:left w:w="28" w:type="dxa"/>
                    <w:right w:w="28" w:type="dxa"/>
                  </w:tcMar>
                  <w:vAlign w:val="center"/>
                </w:tcPr>
                <w:p w14:paraId="74AF1178">
                  <w:pPr>
                    <w:pStyle w:val="31"/>
                  </w:pPr>
                  <w:r>
                    <w:rPr>
                      <w:rFonts w:hint="eastAsia"/>
                    </w:rPr>
                    <w:t>符合</w:t>
                  </w:r>
                </w:p>
              </w:tc>
            </w:tr>
            <w:tr w14:paraId="46163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0" w:type="auto"/>
                  <w:tcMar>
                    <w:left w:w="28" w:type="dxa"/>
                    <w:right w:w="28" w:type="dxa"/>
                  </w:tcMar>
                  <w:vAlign w:val="center"/>
                </w:tcPr>
                <w:p w14:paraId="180F4A1F">
                  <w:pPr>
                    <w:pStyle w:val="31"/>
                  </w:pPr>
                  <w:r>
                    <w:t>2</w:t>
                  </w:r>
                </w:p>
              </w:tc>
              <w:tc>
                <w:tcPr>
                  <w:tcW w:w="0" w:type="auto"/>
                  <w:vMerge w:val="continue"/>
                  <w:tcMar>
                    <w:left w:w="28" w:type="dxa"/>
                    <w:right w:w="28" w:type="dxa"/>
                  </w:tcMar>
                  <w:vAlign w:val="center"/>
                </w:tcPr>
                <w:p w14:paraId="1D9B4694">
                  <w:pPr>
                    <w:pStyle w:val="31"/>
                  </w:pPr>
                </w:p>
              </w:tc>
              <w:tc>
                <w:tcPr>
                  <w:tcW w:w="0" w:type="auto"/>
                  <w:tcMar>
                    <w:left w:w="28" w:type="dxa"/>
                    <w:right w:w="28" w:type="dxa"/>
                  </w:tcMar>
                  <w:vAlign w:val="center"/>
                </w:tcPr>
                <w:p w14:paraId="68EF61E5">
                  <w:pPr>
                    <w:pStyle w:val="31"/>
                  </w:pPr>
                  <w:r>
                    <w:t>石油焦、油页岩、原油、重油、渣油、煤焦油。</w:t>
                  </w:r>
                </w:p>
              </w:tc>
              <w:tc>
                <w:tcPr>
                  <w:tcW w:w="2377" w:type="dxa"/>
                  <w:vMerge w:val="continue"/>
                  <w:tcMar>
                    <w:left w:w="28" w:type="dxa"/>
                    <w:right w:w="28" w:type="dxa"/>
                  </w:tcMar>
                  <w:vAlign w:val="center"/>
                </w:tcPr>
                <w:p w14:paraId="428B8EFE">
                  <w:pPr>
                    <w:pStyle w:val="31"/>
                  </w:pPr>
                </w:p>
              </w:tc>
              <w:tc>
                <w:tcPr>
                  <w:tcW w:w="684" w:type="dxa"/>
                  <w:vMerge w:val="continue"/>
                  <w:tcMar>
                    <w:left w:w="28" w:type="dxa"/>
                    <w:right w:w="28" w:type="dxa"/>
                  </w:tcMar>
                  <w:vAlign w:val="center"/>
                </w:tcPr>
                <w:p w14:paraId="7EF98953">
                  <w:pPr>
                    <w:pStyle w:val="31"/>
                  </w:pPr>
                </w:p>
              </w:tc>
            </w:tr>
            <w:tr w14:paraId="4F5EF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0" w:type="auto"/>
                  <w:tcMar>
                    <w:left w:w="28" w:type="dxa"/>
                    <w:right w:w="28" w:type="dxa"/>
                  </w:tcMar>
                  <w:vAlign w:val="center"/>
                </w:tcPr>
                <w:p w14:paraId="5DC76D45">
                  <w:pPr>
                    <w:pStyle w:val="31"/>
                  </w:pPr>
                  <w:r>
                    <w:t>3</w:t>
                  </w:r>
                </w:p>
              </w:tc>
              <w:tc>
                <w:tcPr>
                  <w:tcW w:w="0" w:type="auto"/>
                  <w:vMerge w:val="continue"/>
                  <w:tcMar>
                    <w:left w:w="28" w:type="dxa"/>
                    <w:right w:w="28" w:type="dxa"/>
                  </w:tcMar>
                  <w:vAlign w:val="center"/>
                </w:tcPr>
                <w:p w14:paraId="46B7CCFA">
                  <w:pPr>
                    <w:pStyle w:val="31"/>
                  </w:pPr>
                </w:p>
              </w:tc>
              <w:tc>
                <w:tcPr>
                  <w:tcW w:w="0" w:type="auto"/>
                  <w:tcMar>
                    <w:left w:w="28" w:type="dxa"/>
                    <w:right w:w="28" w:type="dxa"/>
                  </w:tcMar>
                  <w:vAlign w:val="center"/>
                </w:tcPr>
                <w:p w14:paraId="143F75A7">
                  <w:pPr>
                    <w:pStyle w:val="31"/>
                  </w:pPr>
                  <w:r>
                    <w:t>非专用锅炉或未配置高效除尘设施的专用锅炉燃用的生物质成型燃料。</w:t>
                  </w:r>
                </w:p>
              </w:tc>
              <w:tc>
                <w:tcPr>
                  <w:tcW w:w="2377" w:type="dxa"/>
                  <w:tcMar>
                    <w:left w:w="28" w:type="dxa"/>
                    <w:right w:w="28" w:type="dxa"/>
                  </w:tcMar>
                  <w:vAlign w:val="center"/>
                </w:tcPr>
                <w:p w14:paraId="6191518C">
                  <w:pPr>
                    <w:pStyle w:val="31"/>
                  </w:pPr>
                  <w:r>
                    <w:rPr>
                      <w:rFonts w:hint="eastAsia"/>
                    </w:rPr>
                    <w:t>本项目为专用锅炉，且</w:t>
                  </w:r>
                  <w:r>
                    <w:t>配置</w:t>
                  </w:r>
                  <w:r>
                    <w:rPr>
                      <w:rFonts w:hint="eastAsia"/>
                    </w:rPr>
                    <w:t>了</w:t>
                  </w:r>
                  <w:r>
                    <w:t>高效除尘</w:t>
                  </w:r>
                  <w:r>
                    <w:rPr>
                      <w:rFonts w:hint="eastAsia"/>
                    </w:rPr>
                    <w:t>。</w:t>
                  </w:r>
                </w:p>
              </w:tc>
              <w:tc>
                <w:tcPr>
                  <w:tcW w:w="684" w:type="dxa"/>
                  <w:tcMar>
                    <w:left w:w="28" w:type="dxa"/>
                    <w:right w:w="28" w:type="dxa"/>
                  </w:tcMar>
                  <w:vAlign w:val="center"/>
                </w:tcPr>
                <w:p w14:paraId="1EF24572">
                  <w:pPr>
                    <w:pStyle w:val="31"/>
                  </w:pPr>
                  <w:r>
                    <w:rPr>
                      <w:rFonts w:hint="eastAsia"/>
                    </w:rPr>
                    <w:t>符合</w:t>
                  </w:r>
                </w:p>
              </w:tc>
            </w:tr>
            <w:tr w14:paraId="56E96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tcMar>
                    <w:left w:w="28" w:type="dxa"/>
                    <w:right w:w="28" w:type="dxa"/>
                  </w:tcMar>
                  <w:vAlign w:val="center"/>
                </w:tcPr>
                <w:p w14:paraId="09D8F7F4">
                  <w:pPr>
                    <w:pStyle w:val="31"/>
                  </w:pPr>
                  <w:r>
                    <w:t>4</w:t>
                  </w:r>
                </w:p>
              </w:tc>
              <w:tc>
                <w:tcPr>
                  <w:tcW w:w="0" w:type="auto"/>
                  <w:gridSpan w:val="2"/>
                  <w:tcMar>
                    <w:left w:w="28" w:type="dxa"/>
                    <w:right w:w="28" w:type="dxa"/>
                  </w:tcMar>
                  <w:vAlign w:val="center"/>
                </w:tcPr>
                <w:p w14:paraId="63AD063C">
                  <w:pPr>
                    <w:pStyle w:val="31"/>
                  </w:pPr>
                  <w:r>
                    <w:t>禁燃区内禁止新建、扩建燃用高污染燃料的锅炉、炉窑、炉灶等燃烧设施（集中供热、电厂锅炉除外）</w:t>
                  </w:r>
                </w:p>
              </w:tc>
              <w:tc>
                <w:tcPr>
                  <w:tcW w:w="2377" w:type="dxa"/>
                  <w:tcMar>
                    <w:left w:w="28" w:type="dxa"/>
                    <w:right w:w="28" w:type="dxa"/>
                  </w:tcMar>
                  <w:vAlign w:val="center"/>
                </w:tcPr>
                <w:p w14:paraId="7FD50748">
                  <w:pPr>
                    <w:pStyle w:val="31"/>
                  </w:pPr>
                  <w:r>
                    <w:rPr>
                      <w:rFonts w:hint="eastAsia"/>
                    </w:rPr>
                    <w:t>本项目位于禁燃区内，但不属于高污染燃料锅炉；本项目为集中供热项目。</w:t>
                  </w:r>
                </w:p>
              </w:tc>
              <w:tc>
                <w:tcPr>
                  <w:tcW w:w="684" w:type="dxa"/>
                  <w:tcMar>
                    <w:left w:w="28" w:type="dxa"/>
                    <w:right w:w="28" w:type="dxa"/>
                  </w:tcMar>
                  <w:vAlign w:val="center"/>
                </w:tcPr>
                <w:p w14:paraId="2A854D0B">
                  <w:pPr>
                    <w:pStyle w:val="31"/>
                  </w:pPr>
                  <w:r>
                    <w:rPr>
                      <w:rFonts w:hint="eastAsia"/>
                    </w:rPr>
                    <w:t>符合</w:t>
                  </w:r>
                </w:p>
              </w:tc>
            </w:tr>
          </w:tbl>
          <w:p w14:paraId="53A5943E">
            <w:pPr>
              <w:ind w:firstLine="480"/>
              <w:rPr>
                <w:szCs w:val="32"/>
              </w:rPr>
            </w:pPr>
            <w:r>
              <w:rPr>
                <w:rFonts w:hint="eastAsia" w:cs="Times New Roman"/>
              </w:rPr>
              <w:t>综上，本项目与</w:t>
            </w:r>
            <w:r>
              <w:rPr>
                <w:rFonts w:hint="eastAsia" w:cs="Times New Roman"/>
                <w:szCs w:val="32"/>
              </w:rPr>
              <w:t>《遂宁市人民政府关于调整扩大高污染燃料禁燃区的通告》相符。</w:t>
            </w:r>
          </w:p>
          <w:p w14:paraId="1234FFE5">
            <w:pPr>
              <w:ind w:firstLine="480"/>
            </w:pPr>
            <w:r>
              <w:rPr>
                <w:rFonts w:hint="eastAsia"/>
              </w:rPr>
              <w:t>7）</w:t>
            </w:r>
            <w:r>
              <w:t>与</w:t>
            </w:r>
            <w:r>
              <w:rPr>
                <w:rFonts w:hint="eastAsia"/>
              </w:rPr>
              <w:t>能源替代</w:t>
            </w:r>
            <w:r>
              <w:t>相关政策符合性分析</w:t>
            </w:r>
          </w:p>
          <w:p w14:paraId="1649A0DA">
            <w:pPr>
              <w:pStyle w:val="35"/>
            </w:pPr>
            <w:r>
              <w:rPr>
                <w:rFonts w:hint="eastAsia"/>
              </w:rPr>
              <w:t xml:space="preserve">  </w:t>
            </w:r>
            <w:r>
              <w:t>与能源替代相关政策符合性分析</w:t>
            </w:r>
          </w:p>
          <w:tbl>
            <w:tblPr>
              <w:tblStyle w:val="23"/>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41"/>
              <w:gridCol w:w="3206"/>
              <w:gridCol w:w="3232"/>
              <w:gridCol w:w="577"/>
            </w:tblGrid>
            <w:tr w14:paraId="3B90D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1" w:type="dxa"/>
                  <w:tcBorders>
                    <w:tl2br w:val="nil"/>
                    <w:tr2bl w:val="nil"/>
                  </w:tcBorders>
                  <w:tcMar>
                    <w:left w:w="28" w:type="dxa"/>
                    <w:right w:w="28" w:type="dxa"/>
                  </w:tcMar>
                  <w:vAlign w:val="center"/>
                </w:tcPr>
                <w:p w14:paraId="21AC8890">
                  <w:pPr>
                    <w:pStyle w:val="31"/>
                    <w:rPr>
                      <w:b/>
                      <w:bCs/>
                    </w:rPr>
                  </w:pPr>
                  <w:r>
                    <w:rPr>
                      <w:b/>
                      <w:bCs/>
                    </w:rPr>
                    <w:t>名称</w:t>
                  </w:r>
                </w:p>
              </w:tc>
              <w:tc>
                <w:tcPr>
                  <w:tcW w:w="3206" w:type="dxa"/>
                  <w:tcBorders>
                    <w:tl2br w:val="nil"/>
                    <w:tr2bl w:val="nil"/>
                  </w:tcBorders>
                  <w:tcMar>
                    <w:left w:w="28" w:type="dxa"/>
                    <w:right w:w="28" w:type="dxa"/>
                  </w:tcMar>
                  <w:vAlign w:val="center"/>
                </w:tcPr>
                <w:p w14:paraId="72FFCD15">
                  <w:pPr>
                    <w:pStyle w:val="31"/>
                    <w:rPr>
                      <w:b/>
                      <w:bCs/>
                    </w:rPr>
                  </w:pPr>
                  <w:r>
                    <w:rPr>
                      <w:b/>
                      <w:bCs/>
                    </w:rPr>
                    <w:t>相关要求</w:t>
                  </w:r>
                </w:p>
              </w:tc>
              <w:tc>
                <w:tcPr>
                  <w:tcW w:w="3232" w:type="dxa"/>
                  <w:tcBorders>
                    <w:tl2br w:val="nil"/>
                    <w:tr2bl w:val="nil"/>
                  </w:tcBorders>
                  <w:tcMar>
                    <w:left w:w="28" w:type="dxa"/>
                    <w:right w:w="28" w:type="dxa"/>
                  </w:tcMar>
                  <w:vAlign w:val="center"/>
                </w:tcPr>
                <w:p w14:paraId="5A6B977D">
                  <w:pPr>
                    <w:pStyle w:val="31"/>
                    <w:rPr>
                      <w:b/>
                      <w:bCs/>
                    </w:rPr>
                  </w:pPr>
                  <w:r>
                    <w:rPr>
                      <w:b/>
                      <w:bCs/>
                    </w:rPr>
                    <w:t>项目情况</w:t>
                  </w:r>
                </w:p>
              </w:tc>
              <w:tc>
                <w:tcPr>
                  <w:tcW w:w="0" w:type="auto"/>
                  <w:tcBorders>
                    <w:tl2br w:val="nil"/>
                    <w:tr2bl w:val="nil"/>
                  </w:tcBorders>
                  <w:tcMar>
                    <w:left w:w="28" w:type="dxa"/>
                    <w:right w:w="28" w:type="dxa"/>
                  </w:tcMar>
                  <w:vAlign w:val="center"/>
                </w:tcPr>
                <w:p w14:paraId="6C9F6FCC">
                  <w:pPr>
                    <w:pStyle w:val="31"/>
                    <w:rPr>
                      <w:b/>
                      <w:bCs/>
                    </w:rPr>
                  </w:pPr>
                  <w:r>
                    <w:rPr>
                      <w:b/>
                      <w:bCs/>
                    </w:rPr>
                    <w:t>符合性</w:t>
                  </w:r>
                </w:p>
              </w:tc>
            </w:tr>
            <w:tr w14:paraId="02935E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1" w:type="dxa"/>
                  <w:tcBorders>
                    <w:tl2br w:val="nil"/>
                    <w:tr2bl w:val="nil"/>
                  </w:tcBorders>
                  <w:tcMar>
                    <w:left w:w="28" w:type="dxa"/>
                    <w:right w:w="28" w:type="dxa"/>
                  </w:tcMar>
                  <w:vAlign w:val="center"/>
                </w:tcPr>
                <w:p w14:paraId="3EFC73C8">
                  <w:pPr>
                    <w:pStyle w:val="31"/>
                  </w:pPr>
                  <w:r>
                    <w:t>《中华人民共和国能源法（征求意见稿）》</w:t>
                  </w:r>
                </w:p>
              </w:tc>
              <w:tc>
                <w:tcPr>
                  <w:tcW w:w="3206" w:type="dxa"/>
                  <w:tcBorders>
                    <w:tl2br w:val="nil"/>
                    <w:tr2bl w:val="nil"/>
                  </w:tcBorders>
                  <w:tcMar>
                    <w:left w:w="28" w:type="dxa"/>
                    <w:right w:w="28" w:type="dxa"/>
                  </w:tcMar>
                  <w:vAlign w:val="center"/>
                </w:tcPr>
                <w:p w14:paraId="75F28BA1">
                  <w:pPr>
                    <w:pStyle w:val="31"/>
                  </w:pPr>
                  <w:r>
                    <w:t>第三十二条〔优化能源结构〕</w:t>
                  </w:r>
                </w:p>
                <w:p w14:paraId="74E3A6BB">
                  <w:pPr>
                    <w:pStyle w:val="31"/>
                  </w:pPr>
                  <w:r>
                    <w:t>国家鼓励高效清洁开发利用能源资源，支持优先开发可再生能源，合理开发化石能源资源，因地制宜发展分布式能源，推动非化石能源替代化石能源、低碳能源替代高碳能源，支持开发应用替代石油、天然气的新型燃料和工业原料。</w:t>
                  </w:r>
                </w:p>
              </w:tc>
              <w:tc>
                <w:tcPr>
                  <w:tcW w:w="3232" w:type="dxa"/>
                  <w:tcBorders>
                    <w:tl2br w:val="nil"/>
                    <w:tr2bl w:val="nil"/>
                  </w:tcBorders>
                  <w:tcMar>
                    <w:left w:w="28" w:type="dxa"/>
                    <w:right w:w="28" w:type="dxa"/>
                  </w:tcMar>
                  <w:vAlign w:val="center"/>
                </w:tcPr>
                <w:p w14:paraId="5C804EE4">
                  <w:pPr>
                    <w:pStyle w:val="31"/>
                  </w:pPr>
                  <w:r>
                    <w:rPr>
                      <w:rFonts w:hint="eastAsia"/>
                    </w:rPr>
                    <w:t>本项目属于非化石能源，将替代项目现有的天然气锅炉。</w:t>
                  </w:r>
                </w:p>
              </w:tc>
              <w:tc>
                <w:tcPr>
                  <w:tcW w:w="0" w:type="auto"/>
                  <w:tcBorders>
                    <w:tl2br w:val="nil"/>
                    <w:tr2bl w:val="nil"/>
                  </w:tcBorders>
                  <w:tcMar>
                    <w:left w:w="28" w:type="dxa"/>
                    <w:right w:w="28" w:type="dxa"/>
                  </w:tcMar>
                  <w:vAlign w:val="center"/>
                </w:tcPr>
                <w:p w14:paraId="415F5D84">
                  <w:pPr>
                    <w:pStyle w:val="31"/>
                  </w:pPr>
                  <w:r>
                    <w:rPr>
                      <w:rFonts w:hint="eastAsia"/>
                    </w:rPr>
                    <w:t>符合</w:t>
                  </w:r>
                </w:p>
              </w:tc>
            </w:tr>
            <w:tr w14:paraId="6A2A5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41" w:type="dxa"/>
                  <w:tcBorders>
                    <w:tl2br w:val="nil"/>
                    <w:tr2bl w:val="nil"/>
                  </w:tcBorders>
                  <w:tcMar>
                    <w:left w:w="28" w:type="dxa"/>
                    <w:right w:w="28" w:type="dxa"/>
                  </w:tcMar>
                  <w:vAlign w:val="center"/>
                </w:tcPr>
                <w:p w14:paraId="6AABB3FA">
                  <w:pPr>
                    <w:pStyle w:val="31"/>
                  </w:pPr>
                  <w:r>
                    <w:rPr>
                      <w:rFonts w:hint="eastAsia"/>
                    </w:rPr>
                    <w:t>“</w:t>
                  </w:r>
                  <w:r>
                    <w:t>十四五</w:t>
                  </w:r>
                  <w:r>
                    <w:rPr>
                      <w:rFonts w:hint="eastAsia"/>
                    </w:rPr>
                    <w:t>”</w:t>
                  </w:r>
                  <w:r>
                    <w:t>现代能源体系规划</w:t>
                  </w:r>
                </w:p>
              </w:tc>
              <w:tc>
                <w:tcPr>
                  <w:tcW w:w="3206" w:type="dxa"/>
                  <w:tcBorders>
                    <w:tl2br w:val="nil"/>
                    <w:tr2bl w:val="nil"/>
                  </w:tcBorders>
                  <w:tcMar>
                    <w:left w:w="28" w:type="dxa"/>
                    <w:right w:w="28" w:type="dxa"/>
                  </w:tcMar>
                  <w:vAlign w:val="center"/>
                </w:tcPr>
                <w:p w14:paraId="582480A5">
                  <w:pPr>
                    <w:pStyle w:val="31"/>
                  </w:pPr>
                  <w:r>
                    <w:t>推进生物质能多元化利用，稳步发展城镇生活垃圾焚烧发电，有序发展农林生物质发电和沼气发电，因地制宜发展生物质能清洁供暖。</w:t>
                  </w:r>
                </w:p>
              </w:tc>
              <w:tc>
                <w:tcPr>
                  <w:tcW w:w="3232" w:type="dxa"/>
                  <w:tcBorders>
                    <w:tl2br w:val="nil"/>
                    <w:tr2bl w:val="nil"/>
                  </w:tcBorders>
                  <w:tcMar>
                    <w:left w:w="28" w:type="dxa"/>
                    <w:right w:w="28" w:type="dxa"/>
                  </w:tcMar>
                  <w:vAlign w:val="center"/>
                </w:tcPr>
                <w:p w14:paraId="0B683055">
                  <w:pPr>
                    <w:pStyle w:val="31"/>
                  </w:pPr>
                  <w:r>
                    <w:rPr>
                      <w:rFonts w:hint="eastAsia"/>
                    </w:rPr>
                    <w:t>根据统计调查数据显示，大英县秸秆资源以水稻、玉米、油菜、小麦秸秆为主，少量薯类、豆类、花生等。2022年全县农作物总产38.61万吨，秸秆理论资源量24.24万吨，本项目所在地区生物质能充足，能为项目</w:t>
                  </w:r>
                  <w:r>
                    <w:t>生物质能清洁供暖</w:t>
                  </w:r>
                  <w:r>
                    <w:rPr>
                      <w:rFonts w:hint="eastAsia"/>
                    </w:rPr>
                    <w:t>提供足量的生物质原料</w:t>
                  </w:r>
                </w:p>
              </w:tc>
              <w:tc>
                <w:tcPr>
                  <w:tcW w:w="0" w:type="auto"/>
                  <w:tcBorders>
                    <w:tl2br w:val="nil"/>
                    <w:tr2bl w:val="nil"/>
                  </w:tcBorders>
                  <w:tcMar>
                    <w:left w:w="28" w:type="dxa"/>
                    <w:right w:w="28" w:type="dxa"/>
                  </w:tcMar>
                  <w:vAlign w:val="center"/>
                </w:tcPr>
                <w:p w14:paraId="3712E00E">
                  <w:pPr>
                    <w:pStyle w:val="31"/>
                  </w:pPr>
                  <w:r>
                    <w:rPr>
                      <w:rFonts w:hint="eastAsia"/>
                    </w:rPr>
                    <w:t>符合</w:t>
                  </w:r>
                </w:p>
              </w:tc>
            </w:tr>
          </w:tbl>
          <w:p w14:paraId="75153BC2">
            <w:pPr>
              <w:ind w:firstLine="480"/>
            </w:pPr>
            <w:r>
              <w:rPr>
                <w:rFonts w:hint="eastAsia"/>
              </w:rPr>
              <w:t>8）生物质气体锅炉替代天然气锅炉可行性</w:t>
            </w:r>
            <w:r>
              <w:t>符合性分析</w:t>
            </w:r>
          </w:p>
          <w:p w14:paraId="4AA27491">
            <w:pPr>
              <w:ind w:firstLine="480"/>
            </w:pPr>
            <w:r>
              <w:rPr>
                <w:rFonts w:hint="eastAsia"/>
                <w:szCs w:val="32"/>
              </w:rPr>
              <w:t>a.</w:t>
            </w:r>
            <w:r>
              <w:t>根据《产业结构调整指导目录（2024本）》的有关规定，本项目</w:t>
            </w:r>
            <w:r>
              <w:rPr>
                <w:rFonts w:hint="eastAsia"/>
              </w:rPr>
              <w:t>“</w:t>
            </w:r>
            <w:r>
              <w:t>鼓励类</w:t>
            </w:r>
            <w:r>
              <w:rPr>
                <w:rFonts w:hint="eastAsia"/>
              </w:rPr>
              <w:t>”</w:t>
            </w:r>
            <w:r>
              <w:t>中</w:t>
            </w:r>
            <w:r>
              <w:rPr>
                <w:rFonts w:hint="eastAsia"/>
              </w:rPr>
              <w:t>“</w:t>
            </w:r>
            <w:r>
              <w:t>四十二、环境保护与资源节约综合利用</w:t>
            </w:r>
            <w:r>
              <w:rPr>
                <w:rFonts w:hint="eastAsia"/>
              </w:rPr>
              <w:t>”</w:t>
            </w:r>
            <w:r>
              <w:t>中</w:t>
            </w:r>
            <w:r>
              <w:rPr>
                <w:rFonts w:hint="eastAsia"/>
              </w:rPr>
              <w:t>“8</w:t>
            </w:r>
            <w:r>
              <w:t>、生物质能技术装备（发电、供热、制油、沼气）</w:t>
            </w:r>
            <w:r>
              <w:rPr>
                <w:rFonts w:hint="eastAsia"/>
              </w:rPr>
              <w:t>”</w:t>
            </w:r>
            <w:r>
              <w:t>。属于鼓励类。</w:t>
            </w:r>
          </w:p>
          <w:p w14:paraId="555EB884">
            <w:pPr>
              <w:ind w:firstLine="480"/>
              <w:rPr>
                <w:szCs w:val="32"/>
              </w:rPr>
            </w:pPr>
            <w:r>
              <w:rPr>
                <w:rFonts w:hint="eastAsia"/>
                <w:szCs w:val="32"/>
              </w:rPr>
              <w:t>b.清洁性：本项目生物质气体与天然气能源相比更具有环境友好性。本项目生物质气化气体硫化氢含量为0.29mg/m</w:t>
            </w:r>
            <w:r>
              <w:rPr>
                <w:rFonts w:hint="eastAsia"/>
                <w:szCs w:val="32"/>
                <w:vertAlign w:val="superscript"/>
              </w:rPr>
              <w:t>3</w:t>
            </w:r>
            <w:r>
              <w:rPr>
                <w:rFonts w:hint="eastAsia"/>
                <w:szCs w:val="32"/>
              </w:rPr>
              <w:t>，对比天然气标准（硫含量）：一类天然气为20mg/m</w:t>
            </w:r>
            <w:r>
              <w:rPr>
                <w:rFonts w:hint="eastAsia"/>
                <w:szCs w:val="32"/>
                <w:vertAlign w:val="superscript"/>
              </w:rPr>
              <w:t>3</w:t>
            </w:r>
            <w:r>
              <w:rPr>
                <w:rFonts w:hint="eastAsia"/>
                <w:szCs w:val="32"/>
              </w:rPr>
              <w:t>，二类天然气为100mg/m</w:t>
            </w:r>
            <w:r>
              <w:rPr>
                <w:rFonts w:hint="eastAsia"/>
                <w:szCs w:val="32"/>
                <w:vertAlign w:val="superscript"/>
              </w:rPr>
              <w:t>3</w:t>
            </w:r>
            <w:r>
              <w:rPr>
                <w:rFonts w:hint="eastAsia"/>
                <w:szCs w:val="32"/>
              </w:rPr>
              <w:t>，优于一类天然气。</w:t>
            </w:r>
          </w:p>
          <w:p w14:paraId="2DD971A0">
            <w:pPr>
              <w:ind w:firstLine="480"/>
              <w:rPr>
                <w:szCs w:val="32"/>
              </w:rPr>
            </w:pPr>
            <w:r>
              <w:rPr>
                <w:rFonts w:hint="eastAsia"/>
                <w:szCs w:val="32"/>
              </w:rPr>
              <w:t>c.可再生性：生物质能源来源于植物的光合作用，属于可再生资源。与风能、太阳能等一样，它资源丰富，可以保证能源的永续利用，符合可持续的科学发展观和循环经济的理念。</w:t>
            </w:r>
          </w:p>
          <w:p w14:paraId="09E8E085">
            <w:pPr>
              <w:ind w:firstLine="480"/>
              <w:rPr>
                <w:szCs w:val="32"/>
              </w:rPr>
            </w:pPr>
            <w:r>
              <w:rPr>
                <w:rFonts w:hint="eastAsia"/>
                <w:szCs w:val="32"/>
              </w:rPr>
              <w:t>d.低污染性：生物质能源具有低硫、低氮的特性，因此燃烧过程中生成的SO</w:t>
            </w:r>
            <w:r>
              <w:rPr>
                <w:rFonts w:hint="eastAsia"/>
                <w:szCs w:val="32"/>
                <w:vertAlign w:val="subscript"/>
              </w:rPr>
              <w:t>2</w:t>
            </w:r>
            <w:r>
              <w:rPr>
                <w:rFonts w:hint="eastAsia"/>
                <w:szCs w:val="32"/>
              </w:rPr>
              <w:t>、NO</w:t>
            </w:r>
            <w:r>
              <w:rPr>
                <w:rFonts w:hint="eastAsia"/>
                <w:szCs w:val="32"/>
                <w:vertAlign w:val="subscript"/>
              </w:rPr>
              <w:t>x</w:t>
            </w:r>
            <w:r>
              <w:rPr>
                <w:rFonts w:hint="eastAsia"/>
                <w:szCs w:val="32"/>
              </w:rPr>
              <w:t>较少。同时，生物质作为燃料时，其生长过程吸收的二氧化碳与其燃烧过程排放的二氧化碳量大致相当，因此对大气的二氧化碳净排放量近似于零，有助于缓解温室效应。</w:t>
            </w:r>
          </w:p>
          <w:p w14:paraId="45F9F62E">
            <w:pPr>
              <w:ind w:firstLine="480"/>
              <w:rPr>
                <w:szCs w:val="32"/>
              </w:rPr>
            </w:pPr>
            <w:r>
              <w:rPr>
                <w:rFonts w:hint="eastAsia"/>
                <w:szCs w:val="32"/>
              </w:rPr>
              <w:t>本项目气化炉气化原料为生物质成型燃料，不使用家具废料、废木板等废木料。（原因：本项目气化炉的旋转炉排属于精密机器，进料仅支持成型生物质燃料物，家具废料、废木板等木料含有铁皮，铁钉等其他杂质，在产气过程中会损坏气化炉。）</w:t>
            </w:r>
          </w:p>
          <w:p w14:paraId="21660E77">
            <w:pPr>
              <w:ind w:firstLine="480"/>
              <w:rPr>
                <w:szCs w:val="32"/>
              </w:rPr>
            </w:pPr>
            <w:r>
              <w:rPr>
                <w:rFonts w:hint="eastAsia"/>
                <w:szCs w:val="32"/>
              </w:rPr>
              <w:t>e.广泛分布性：生物质能源分布广泛，不受地域限制，即便在缺乏煤炭的地区，也可以充分利用生物质能源。</w:t>
            </w:r>
          </w:p>
          <w:p w14:paraId="6345B735">
            <w:pPr>
              <w:ind w:firstLine="480"/>
              <w:rPr>
                <w:szCs w:val="32"/>
              </w:rPr>
            </w:pPr>
            <w:r>
              <w:rPr>
                <w:rFonts w:hint="eastAsia"/>
                <w:szCs w:val="32"/>
              </w:rPr>
              <w:t>f.总量丰富：生物质能是自然界中有生命的植物提供的能量，这些植物以生物质作为媒介储存太阳能，储存的能量比世界能源消费总量大2倍。人类历史上最早使用的能源是生物质能。</w:t>
            </w:r>
          </w:p>
          <w:p w14:paraId="04924D24">
            <w:pPr>
              <w:ind w:firstLine="480"/>
              <w:rPr>
                <w:szCs w:val="32"/>
              </w:rPr>
            </w:pPr>
            <w:r>
              <w:rPr>
                <w:rFonts w:hint="eastAsia"/>
                <w:szCs w:val="32"/>
              </w:rPr>
              <w:t>g.多样的利用方式：生物质能源可以通过多种方式加以利用，如制取沼气、制取酒精、热能利用、生物质发电以及生产生物质燃料等。这些利用方式不仅提高了能源利用效率，还促进了清洁能源的发展。</w:t>
            </w:r>
          </w:p>
          <w:p w14:paraId="7BA60C3B">
            <w:pPr>
              <w:ind w:firstLine="480"/>
            </w:pPr>
            <w:r>
              <w:rPr>
                <w:rFonts w:hint="eastAsia"/>
                <w:szCs w:val="32"/>
              </w:rPr>
              <w:t>综上所述，生物质能源具有显著的环境和经济效益，对于推动可持续发展和应对气候变化具有重要意义。随着技术的不断创新和进步，生物质能源的利用效率和经济效益将得到进一步提升，其在未来能源结构中的地位也将更加重要。</w:t>
            </w:r>
          </w:p>
        </w:tc>
      </w:tr>
    </w:tbl>
    <w:p w14:paraId="4F98CD34">
      <w:pPr>
        <w:tabs>
          <w:tab w:val="left" w:pos="693"/>
        </w:tabs>
        <w:ind w:firstLine="0" w:firstLineChars="0"/>
        <w:rPr>
          <w:rFonts w:hint="eastAsia" w:ascii="黑体" w:hAnsi="黑体" w:eastAsia="黑体"/>
          <w:sz w:val="28"/>
          <w:szCs w:val="32"/>
        </w:rPr>
        <w:sectPr>
          <w:pgSz w:w="11906" w:h="16838"/>
          <w:pgMar w:top="1440" w:right="1800" w:bottom="1440" w:left="1800" w:header="851" w:footer="992" w:gutter="0"/>
          <w:cols w:space="425" w:num="1"/>
          <w:docGrid w:type="lines" w:linePitch="326" w:charSpace="0"/>
        </w:sectPr>
      </w:pPr>
      <w:r>
        <w:rPr>
          <w:rFonts w:ascii="黑体" w:hAnsi="黑体" w:eastAsia="黑体"/>
          <w:sz w:val="28"/>
          <w:szCs w:val="32"/>
        </w:rPr>
        <w:tab/>
      </w:r>
    </w:p>
    <w:p w14:paraId="340524D9">
      <w:pPr>
        <w:pStyle w:val="2"/>
      </w:pPr>
      <w:r>
        <w:rPr>
          <w:rFonts w:hint="eastAsia"/>
        </w:rPr>
        <w:t>二、建设项目工程分析</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7"/>
        <w:gridCol w:w="8065"/>
      </w:tblGrid>
      <w:tr w14:paraId="2A32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10" w:type="pct"/>
            <w:vAlign w:val="center"/>
          </w:tcPr>
          <w:p w14:paraId="44637452">
            <w:pPr>
              <w:ind w:firstLine="0" w:firstLineChars="0"/>
              <w:jc w:val="center"/>
              <w:rPr>
                <w:b/>
                <w:bCs/>
              </w:rPr>
            </w:pPr>
            <w:r>
              <w:rPr>
                <w:rFonts w:hint="eastAsia"/>
                <w:b/>
                <w:bCs/>
                <w:szCs w:val="32"/>
              </w:rPr>
              <w:t>建设内容</w:t>
            </w:r>
          </w:p>
        </w:tc>
        <w:tc>
          <w:tcPr>
            <w:tcW w:w="4490" w:type="pct"/>
            <w:vAlign w:val="center"/>
          </w:tcPr>
          <w:p w14:paraId="36723F50">
            <w:pPr>
              <w:ind w:firstLine="482"/>
              <w:rPr>
                <w:b/>
              </w:rPr>
            </w:pPr>
            <w:r>
              <w:rPr>
                <w:rFonts w:hint="eastAsia"/>
                <w:b/>
              </w:rPr>
              <w:t>一、</w:t>
            </w:r>
            <w:r>
              <w:rPr>
                <w:b/>
              </w:rPr>
              <w:t>项目由来</w:t>
            </w:r>
          </w:p>
          <w:p w14:paraId="57F3AB84">
            <w:pPr>
              <w:ind w:firstLine="480"/>
            </w:pPr>
            <w:r>
              <w:t>四川亿昂洋新能源科技有限公司成立于2023年12月15日，注册地位于四川省遂宁市大英县郪江东路16号四川大英经济开发区管理委员会416室</w:t>
            </w:r>
            <w:r>
              <w:rPr>
                <w:rFonts w:hint="eastAsia"/>
              </w:rPr>
              <w:t>。企业积极响应了国家节能减排的号召，对接园区企业绿色发展的迫切需求，旨在通过构建生物质燃气集中供热系统，将生物质资源转化为高效且环保的生物质燃气，进而实现供热目的。在为园区内的蒸汽使用单位提供稳定、可靠的能源供应，以满足其生产运营需求。</w:t>
            </w:r>
          </w:p>
          <w:p w14:paraId="3A07BD6C">
            <w:pPr>
              <w:ind w:firstLine="482"/>
              <w:rPr>
                <w:b/>
                <w:bCs/>
              </w:rPr>
            </w:pPr>
            <w:r>
              <w:rPr>
                <w:rFonts w:hint="eastAsia"/>
                <w:b/>
                <w:bCs/>
              </w:rPr>
              <w:t>二、建设内容及项目组成</w:t>
            </w:r>
          </w:p>
          <w:p w14:paraId="55FAA33D">
            <w:pPr>
              <w:ind w:firstLine="480"/>
              <w:rPr>
                <w:szCs w:val="24"/>
              </w:rPr>
            </w:pPr>
            <w:r>
              <w:rPr>
                <w:rFonts w:hint="eastAsia"/>
                <w:szCs w:val="24"/>
              </w:rPr>
              <w:t>1、建设内容</w:t>
            </w:r>
          </w:p>
          <w:p w14:paraId="0B552E2F">
            <w:pPr>
              <w:ind w:firstLine="482"/>
              <w:rPr>
                <w:szCs w:val="24"/>
              </w:rPr>
            </w:pPr>
            <w:r>
              <w:rPr>
                <w:rFonts w:hint="eastAsia"/>
                <w:b/>
                <w:bCs/>
                <w:szCs w:val="24"/>
              </w:rPr>
              <w:t>项目名称：</w:t>
            </w:r>
            <w:r>
              <w:rPr>
                <w:szCs w:val="24"/>
              </w:rPr>
              <w:t>80万吨</w:t>
            </w:r>
            <w:r>
              <w:rPr>
                <w:rFonts w:hint="eastAsia"/>
                <w:szCs w:val="24"/>
              </w:rPr>
              <w:t>/</w:t>
            </w:r>
            <w:r>
              <w:rPr>
                <w:szCs w:val="24"/>
              </w:rPr>
              <w:t>年生物质集中供热项目</w:t>
            </w:r>
          </w:p>
          <w:p w14:paraId="5DD97E70">
            <w:pPr>
              <w:ind w:firstLine="482"/>
              <w:rPr>
                <w:szCs w:val="24"/>
              </w:rPr>
            </w:pPr>
            <w:r>
              <w:rPr>
                <w:rFonts w:hint="eastAsia"/>
                <w:b/>
                <w:bCs/>
                <w:szCs w:val="24"/>
              </w:rPr>
              <w:t>建设性质：</w:t>
            </w:r>
            <w:r>
              <w:rPr>
                <w:rFonts w:hint="eastAsia"/>
                <w:szCs w:val="24"/>
              </w:rPr>
              <w:t>新建</w:t>
            </w:r>
          </w:p>
          <w:p w14:paraId="7BD485D2">
            <w:pPr>
              <w:ind w:firstLine="482"/>
              <w:rPr>
                <w:szCs w:val="24"/>
              </w:rPr>
            </w:pPr>
            <w:r>
              <w:rPr>
                <w:rFonts w:hint="eastAsia"/>
                <w:b/>
                <w:bCs/>
                <w:szCs w:val="24"/>
              </w:rPr>
              <w:t>建设单位：</w:t>
            </w:r>
            <w:r>
              <w:rPr>
                <w:rFonts w:hint="eastAsia"/>
                <w:bCs/>
              </w:rPr>
              <w:t>四川亿昂洋新能源科技有限公司</w:t>
            </w:r>
          </w:p>
          <w:p w14:paraId="231EC227">
            <w:pPr>
              <w:ind w:firstLine="482"/>
              <w:rPr>
                <w:szCs w:val="24"/>
              </w:rPr>
            </w:pPr>
            <w:r>
              <w:rPr>
                <w:rFonts w:hint="eastAsia"/>
                <w:b/>
                <w:bCs/>
                <w:szCs w:val="24"/>
              </w:rPr>
              <w:t>建设内容：</w:t>
            </w:r>
            <w:r>
              <w:rPr>
                <w:rFonts w:hint="eastAsia"/>
                <w:szCs w:val="24"/>
              </w:rPr>
              <w:t>本项目拟建</w:t>
            </w:r>
            <w:r>
              <w:rPr>
                <w:szCs w:val="24"/>
              </w:rPr>
              <w:t>35t/h</w:t>
            </w:r>
            <w:r>
              <w:rPr>
                <w:rFonts w:hint="eastAsia"/>
                <w:szCs w:val="24"/>
              </w:rPr>
              <w:t>生物质燃气专用蒸汽锅炉</w:t>
            </w:r>
            <w:r>
              <w:rPr>
                <w:szCs w:val="24"/>
              </w:rPr>
              <w:t>4</w:t>
            </w:r>
            <w:r>
              <w:rPr>
                <w:rFonts w:hint="eastAsia"/>
                <w:szCs w:val="24"/>
              </w:rPr>
              <w:t>台，并配套生物气质化炉</w:t>
            </w:r>
            <w:r>
              <w:rPr>
                <w:szCs w:val="24"/>
              </w:rPr>
              <w:t>5</w:t>
            </w:r>
            <w:r>
              <w:rPr>
                <w:rFonts w:hint="eastAsia"/>
                <w:szCs w:val="24"/>
              </w:rPr>
              <w:t>台（</w:t>
            </w:r>
            <w:r>
              <w:rPr>
                <w:szCs w:val="24"/>
              </w:rPr>
              <w:t>4</w:t>
            </w:r>
            <w:r>
              <w:rPr>
                <w:rFonts w:hint="eastAsia"/>
                <w:szCs w:val="24"/>
              </w:rPr>
              <w:t>用</w:t>
            </w:r>
            <w:r>
              <w:rPr>
                <w:szCs w:val="24"/>
              </w:rPr>
              <w:t>1</w:t>
            </w:r>
            <w:r>
              <w:rPr>
                <w:rFonts w:hint="eastAsia"/>
                <w:szCs w:val="24"/>
              </w:rPr>
              <w:t>备）。总产能为年产蒸汽80万吨，旨在全面覆盖并满足大英工业园区内企业的热力需求。</w:t>
            </w:r>
          </w:p>
          <w:p w14:paraId="6E0B0531">
            <w:pPr>
              <w:ind w:firstLine="480"/>
            </w:pPr>
            <w:r>
              <w:t>2</w:t>
            </w:r>
            <w:r>
              <w:rPr>
                <w:rFonts w:hint="eastAsia"/>
              </w:rPr>
              <w:t>、产品方案</w:t>
            </w:r>
          </w:p>
          <w:p w14:paraId="37D31D64">
            <w:pPr>
              <w:ind w:firstLine="480"/>
            </w:pPr>
            <w:r>
              <w:rPr>
                <w:rFonts w:hint="eastAsia"/>
              </w:rPr>
              <w:t>（</w:t>
            </w:r>
            <w:r>
              <w:t>1</w:t>
            </w:r>
            <w:r>
              <w:rPr>
                <w:rFonts w:hint="eastAsia"/>
              </w:rPr>
              <w:t>）供热范围：</w:t>
            </w:r>
            <w:r>
              <w:rPr>
                <w:rFonts w:hint="eastAsia"/>
                <w:szCs w:val="24"/>
              </w:rPr>
              <w:t>大英工业园区内有热力需求的企业。</w:t>
            </w:r>
          </w:p>
          <w:p w14:paraId="391B5115">
            <w:pPr>
              <w:ind w:firstLine="480"/>
            </w:pPr>
            <w:r>
              <w:rPr>
                <w:rFonts w:hint="eastAsia"/>
              </w:rPr>
              <w:t>（</w:t>
            </w:r>
            <w:r>
              <w:t>2</w:t>
            </w:r>
            <w:r>
              <w:rPr>
                <w:rFonts w:hint="eastAsia"/>
              </w:rPr>
              <w:t>）供热量：</w:t>
            </w:r>
            <w:r>
              <w:rPr>
                <w:rFonts w:hint="eastAsia"/>
                <w:szCs w:val="24"/>
              </w:rPr>
              <w:t>年产蒸汽</w:t>
            </w:r>
            <w:r>
              <w:rPr>
                <w:szCs w:val="24"/>
              </w:rPr>
              <w:t>80</w:t>
            </w:r>
            <w:r>
              <w:rPr>
                <w:rFonts w:hint="eastAsia"/>
                <w:szCs w:val="24"/>
              </w:rPr>
              <w:t>万吨</w:t>
            </w:r>
          </w:p>
          <w:p w14:paraId="68025E9B">
            <w:pPr>
              <w:ind w:firstLine="480"/>
            </w:pPr>
            <w:r>
              <w:rPr>
                <w:rFonts w:hint="eastAsia"/>
              </w:rPr>
              <w:t>（</w:t>
            </w:r>
            <w:r>
              <w:t>3</w:t>
            </w:r>
            <w:r>
              <w:rPr>
                <w:rFonts w:hint="eastAsia"/>
              </w:rPr>
              <w:t>）供热方式：管道蒸汽供热。</w:t>
            </w:r>
          </w:p>
          <w:p w14:paraId="3DF44131">
            <w:pPr>
              <w:ind w:firstLine="480"/>
            </w:pPr>
            <w:r>
              <w:rPr>
                <w:rFonts w:hint="eastAsia"/>
              </w:rPr>
              <w:t>3、项目组成</w:t>
            </w:r>
          </w:p>
          <w:p w14:paraId="5E75C952">
            <w:pPr>
              <w:ind w:firstLine="480"/>
            </w:pPr>
            <w:r>
              <w:rPr>
                <w:rFonts w:hint="eastAsia"/>
              </w:rPr>
              <w:t>项目组成及主要环境问题见表2-1。</w:t>
            </w:r>
          </w:p>
          <w:p w14:paraId="67B9246E">
            <w:pPr>
              <w:pStyle w:val="29"/>
            </w:pPr>
            <w:r>
              <w:rPr>
                <w:rFonts w:hint="eastAsia"/>
              </w:rPr>
              <w:t xml:space="preserve">  项目组成及主要环境问题</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468"/>
              <w:gridCol w:w="873"/>
              <w:gridCol w:w="3852"/>
              <w:gridCol w:w="764"/>
              <w:gridCol w:w="1298"/>
            </w:tblGrid>
            <w:tr w14:paraId="05AC2B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tcMar>
                    <w:left w:w="28" w:type="dxa"/>
                    <w:right w:w="28" w:type="dxa"/>
                  </w:tcMar>
                  <w:vAlign w:val="center"/>
                </w:tcPr>
                <w:p w14:paraId="44B78167">
                  <w:pPr>
                    <w:pStyle w:val="31"/>
                    <w:rPr>
                      <w:b/>
                      <w:bCs/>
                    </w:rPr>
                  </w:pPr>
                  <w:bookmarkStart w:id="7" w:name="_Hlk175754360"/>
                  <w:r>
                    <w:rPr>
                      <w:b/>
                      <w:bCs/>
                    </w:rPr>
                    <w:t>类别</w:t>
                  </w:r>
                </w:p>
              </w:tc>
              <w:tc>
                <w:tcPr>
                  <w:tcW w:w="837" w:type="pct"/>
                  <w:gridSpan w:val="2"/>
                  <w:vMerge w:val="restart"/>
                  <w:tcMar>
                    <w:left w:w="28" w:type="dxa"/>
                    <w:right w:w="28" w:type="dxa"/>
                  </w:tcMar>
                  <w:vAlign w:val="center"/>
                </w:tcPr>
                <w:p w14:paraId="4EEC2668">
                  <w:pPr>
                    <w:pStyle w:val="31"/>
                    <w:rPr>
                      <w:b/>
                      <w:bCs/>
                    </w:rPr>
                  </w:pPr>
                  <w:r>
                    <w:rPr>
                      <w:b/>
                      <w:bCs/>
                    </w:rPr>
                    <w:t>名称</w:t>
                  </w:r>
                </w:p>
              </w:tc>
              <w:tc>
                <w:tcPr>
                  <w:tcW w:w="2405" w:type="pct"/>
                  <w:vMerge w:val="restart"/>
                  <w:tcMar>
                    <w:left w:w="28" w:type="dxa"/>
                    <w:right w:w="28" w:type="dxa"/>
                  </w:tcMar>
                  <w:vAlign w:val="center"/>
                </w:tcPr>
                <w:p w14:paraId="548A4364">
                  <w:pPr>
                    <w:pStyle w:val="31"/>
                    <w:rPr>
                      <w:b/>
                      <w:bCs/>
                    </w:rPr>
                  </w:pPr>
                  <w:r>
                    <w:rPr>
                      <w:b/>
                      <w:bCs/>
                    </w:rPr>
                    <w:t>建设内容及规模</w:t>
                  </w:r>
                </w:p>
              </w:tc>
              <w:tc>
                <w:tcPr>
                  <w:tcW w:w="1287" w:type="pct"/>
                  <w:gridSpan w:val="2"/>
                  <w:tcMar>
                    <w:left w:w="28" w:type="dxa"/>
                    <w:right w:w="28" w:type="dxa"/>
                  </w:tcMar>
                  <w:vAlign w:val="center"/>
                </w:tcPr>
                <w:p w14:paraId="57482479">
                  <w:pPr>
                    <w:pStyle w:val="31"/>
                    <w:rPr>
                      <w:b/>
                      <w:bCs/>
                    </w:rPr>
                  </w:pPr>
                  <w:r>
                    <w:rPr>
                      <w:b/>
                      <w:bCs/>
                    </w:rPr>
                    <w:t>主要环境问题</w:t>
                  </w:r>
                </w:p>
              </w:tc>
            </w:tr>
            <w:tr w14:paraId="3E31CB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3905C752">
                  <w:pPr>
                    <w:pStyle w:val="31"/>
                    <w:rPr>
                      <w:b/>
                      <w:bCs/>
                    </w:rPr>
                  </w:pPr>
                </w:p>
              </w:tc>
              <w:tc>
                <w:tcPr>
                  <w:tcW w:w="837" w:type="pct"/>
                  <w:gridSpan w:val="2"/>
                  <w:vMerge w:val="continue"/>
                  <w:tcMar>
                    <w:left w:w="28" w:type="dxa"/>
                    <w:right w:w="28" w:type="dxa"/>
                  </w:tcMar>
                  <w:vAlign w:val="center"/>
                </w:tcPr>
                <w:p w14:paraId="2DBC5DEC">
                  <w:pPr>
                    <w:pStyle w:val="31"/>
                    <w:rPr>
                      <w:b/>
                      <w:bCs/>
                    </w:rPr>
                  </w:pPr>
                </w:p>
              </w:tc>
              <w:tc>
                <w:tcPr>
                  <w:tcW w:w="2405" w:type="pct"/>
                  <w:vMerge w:val="continue"/>
                  <w:tcMar>
                    <w:left w:w="28" w:type="dxa"/>
                    <w:right w:w="28" w:type="dxa"/>
                  </w:tcMar>
                  <w:vAlign w:val="center"/>
                </w:tcPr>
                <w:p w14:paraId="2E6BE500">
                  <w:pPr>
                    <w:pStyle w:val="31"/>
                    <w:rPr>
                      <w:b/>
                      <w:bCs/>
                    </w:rPr>
                  </w:pPr>
                </w:p>
              </w:tc>
              <w:tc>
                <w:tcPr>
                  <w:tcW w:w="477" w:type="pct"/>
                  <w:tcMar>
                    <w:left w:w="28" w:type="dxa"/>
                    <w:right w:w="28" w:type="dxa"/>
                  </w:tcMar>
                  <w:vAlign w:val="center"/>
                </w:tcPr>
                <w:p w14:paraId="7C3D08AA">
                  <w:pPr>
                    <w:pStyle w:val="31"/>
                    <w:rPr>
                      <w:b/>
                      <w:bCs/>
                    </w:rPr>
                  </w:pPr>
                  <w:r>
                    <w:rPr>
                      <w:b/>
                      <w:bCs/>
                    </w:rPr>
                    <w:t>建设期</w:t>
                  </w:r>
                </w:p>
              </w:tc>
              <w:tc>
                <w:tcPr>
                  <w:tcW w:w="810" w:type="pct"/>
                  <w:tcMar>
                    <w:left w:w="28" w:type="dxa"/>
                    <w:right w:w="28" w:type="dxa"/>
                  </w:tcMar>
                  <w:vAlign w:val="center"/>
                </w:tcPr>
                <w:p w14:paraId="4C824F87">
                  <w:pPr>
                    <w:pStyle w:val="31"/>
                    <w:rPr>
                      <w:b/>
                      <w:bCs/>
                    </w:rPr>
                  </w:pPr>
                  <w:r>
                    <w:rPr>
                      <w:b/>
                      <w:bCs/>
                    </w:rPr>
                    <w:t>营运期</w:t>
                  </w:r>
                </w:p>
              </w:tc>
            </w:tr>
            <w:tr w14:paraId="17E495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tcMar>
                    <w:left w:w="28" w:type="dxa"/>
                    <w:right w:w="28" w:type="dxa"/>
                  </w:tcMar>
                  <w:vAlign w:val="center"/>
                </w:tcPr>
                <w:p w14:paraId="176933CB">
                  <w:pPr>
                    <w:pStyle w:val="31"/>
                  </w:pPr>
                  <w:r>
                    <w:t>主体工程</w:t>
                  </w:r>
                </w:p>
              </w:tc>
              <w:tc>
                <w:tcPr>
                  <w:tcW w:w="837" w:type="pct"/>
                  <w:gridSpan w:val="2"/>
                  <w:tcMar>
                    <w:left w:w="28" w:type="dxa"/>
                    <w:right w:w="28" w:type="dxa"/>
                  </w:tcMar>
                  <w:vAlign w:val="center"/>
                </w:tcPr>
                <w:p w14:paraId="39F4AD6A">
                  <w:pPr>
                    <w:pStyle w:val="31"/>
                  </w:pPr>
                  <w:r>
                    <w:rPr>
                      <w:rFonts w:hint="eastAsia"/>
                    </w:rPr>
                    <w:t>锅炉房</w:t>
                  </w:r>
                </w:p>
              </w:tc>
              <w:tc>
                <w:tcPr>
                  <w:tcW w:w="2405" w:type="pct"/>
                  <w:tcMar>
                    <w:left w:w="28" w:type="dxa"/>
                    <w:right w:w="28" w:type="dxa"/>
                  </w:tcMar>
                  <w:vAlign w:val="center"/>
                </w:tcPr>
                <w:p w14:paraId="7AAD9DF6">
                  <w:pPr>
                    <w:pStyle w:val="31"/>
                    <w:jc w:val="both"/>
                  </w:pPr>
                  <w:r>
                    <w:rPr>
                      <w:rFonts w:hint="eastAsia"/>
                    </w:rPr>
                    <w:t>1F，H=19.55m，占地面积2579.50m</w:t>
                  </w:r>
                  <w:r>
                    <w:rPr>
                      <w:rFonts w:hint="eastAsia"/>
                      <w:vertAlign w:val="superscript"/>
                    </w:rPr>
                    <w:t>2</w:t>
                  </w:r>
                  <w:r>
                    <w:rPr>
                      <w:rFonts w:hint="eastAsia"/>
                    </w:rPr>
                    <w:t>，内设35t/h锅炉4套和生物气质化炉5套</w:t>
                  </w:r>
                  <w:r>
                    <w:rPr>
                      <w:rFonts w:hint="eastAsia"/>
                      <w:szCs w:val="24"/>
                    </w:rPr>
                    <w:t>（</w:t>
                  </w:r>
                  <w:r>
                    <w:rPr>
                      <w:szCs w:val="24"/>
                    </w:rPr>
                    <w:t>4</w:t>
                  </w:r>
                  <w:r>
                    <w:rPr>
                      <w:rFonts w:hint="eastAsia"/>
                      <w:szCs w:val="24"/>
                    </w:rPr>
                    <w:t>用</w:t>
                  </w:r>
                  <w:r>
                    <w:rPr>
                      <w:szCs w:val="24"/>
                    </w:rPr>
                    <w:t>1</w:t>
                  </w:r>
                  <w:r>
                    <w:rPr>
                      <w:rFonts w:hint="eastAsia"/>
                      <w:szCs w:val="24"/>
                    </w:rPr>
                    <w:t>备）</w:t>
                  </w:r>
                  <w:r>
                    <w:rPr>
                      <w:rFonts w:hint="eastAsia"/>
                    </w:rPr>
                    <w:t>。</w:t>
                  </w:r>
                </w:p>
              </w:tc>
              <w:tc>
                <w:tcPr>
                  <w:tcW w:w="477" w:type="pct"/>
                  <w:vMerge w:val="restart"/>
                  <w:tcMar>
                    <w:left w:w="28" w:type="dxa"/>
                    <w:right w:w="28" w:type="dxa"/>
                  </w:tcMar>
                  <w:vAlign w:val="center"/>
                </w:tcPr>
                <w:p w14:paraId="7191DA21">
                  <w:pPr>
                    <w:pStyle w:val="31"/>
                    <w:jc w:val="both"/>
                  </w:pPr>
                  <w:r>
                    <w:rPr>
                      <w:rFonts w:hint="eastAsia"/>
                    </w:rPr>
                    <w:t>废气、废水、噪声、固废</w:t>
                  </w:r>
                </w:p>
              </w:tc>
              <w:tc>
                <w:tcPr>
                  <w:tcW w:w="810" w:type="pct"/>
                  <w:tcMar>
                    <w:left w:w="28" w:type="dxa"/>
                    <w:right w:w="28" w:type="dxa"/>
                  </w:tcMar>
                  <w:vAlign w:val="center"/>
                </w:tcPr>
                <w:p w14:paraId="036A1642">
                  <w:pPr>
                    <w:pStyle w:val="31"/>
                    <w:jc w:val="both"/>
                  </w:pPr>
                  <w:r>
                    <w:rPr>
                      <w:rFonts w:hint="eastAsia"/>
                    </w:rPr>
                    <w:t>废气、废水、噪声、固废</w:t>
                  </w:r>
                </w:p>
              </w:tc>
            </w:tr>
            <w:tr w14:paraId="228E34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tcMar>
                    <w:left w:w="28" w:type="dxa"/>
                    <w:right w:w="28" w:type="dxa"/>
                  </w:tcMar>
                  <w:vAlign w:val="center"/>
                </w:tcPr>
                <w:p w14:paraId="374C148E">
                  <w:pPr>
                    <w:pStyle w:val="31"/>
                  </w:pPr>
                  <w:r>
                    <w:t>辅助工程</w:t>
                  </w:r>
                </w:p>
              </w:tc>
              <w:tc>
                <w:tcPr>
                  <w:tcW w:w="837" w:type="pct"/>
                  <w:gridSpan w:val="2"/>
                  <w:tcMar>
                    <w:left w:w="28" w:type="dxa"/>
                    <w:right w:w="28" w:type="dxa"/>
                  </w:tcMar>
                  <w:vAlign w:val="center"/>
                </w:tcPr>
                <w:p w14:paraId="7CBD5CBB">
                  <w:pPr>
                    <w:pStyle w:val="31"/>
                  </w:pPr>
                  <w:r>
                    <w:rPr>
                      <w:rFonts w:hint="eastAsia"/>
                    </w:rPr>
                    <w:t>1#材料仓库</w:t>
                  </w:r>
                </w:p>
              </w:tc>
              <w:tc>
                <w:tcPr>
                  <w:tcW w:w="2405" w:type="pct"/>
                  <w:tcMar>
                    <w:left w:w="28" w:type="dxa"/>
                    <w:right w:w="28" w:type="dxa"/>
                  </w:tcMar>
                  <w:vAlign w:val="center"/>
                </w:tcPr>
                <w:p w14:paraId="079B6746">
                  <w:pPr>
                    <w:pStyle w:val="31"/>
                    <w:jc w:val="both"/>
                  </w:pPr>
                  <w:r>
                    <w:rPr>
                      <w:rFonts w:hint="eastAsia"/>
                    </w:rPr>
                    <w:t>1F，H=9.45m，占地面积2627.11m</w:t>
                  </w:r>
                  <w:r>
                    <w:rPr>
                      <w:rFonts w:hint="eastAsia"/>
                      <w:vertAlign w:val="superscript"/>
                    </w:rPr>
                    <w:t>2</w:t>
                  </w:r>
                  <w:r>
                    <w:rPr>
                      <w:rFonts w:hint="eastAsia"/>
                    </w:rPr>
                    <w:t>，用于原材料堆放。</w:t>
                  </w:r>
                </w:p>
              </w:tc>
              <w:tc>
                <w:tcPr>
                  <w:tcW w:w="477" w:type="pct"/>
                  <w:vMerge w:val="continue"/>
                  <w:tcMar>
                    <w:left w:w="28" w:type="dxa"/>
                    <w:right w:w="28" w:type="dxa"/>
                  </w:tcMar>
                  <w:vAlign w:val="center"/>
                </w:tcPr>
                <w:p w14:paraId="6FD5AD49">
                  <w:pPr>
                    <w:pStyle w:val="31"/>
                  </w:pPr>
                </w:p>
              </w:tc>
              <w:tc>
                <w:tcPr>
                  <w:tcW w:w="810" w:type="pct"/>
                  <w:tcMar>
                    <w:left w:w="28" w:type="dxa"/>
                    <w:right w:w="28" w:type="dxa"/>
                  </w:tcMar>
                  <w:vAlign w:val="center"/>
                </w:tcPr>
                <w:p w14:paraId="7365C6F2">
                  <w:pPr>
                    <w:pStyle w:val="31"/>
                  </w:pPr>
                  <w:r>
                    <w:rPr>
                      <w:rFonts w:hint="eastAsia"/>
                    </w:rPr>
                    <w:t>/</w:t>
                  </w:r>
                </w:p>
              </w:tc>
            </w:tr>
            <w:tr w14:paraId="0B9BF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448CF5FD">
                  <w:pPr>
                    <w:pStyle w:val="31"/>
                  </w:pPr>
                </w:p>
              </w:tc>
              <w:tc>
                <w:tcPr>
                  <w:tcW w:w="837" w:type="pct"/>
                  <w:gridSpan w:val="2"/>
                  <w:tcMar>
                    <w:left w:w="28" w:type="dxa"/>
                    <w:right w:w="28" w:type="dxa"/>
                  </w:tcMar>
                  <w:vAlign w:val="center"/>
                </w:tcPr>
                <w:p w14:paraId="6EC5D05C">
                  <w:pPr>
                    <w:pStyle w:val="31"/>
                  </w:pPr>
                  <w:r>
                    <w:rPr>
                      <w:rFonts w:hint="eastAsia"/>
                    </w:rPr>
                    <w:t>2#材料仓库</w:t>
                  </w:r>
                </w:p>
              </w:tc>
              <w:tc>
                <w:tcPr>
                  <w:tcW w:w="2405" w:type="pct"/>
                  <w:tcMar>
                    <w:left w:w="28" w:type="dxa"/>
                    <w:right w:w="28" w:type="dxa"/>
                  </w:tcMar>
                  <w:vAlign w:val="center"/>
                </w:tcPr>
                <w:p w14:paraId="35D75761">
                  <w:pPr>
                    <w:pStyle w:val="31"/>
                    <w:jc w:val="both"/>
                  </w:pPr>
                  <w:r>
                    <w:rPr>
                      <w:rFonts w:hint="eastAsia"/>
                    </w:rPr>
                    <w:t>1F，H=9.45m，占地面积1392.23m</w:t>
                  </w:r>
                  <w:r>
                    <w:rPr>
                      <w:rFonts w:hint="eastAsia"/>
                      <w:vertAlign w:val="superscript"/>
                    </w:rPr>
                    <w:t>2</w:t>
                  </w:r>
                  <w:r>
                    <w:rPr>
                      <w:rFonts w:hint="eastAsia"/>
                    </w:rPr>
                    <w:t>，用于原材料堆放。</w:t>
                  </w:r>
                </w:p>
              </w:tc>
              <w:tc>
                <w:tcPr>
                  <w:tcW w:w="477" w:type="pct"/>
                  <w:vMerge w:val="continue"/>
                  <w:tcMar>
                    <w:left w:w="28" w:type="dxa"/>
                    <w:right w:w="28" w:type="dxa"/>
                  </w:tcMar>
                  <w:vAlign w:val="center"/>
                </w:tcPr>
                <w:p w14:paraId="213FE4C1">
                  <w:pPr>
                    <w:pStyle w:val="31"/>
                  </w:pPr>
                </w:p>
              </w:tc>
              <w:tc>
                <w:tcPr>
                  <w:tcW w:w="810" w:type="pct"/>
                  <w:tcMar>
                    <w:left w:w="28" w:type="dxa"/>
                    <w:right w:w="28" w:type="dxa"/>
                  </w:tcMar>
                  <w:vAlign w:val="center"/>
                </w:tcPr>
                <w:p w14:paraId="2B3782A7">
                  <w:pPr>
                    <w:pStyle w:val="31"/>
                  </w:pPr>
                  <w:r>
                    <w:rPr>
                      <w:rFonts w:hint="eastAsia"/>
                    </w:rPr>
                    <w:t>/</w:t>
                  </w:r>
                </w:p>
              </w:tc>
            </w:tr>
            <w:tr w14:paraId="5D89C1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7AA6ED74">
                  <w:pPr>
                    <w:pStyle w:val="31"/>
                  </w:pPr>
                </w:p>
              </w:tc>
              <w:tc>
                <w:tcPr>
                  <w:tcW w:w="837" w:type="pct"/>
                  <w:gridSpan w:val="2"/>
                  <w:tcMar>
                    <w:left w:w="28" w:type="dxa"/>
                    <w:right w:w="28" w:type="dxa"/>
                  </w:tcMar>
                  <w:vAlign w:val="center"/>
                </w:tcPr>
                <w:p w14:paraId="70F06E4E">
                  <w:pPr>
                    <w:pStyle w:val="31"/>
                  </w:pPr>
                  <w:r>
                    <w:rPr>
                      <w:rFonts w:hint="eastAsia"/>
                    </w:rPr>
                    <w:t>一体化消防站</w:t>
                  </w:r>
                </w:p>
              </w:tc>
              <w:tc>
                <w:tcPr>
                  <w:tcW w:w="2405" w:type="pct"/>
                  <w:tcMar>
                    <w:left w:w="28" w:type="dxa"/>
                    <w:right w:w="28" w:type="dxa"/>
                  </w:tcMar>
                  <w:vAlign w:val="center"/>
                </w:tcPr>
                <w:p w14:paraId="52C48738">
                  <w:pPr>
                    <w:pStyle w:val="31"/>
                    <w:jc w:val="both"/>
                  </w:pPr>
                  <w:r>
                    <w:rPr>
                      <w:rFonts w:hint="eastAsia"/>
                    </w:rPr>
                    <w:t>1F，H=3.3m，占地面积270m</w:t>
                  </w:r>
                  <w:r>
                    <w:rPr>
                      <w:rFonts w:hint="eastAsia"/>
                      <w:vertAlign w:val="superscript"/>
                    </w:rPr>
                    <w:t>2</w:t>
                  </w:r>
                  <w:r>
                    <w:rPr>
                      <w:rFonts w:hint="eastAsia"/>
                    </w:rPr>
                    <w:t>，设有1个890m</w:t>
                  </w:r>
                  <w:r>
                    <w:rPr>
                      <w:rFonts w:hint="eastAsia"/>
                      <w:vertAlign w:val="superscript"/>
                    </w:rPr>
                    <w:t>3</w:t>
                  </w:r>
                  <w:r>
                    <w:rPr>
                      <w:rFonts w:hint="eastAsia"/>
                    </w:rPr>
                    <w:t>消防水池，以及其他消防器材。</w:t>
                  </w:r>
                </w:p>
              </w:tc>
              <w:tc>
                <w:tcPr>
                  <w:tcW w:w="477" w:type="pct"/>
                  <w:vMerge w:val="continue"/>
                  <w:tcMar>
                    <w:left w:w="28" w:type="dxa"/>
                    <w:right w:w="28" w:type="dxa"/>
                  </w:tcMar>
                  <w:vAlign w:val="center"/>
                </w:tcPr>
                <w:p w14:paraId="588443F0">
                  <w:pPr>
                    <w:pStyle w:val="31"/>
                  </w:pPr>
                </w:p>
              </w:tc>
              <w:tc>
                <w:tcPr>
                  <w:tcW w:w="810" w:type="pct"/>
                  <w:tcMar>
                    <w:left w:w="28" w:type="dxa"/>
                    <w:right w:w="28" w:type="dxa"/>
                  </w:tcMar>
                  <w:vAlign w:val="center"/>
                </w:tcPr>
                <w:p w14:paraId="652F2ACC">
                  <w:pPr>
                    <w:pStyle w:val="31"/>
                  </w:pPr>
                  <w:r>
                    <w:rPr>
                      <w:rFonts w:hint="eastAsia"/>
                    </w:rPr>
                    <w:t>/</w:t>
                  </w:r>
                </w:p>
              </w:tc>
            </w:tr>
            <w:tr w14:paraId="2FEC9D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tcMar>
                    <w:left w:w="28" w:type="dxa"/>
                    <w:right w:w="28" w:type="dxa"/>
                  </w:tcMar>
                  <w:vAlign w:val="center"/>
                </w:tcPr>
                <w:p w14:paraId="08CE7354">
                  <w:pPr>
                    <w:pStyle w:val="31"/>
                  </w:pPr>
                  <w:r>
                    <w:t>公用工程</w:t>
                  </w:r>
                </w:p>
              </w:tc>
              <w:tc>
                <w:tcPr>
                  <w:tcW w:w="837" w:type="pct"/>
                  <w:gridSpan w:val="2"/>
                  <w:tcMar>
                    <w:left w:w="28" w:type="dxa"/>
                    <w:right w:w="28" w:type="dxa"/>
                  </w:tcMar>
                  <w:vAlign w:val="center"/>
                </w:tcPr>
                <w:p w14:paraId="732B133D">
                  <w:pPr>
                    <w:pStyle w:val="31"/>
                  </w:pPr>
                  <w:r>
                    <w:rPr>
                      <w:rFonts w:hint="eastAsia"/>
                    </w:rPr>
                    <w:t>供电</w:t>
                  </w:r>
                </w:p>
              </w:tc>
              <w:tc>
                <w:tcPr>
                  <w:tcW w:w="2405" w:type="pct"/>
                  <w:tcMar>
                    <w:left w:w="28" w:type="dxa"/>
                    <w:right w:w="28" w:type="dxa"/>
                  </w:tcMar>
                  <w:vAlign w:val="center"/>
                </w:tcPr>
                <w:p w14:paraId="568DEE10">
                  <w:pPr>
                    <w:pStyle w:val="31"/>
                  </w:pPr>
                  <w:r>
                    <w:rPr>
                      <w:rFonts w:hint="eastAsia"/>
                    </w:rPr>
                    <w:t>市政供电</w:t>
                  </w:r>
                </w:p>
              </w:tc>
              <w:tc>
                <w:tcPr>
                  <w:tcW w:w="477" w:type="pct"/>
                  <w:vMerge w:val="continue"/>
                  <w:tcMar>
                    <w:left w:w="28" w:type="dxa"/>
                    <w:right w:w="28" w:type="dxa"/>
                  </w:tcMar>
                  <w:vAlign w:val="center"/>
                </w:tcPr>
                <w:p w14:paraId="1DF2D307">
                  <w:pPr>
                    <w:pStyle w:val="31"/>
                  </w:pPr>
                </w:p>
              </w:tc>
              <w:tc>
                <w:tcPr>
                  <w:tcW w:w="810" w:type="pct"/>
                  <w:tcMar>
                    <w:left w:w="28" w:type="dxa"/>
                    <w:right w:w="28" w:type="dxa"/>
                  </w:tcMar>
                  <w:vAlign w:val="center"/>
                </w:tcPr>
                <w:p w14:paraId="079666A6">
                  <w:pPr>
                    <w:pStyle w:val="31"/>
                  </w:pPr>
                  <w:r>
                    <w:rPr>
                      <w:rFonts w:hint="eastAsia"/>
                    </w:rPr>
                    <w:t>/</w:t>
                  </w:r>
                </w:p>
              </w:tc>
            </w:tr>
            <w:tr w14:paraId="3B42C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23550F59">
                  <w:pPr>
                    <w:pStyle w:val="31"/>
                  </w:pPr>
                </w:p>
              </w:tc>
              <w:tc>
                <w:tcPr>
                  <w:tcW w:w="837" w:type="pct"/>
                  <w:gridSpan w:val="2"/>
                  <w:tcMar>
                    <w:left w:w="28" w:type="dxa"/>
                    <w:right w:w="28" w:type="dxa"/>
                  </w:tcMar>
                  <w:vAlign w:val="center"/>
                </w:tcPr>
                <w:p w14:paraId="113A95B0">
                  <w:pPr>
                    <w:pStyle w:val="31"/>
                  </w:pPr>
                  <w:r>
                    <w:rPr>
                      <w:rFonts w:hint="eastAsia"/>
                    </w:rPr>
                    <w:t>供水</w:t>
                  </w:r>
                </w:p>
              </w:tc>
              <w:tc>
                <w:tcPr>
                  <w:tcW w:w="2405" w:type="pct"/>
                  <w:tcMar>
                    <w:left w:w="28" w:type="dxa"/>
                    <w:right w:w="28" w:type="dxa"/>
                  </w:tcMar>
                  <w:vAlign w:val="center"/>
                </w:tcPr>
                <w:p w14:paraId="0F8D37F0">
                  <w:pPr>
                    <w:pStyle w:val="31"/>
                  </w:pPr>
                  <w:r>
                    <w:rPr>
                      <w:rFonts w:hint="eastAsia"/>
                    </w:rPr>
                    <w:t>市政供水</w:t>
                  </w:r>
                </w:p>
              </w:tc>
              <w:tc>
                <w:tcPr>
                  <w:tcW w:w="477" w:type="pct"/>
                  <w:vMerge w:val="continue"/>
                  <w:tcMar>
                    <w:left w:w="28" w:type="dxa"/>
                    <w:right w:w="28" w:type="dxa"/>
                  </w:tcMar>
                  <w:vAlign w:val="center"/>
                </w:tcPr>
                <w:p w14:paraId="37A7B21A">
                  <w:pPr>
                    <w:pStyle w:val="31"/>
                  </w:pPr>
                </w:p>
              </w:tc>
              <w:tc>
                <w:tcPr>
                  <w:tcW w:w="810" w:type="pct"/>
                  <w:tcMar>
                    <w:left w:w="28" w:type="dxa"/>
                    <w:right w:w="28" w:type="dxa"/>
                  </w:tcMar>
                  <w:vAlign w:val="center"/>
                </w:tcPr>
                <w:p w14:paraId="376866F6">
                  <w:pPr>
                    <w:pStyle w:val="31"/>
                  </w:pPr>
                  <w:r>
                    <w:rPr>
                      <w:rFonts w:hint="eastAsia"/>
                    </w:rPr>
                    <w:t>/</w:t>
                  </w:r>
                </w:p>
              </w:tc>
            </w:tr>
            <w:tr w14:paraId="5C986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0C7A4995">
                  <w:pPr>
                    <w:pStyle w:val="31"/>
                  </w:pPr>
                </w:p>
              </w:tc>
              <w:tc>
                <w:tcPr>
                  <w:tcW w:w="837" w:type="pct"/>
                  <w:gridSpan w:val="2"/>
                  <w:tcMar>
                    <w:left w:w="28" w:type="dxa"/>
                    <w:right w:w="28" w:type="dxa"/>
                  </w:tcMar>
                  <w:vAlign w:val="center"/>
                </w:tcPr>
                <w:p w14:paraId="4A659BBD">
                  <w:pPr>
                    <w:pStyle w:val="31"/>
                  </w:pPr>
                  <w:r>
                    <w:rPr>
                      <w:rFonts w:hint="eastAsia"/>
                    </w:rPr>
                    <w:t>排水</w:t>
                  </w:r>
                </w:p>
              </w:tc>
              <w:tc>
                <w:tcPr>
                  <w:tcW w:w="2405" w:type="pct"/>
                  <w:tcMar>
                    <w:left w:w="28" w:type="dxa"/>
                    <w:right w:w="28" w:type="dxa"/>
                  </w:tcMar>
                  <w:vAlign w:val="center"/>
                </w:tcPr>
                <w:p w14:paraId="37148DDC">
                  <w:pPr>
                    <w:pStyle w:val="31"/>
                    <w:rPr>
                      <w:highlight w:val="yellow"/>
                    </w:rPr>
                  </w:pPr>
                  <w:r>
                    <w:rPr>
                      <w:rFonts w:hint="eastAsia"/>
                    </w:rPr>
                    <w:t>采用雨污分流制</w:t>
                  </w:r>
                </w:p>
              </w:tc>
              <w:tc>
                <w:tcPr>
                  <w:tcW w:w="477" w:type="pct"/>
                  <w:vMerge w:val="continue"/>
                  <w:tcMar>
                    <w:left w:w="28" w:type="dxa"/>
                    <w:right w:w="28" w:type="dxa"/>
                  </w:tcMar>
                  <w:vAlign w:val="center"/>
                </w:tcPr>
                <w:p w14:paraId="2A92EF7D">
                  <w:pPr>
                    <w:pStyle w:val="31"/>
                  </w:pPr>
                </w:p>
              </w:tc>
              <w:tc>
                <w:tcPr>
                  <w:tcW w:w="810" w:type="pct"/>
                  <w:tcMar>
                    <w:left w:w="28" w:type="dxa"/>
                    <w:right w:w="28" w:type="dxa"/>
                  </w:tcMar>
                  <w:vAlign w:val="center"/>
                </w:tcPr>
                <w:p w14:paraId="61FA5B96">
                  <w:pPr>
                    <w:pStyle w:val="31"/>
                  </w:pPr>
                  <w:r>
                    <w:rPr>
                      <w:rFonts w:hint="eastAsia"/>
                    </w:rPr>
                    <w:t>/</w:t>
                  </w:r>
                </w:p>
              </w:tc>
            </w:tr>
            <w:tr w14:paraId="7C4D5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tcMar>
                    <w:left w:w="28" w:type="dxa"/>
                    <w:right w:w="28" w:type="dxa"/>
                  </w:tcMar>
                  <w:vAlign w:val="center"/>
                </w:tcPr>
                <w:p w14:paraId="5DABBF9A">
                  <w:pPr>
                    <w:pStyle w:val="31"/>
                  </w:pPr>
                  <w:r>
                    <w:t>办公及生活设施</w:t>
                  </w:r>
                </w:p>
              </w:tc>
              <w:tc>
                <w:tcPr>
                  <w:tcW w:w="837" w:type="pct"/>
                  <w:gridSpan w:val="2"/>
                  <w:tcMar>
                    <w:left w:w="28" w:type="dxa"/>
                    <w:right w:w="28" w:type="dxa"/>
                  </w:tcMar>
                  <w:vAlign w:val="center"/>
                </w:tcPr>
                <w:p w14:paraId="20E25296">
                  <w:pPr>
                    <w:pStyle w:val="31"/>
                  </w:pPr>
                  <w:r>
                    <w:rPr>
                      <w:rFonts w:hint="eastAsia"/>
                    </w:rPr>
                    <w:t>门卫室</w:t>
                  </w:r>
                </w:p>
              </w:tc>
              <w:tc>
                <w:tcPr>
                  <w:tcW w:w="2405" w:type="pct"/>
                  <w:tcMar>
                    <w:left w:w="28" w:type="dxa"/>
                    <w:right w:w="28" w:type="dxa"/>
                  </w:tcMar>
                  <w:vAlign w:val="center"/>
                </w:tcPr>
                <w:p w14:paraId="2586FD97">
                  <w:pPr>
                    <w:pStyle w:val="31"/>
                  </w:pPr>
                  <w:r>
                    <w:rPr>
                      <w:rFonts w:hint="eastAsia"/>
                    </w:rPr>
                    <w:t>1F，H=3.75m，占地面积35.52m</w:t>
                  </w:r>
                  <w:r>
                    <w:rPr>
                      <w:rFonts w:hint="eastAsia"/>
                      <w:vertAlign w:val="superscript"/>
                    </w:rPr>
                    <w:t>2</w:t>
                  </w:r>
                  <w:r>
                    <w:rPr>
                      <w:rFonts w:hint="eastAsia"/>
                    </w:rPr>
                    <w:t>，</w:t>
                  </w:r>
                </w:p>
              </w:tc>
              <w:tc>
                <w:tcPr>
                  <w:tcW w:w="477" w:type="pct"/>
                  <w:vMerge w:val="continue"/>
                  <w:tcMar>
                    <w:left w:w="28" w:type="dxa"/>
                    <w:right w:w="28" w:type="dxa"/>
                  </w:tcMar>
                  <w:vAlign w:val="center"/>
                </w:tcPr>
                <w:p w14:paraId="46BB4D11">
                  <w:pPr>
                    <w:pStyle w:val="31"/>
                  </w:pPr>
                </w:p>
              </w:tc>
              <w:tc>
                <w:tcPr>
                  <w:tcW w:w="810" w:type="pct"/>
                  <w:tcMar>
                    <w:left w:w="28" w:type="dxa"/>
                    <w:right w:w="28" w:type="dxa"/>
                  </w:tcMar>
                  <w:vAlign w:val="center"/>
                </w:tcPr>
                <w:p w14:paraId="1A885C65">
                  <w:pPr>
                    <w:pStyle w:val="31"/>
                  </w:pPr>
                  <w:r>
                    <w:rPr>
                      <w:rFonts w:hint="eastAsia"/>
                    </w:rPr>
                    <w:t>固废、废水</w:t>
                  </w:r>
                </w:p>
              </w:tc>
            </w:tr>
            <w:tr w14:paraId="691C2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3D68A0D7">
                  <w:pPr>
                    <w:pStyle w:val="31"/>
                  </w:pPr>
                </w:p>
              </w:tc>
              <w:tc>
                <w:tcPr>
                  <w:tcW w:w="837" w:type="pct"/>
                  <w:gridSpan w:val="2"/>
                  <w:tcMar>
                    <w:left w:w="28" w:type="dxa"/>
                    <w:right w:w="28" w:type="dxa"/>
                  </w:tcMar>
                  <w:vAlign w:val="center"/>
                </w:tcPr>
                <w:p w14:paraId="71EF3FBB">
                  <w:pPr>
                    <w:pStyle w:val="31"/>
                  </w:pPr>
                  <w:r>
                    <w:rPr>
                      <w:rFonts w:hint="eastAsia"/>
                    </w:rPr>
                    <w:t>研发楼</w:t>
                  </w:r>
                </w:p>
              </w:tc>
              <w:tc>
                <w:tcPr>
                  <w:tcW w:w="2405" w:type="pct"/>
                  <w:tcMar>
                    <w:left w:w="28" w:type="dxa"/>
                    <w:right w:w="28" w:type="dxa"/>
                  </w:tcMar>
                  <w:vAlign w:val="center"/>
                </w:tcPr>
                <w:p w14:paraId="026CCACB">
                  <w:pPr>
                    <w:pStyle w:val="31"/>
                  </w:pPr>
                  <w:r>
                    <w:rPr>
                      <w:rFonts w:hint="eastAsia"/>
                    </w:rPr>
                    <w:t>位于主厂区外，西侧。3F，H=12.96m，为员工办公区域。</w:t>
                  </w:r>
                </w:p>
              </w:tc>
              <w:tc>
                <w:tcPr>
                  <w:tcW w:w="477" w:type="pct"/>
                  <w:vMerge w:val="continue"/>
                  <w:tcMar>
                    <w:left w:w="28" w:type="dxa"/>
                    <w:right w:w="28" w:type="dxa"/>
                  </w:tcMar>
                  <w:vAlign w:val="center"/>
                </w:tcPr>
                <w:p w14:paraId="22AC89EA">
                  <w:pPr>
                    <w:pStyle w:val="31"/>
                  </w:pPr>
                </w:p>
              </w:tc>
              <w:tc>
                <w:tcPr>
                  <w:tcW w:w="810" w:type="pct"/>
                  <w:tcMar>
                    <w:left w:w="28" w:type="dxa"/>
                    <w:right w:w="28" w:type="dxa"/>
                  </w:tcMar>
                  <w:vAlign w:val="center"/>
                </w:tcPr>
                <w:p w14:paraId="5033AA61">
                  <w:pPr>
                    <w:pStyle w:val="31"/>
                  </w:pPr>
                  <w:r>
                    <w:rPr>
                      <w:rFonts w:hint="eastAsia"/>
                    </w:rPr>
                    <w:t>固废、废水</w:t>
                  </w:r>
                </w:p>
              </w:tc>
            </w:tr>
            <w:tr w14:paraId="47F451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restart"/>
                  <w:tcMar>
                    <w:left w:w="28" w:type="dxa"/>
                    <w:right w:w="28" w:type="dxa"/>
                  </w:tcMar>
                  <w:vAlign w:val="center"/>
                </w:tcPr>
                <w:p w14:paraId="78821987">
                  <w:pPr>
                    <w:pStyle w:val="31"/>
                  </w:pPr>
                  <w:r>
                    <w:t>环保工程</w:t>
                  </w:r>
                </w:p>
              </w:tc>
              <w:tc>
                <w:tcPr>
                  <w:tcW w:w="837" w:type="pct"/>
                  <w:gridSpan w:val="2"/>
                  <w:tcMar>
                    <w:left w:w="28" w:type="dxa"/>
                    <w:right w:w="28" w:type="dxa"/>
                  </w:tcMar>
                  <w:vAlign w:val="center"/>
                </w:tcPr>
                <w:p w14:paraId="321A5079">
                  <w:pPr>
                    <w:pStyle w:val="31"/>
                  </w:pPr>
                  <w:r>
                    <w:t>废气治理</w:t>
                  </w:r>
                </w:p>
              </w:tc>
              <w:tc>
                <w:tcPr>
                  <w:tcW w:w="2405" w:type="pct"/>
                  <w:tcMar>
                    <w:left w:w="28" w:type="dxa"/>
                    <w:right w:w="28" w:type="dxa"/>
                  </w:tcMar>
                  <w:vAlign w:val="center"/>
                </w:tcPr>
                <w:p w14:paraId="368DF252">
                  <w:pPr>
                    <w:pStyle w:val="31"/>
                    <w:jc w:val="both"/>
                  </w:pPr>
                  <w:r>
                    <w:rPr>
                      <w:rFonts w:hint="eastAsia"/>
                      <w:szCs w:val="20"/>
                    </w:rPr>
                    <w:t>每台锅炉配套1套尾气处理装置（低氮燃烧+SCR脱硝+喷淋式水膜除尘器），</w:t>
                  </w:r>
                  <w:r>
                    <w:rPr>
                      <w:rFonts w:hint="eastAsia"/>
                      <w:b/>
                      <w:bCs/>
                      <w:szCs w:val="20"/>
                    </w:rPr>
                    <w:t>全厂共4套尾气处理装置</w:t>
                  </w:r>
                  <w:r>
                    <w:rPr>
                      <w:rFonts w:hint="eastAsia"/>
                      <w:szCs w:val="20"/>
                    </w:rPr>
                    <w:t>，每2套尾气处理装置共用1根26m高排气筒，</w:t>
                  </w:r>
                  <w:r>
                    <w:rPr>
                      <w:rFonts w:hint="eastAsia"/>
                      <w:b/>
                      <w:bCs/>
                      <w:szCs w:val="20"/>
                    </w:rPr>
                    <w:t>全厂共2根排气筒（DA001和DA002）</w:t>
                  </w:r>
                </w:p>
              </w:tc>
              <w:tc>
                <w:tcPr>
                  <w:tcW w:w="477" w:type="pct"/>
                  <w:vMerge w:val="continue"/>
                  <w:tcMar>
                    <w:left w:w="28" w:type="dxa"/>
                    <w:right w:w="28" w:type="dxa"/>
                  </w:tcMar>
                  <w:vAlign w:val="center"/>
                </w:tcPr>
                <w:p w14:paraId="7E960EC0">
                  <w:pPr>
                    <w:pStyle w:val="31"/>
                  </w:pPr>
                </w:p>
              </w:tc>
              <w:tc>
                <w:tcPr>
                  <w:tcW w:w="810" w:type="pct"/>
                  <w:tcMar>
                    <w:left w:w="28" w:type="dxa"/>
                    <w:right w:w="28" w:type="dxa"/>
                  </w:tcMar>
                  <w:vAlign w:val="center"/>
                </w:tcPr>
                <w:p w14:paraId="5DC0C938">
                  <w:pPr>
                    <w:pStyle w:val="31"/>
                  </w:pPr>
                  <w:r>
                    <w:rPr>
                      <w:rFonts w:hint="eastAsia"/>
                    </w:rPr>
                    <w:t>/</w:t>
                  </w:r>
                </w:p>
              </w:tc>
            </w:tr>
            <w:tr w14:paraId="074C58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02EFDAA9">
                  <w:pPr>
                    <w:pStyle w:val="31"/>
                  </w:pPr>
                </w:p>
              </w:tc>
              <w:tc>
                <w:tcPr>
                  <w:tcW w:w="837" w:type="pct"/>
                  <w:gridSpan w:val="2"/>
                  <w:tcMar>
                    <w:left w:w="28" w:type="dxa"/>
                    <w:right w:w="28" w:type="dxa"/>
                  </w:tcMar>
                  <w:vAlign w:val="center"/>
                </w:tcPr>
                <w:p w14:paraId="46A43E91">
                  <w:pPr>
                    <w:pStyle w:val="31"/>
                  </w:pPr>
                  <w:r>
                    <w:rPr>
                      <w:rFonts w:hint="eastAsia"/>
                    </w:rPr>
                    <w:t>废水治理</w:t>
                  </w:r>
                </w:p>
              </w:tc>
              <w:tc>
                <w:tcPr>
                  <w:tcW w:w="2405" w:type="pct"/>
                  <w:tcMar>
                    <w:left w:w="28" w:type="dxa"/>
                    <w:right w:w="28" w:type="dxa"/>
                  </w:tcMar>
                  <w:vAlign w:val="center"/>
                </w:tcPr>
                <w:p w14:paraId="26010ADC">
                  <w:pPr>
                    <w:spacing w:line="240" w:lineRule="auto"/>
                    <w:ind w:firstLine="0" w:firstLineChars="0"/>
                    <w:rPr>
                      <w:sz w:val="21"/>
                      <w:szCs w:val="20"/>
                    </w:rPr>
                  </w:pPr>
                  <w:r>
                    <w:rPr>
                      <w:rFonts w:hint="eastAsia"/>
                      <w:sz w:val="21"/>
                      <w:szCs w:val="20"/>
                    </w:rPr>
                    <w:t>①生活污水经预处理池（6m</w:t>
                  </w:r>
                  <w:r>
                    <w:rPr>
                      <w:rFonts w:hint="eastAsia"/>
                      <w:sz w:val="21"/>
                      <w:szCs w:val="20"/>
                      <w:vertAlign w:val="superscript"/>
                    </w:rPr>
                    <w:t>3</w:t>
                  </w:r>
                  <w:r>
                    <w:rPr>
                      <w:rFonts w:hint="eastAsia"/>
                      <w:sz w:val="21"/>
                      <w:szCs w:val="20"/>
                    </w:rPr>
                    <w:t>）处理后进入市政污水管网，再进入大英经济开发区污水处理厂，最终排入郪江。</w:t>
                  </w:r>
                </w:p>
                <w:p w14:paraId="110A5DA9">
                  <w:pPr>
                    <w:spacing w:line="240" w:lineRule="auto"/>
                    <w:ind w:firstLine="0" w:firstLineChars="0"/>
                    <w:rPr>
                      <w:sz w:val="21"/>
                      <w:szCs w:val="20"/>
                    </w:rPr>
                  </w:pPr>
                  <w:r>
                    <w:rPr>
                      <w:rFonts w:hint="eastAsia"/>
                      <w:sz w:val="21"/>
                      <w:szCs w:val="20"/>
                    </w:rPr>
                    <w:t>②建设单位拟建一个沉淀池（240m</w:t>
                  </w:r>
                  <w:r>
                    <w:rPr>
                      <w:rFonts w:hint="eastAsia"/>
                      <w:sz w:val="21"/>
                      <w:szCs w:val="20"/>
                      <w:vertAlign w:val="superscript"/>
                    </w:rPr>
                    <w:t>3</w:t>
                  </w:r>
                  <w:r>
                    <w:rPr>
                      <w:rFonts w:hint="eastAsia"/>
                      <w:sz w:val="21"/>
                      <w:szCs w:val="20"/>
                    </w:rPr>
                    <w:t>）用于收集锅炉排污水和气化炉排水。收集的水优先用于厂区绿化和降尘用水，剩余的进入市政污水管网，再进入大英经济开发区污水处理厂，最终排入郪江。</w:t>
                  </w:r>
                </w:p>
                <w:p w14:paraId="55B7D7A9">
                  <w:pPr>
                    <w:spacing w:line="240" w:lineRule="auto"/>
                    <w:ind w:firstLine="0" w:firstLineChars="0"/>
                    <w:rPr>
                      <w:sz w:val="21"/>
                      <w:szCs w:val="20"/>
                    </w:rPr>
                  </w:pPr>
                  <w:r>
                    <w:rPr>
                      <w:rFonts w:hint="eastAsia"/>
                      <w:sz w:val="21"/>
                      <w:szCs w:val="20"/>
                    </w:rPr>
                    <w:t>③除尘设备用水循环使用，不外排。</w:t>
                  </w:r>
                </w:p>
                <w:p w14:paraId="08D9623D">
                  <w:pPr>
                    <w:spacing w:line="240" w:lineRule="auto"/>
                    <w:ind w:firstLine="0" w:firstLineChars="0"/>
                    <w:rPr>
                      <w:sz w:val="21"/>
                      <w:szCs w:val="20"/>
                    </w:rPr>
                  </w:pPr>
                  <w:r>
                    <w:rPr>
                      <w:rFonts w:hint="eastAsia"/>
                      <w:sz w:val="21"/>
                      <w:szCs w:val="20"/>
                    </w:rPr>
                    <w:t>④绿化用水全部蒸发损耗，不外排。</w:t>
                  </w:r>
                </w:p>
                <w:p w14:paraId="169A6A98">
                  <w:pPr>
                    <w:pStyle w:val="31"/>
                    <w:jc w:val="both"/>
                  </w:pPr>
                  <w:r>
                    <w:rPr>
                      <w:rFonts w:hint="eastAsia"/>
                      <w:szCs w:val="20"/>
                    </w:rPr>
                    <w:t>⑤建设单位拟建一个雨水收集池（780m</w:t>
                  </w:r>
                  <w:r>
                    <w:rPr>
                      <w:rFonts w:hint="eastAsia"/>
                      <w:szCs w:val="20"/>
                      <w:vertAlign w:val="superscript"/>
                    </w:rPr>
                    <w:t>3</w:t>
                  </w:r>
                  <w:r>
                    <w:rPr>
                      <w:rFonts w:hint="eastAsia"/>
                      <w:szCs w:val="20"/>
                    </w:rPr>
                    <w:t>），用于收集厂区初期雨水。</w:t>
                  </w:r>
                </w:p>
              </w:tc>
              <w:tc>
                <w:tcPr>
                  <w:tcW w:w="477" w:type="pct"/>
                  <w:vMerge w:val="continue"/>
                  <w:tcMar>
                    <w:left w:w="28" w:type="dxa"/>
                    <w:right w:w="28" w:type="dxa"/>
                  </w:tcMar>
                  <w:vAlign w:val="center"/>
                </w:tcPr>
                <w:p w14:paraId="3CF8180B">
                  <w:pPr>
                    <w:pStyle w:val="31"/>
                  </w:pPr>
                </w:p>
              </w:tc>
              <w:tc>
                <w:tcPr>
                  <w:tcW w:w="810" w:type="pct"/>
                  <w:tcMar>
                    <w:left w:w="28" w:type="dxa"/>
                    <w:right w:w="28" w:type="dxa"/>
                  </w:tcMar>
                  <w:vAlign w:val="center"/>
                </w:tcPr>
                <w:p w14:paraId="14BF3B23">
                  <w:pPr>
                    <w:pStyle w:val="31"/>
                  </w:pPr>
                  <w:r>
                    <w:rPr>
                      <w:rFonts w:hint="eastAsia"/>
                    </w:rPr>
                    <w:t>/</w:t>
                  </w:r>
                </w:p>
              </w:tc>
            </w:tr>
            <w:tr w14:paraId="278C8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16F49517">
                  <w:pPr>
                    <w:pStyle w:val="31"/>
                  </w:pPr>
                </w:p>
              </w:tc>
              <w:tc>
                <w:tcPr>
                  <w:tcW w:w="837" w:type="pct"/>
                  <w:gridSpan w:val="2"/>
                  <w:tcMar>
                    <w:left w:w="28" w:type="dxa"/>
                    <w:right w:w="28" w:type="dxa"/>
                  </w:tcMar>
                  <w:vAlign w:val="center"/>
                </w:tcPr>
                <w:p w14:paraId="40084BB4">
                  <w:pPr>
                    <w:pStyle w:val="31"/>
                  </w:pPr>
                  <w:r>
                    <w:t>噪声</w:t>
                  </w:r>
                </w:p>
              </w:tc>
              <w:tc>
                <w:tcPr>
                  <w:tcW w:w="2405" w:type="pct"/>
                  <w:tcMar>
                    <w:left w:w="28" w:type="dxa"/>
                    <w:right w:w="28" w:type="dxa"/>
                  </w:tcMar>
                  <w:vAlign w:val="center"/>
                </w:tcPr>
                <w:p w14:paraId="194D02A6">
                  <w:pPr>
                    <w:pStyle w:val="31"/>
                    <w:jc w:val="both"/>
                  </w:pPr>
                  <w:r>
                    <w:rPr>
                      <w:rFonts w:hint="eastAsia"/>
                      <w:szCs w:val="21"/>
                    </w:rPr>
                    <w:t>选用低噪声设备，基础安装减震垫，厂房隔声。</w:t>
                  </w:r>
                </w:p>
              </w:tc>
              <w:tc>
                <w:tcPr>
                  <w:tcW w:w="477" w:type="pct"/>
                  <w:vMerge w:val="continue"/>
                  <w:tcMar>
                    <w:left w:w="28" w:type="dxa"/>
                    <w:right w:w="28" w:type="dxa"/>
                  </w:tcMar>
                  <w:vAlign w:val="center"/>
                </w:tcPr>
                <w:p w14:paraId="3A6B4E02">
                  <w:pPr>
                    <w:pStyle w:val="31"/>
                  </w:pPr>
                </w:p>
              </w:tc>
              <w:tc>
                <w:tcPr>
                  <w:tcW w:w="810" w:type="pct"/>
                  <w:tcMar>
                    <w:left w:w="28" w:type="dxa"/>
                    <w:right w:w="28" w:type="dxa"/>
                  </w:tcMar>
                  <w:vAlign w:val="center"/>
                </w:tcPr>
                <w:p w14:paraId="419C62F1">
                  <w:pPr>
                    <w:pStyle w:val="31"/>
                  </w:pPr>
                  <w:r>
                    <w:rPr>
                      <w:rFonts w:hint="eastAsia"/>
                    </w:rPr>
                    <w:t>/</w:t>
                  </w:r>
                </w:p>
              </w:tc>
            </w:tr>
            <w:tr w14:paraId="0F29C4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54C6F11D">
                  <w:pPr>
                    <w:pStyle w:val="31"/>
                  </w:pPr>
                </w:p>
              </w:tc>
              <w:tc>
                <w:tcPr>
                  <w:tcW w:w="292" w:type="pct"/>
                  <w:vMerge w:val="restart"/>
                  <w:tcMar>
                    <w:left w:w="28" w:type="dxa"/>
                    <w:right w:w="28" w:type="dxa"/>
                  </w:tcMar>
                  <w:vAlign w:val="center"/>
                </w:tcPr>
                <w:p w14:paraId="6F1CCD15">
                  <w:pPr>
                    <w:pStyle w:val="31"/>
                  </w:pPr>
                  <w:r>
                    <w:rPr>
                      <w:rFonts w:hint="eastAsia"/>
                    </w:rPr>
                    <w:t>固废</w:t>
                  </w:r>
                </w:p>
              </w:tc>
              <w:tc>
                <w:tcPr>
                  <w:tcW w:w="545" w:type="pct"/>
                  <w:tcMar>
                    <w:left w:w="28" w:type="dxa"/>
                    <w:right w:w="28" w:type="dxa"/>
                  </w:tcMar>
                  <w:vAlign w:val="center"/>
                </w:tcPr>
                <w:p w14:paraId="3EF49FE1">
                  <w:pPr>
                    <w:pStyle w:val="31"/>
                  </w:pPr>
                  <w:r>
                    <w:rPr>
                      <w:rFonts w:hint="eastAsia"/>
                    </w:rPr>
                    <w:t>一般固废</w:t>
                  </w:r>
                </w:p>
              </w:tc>
              <w:tc>
                <w:tcPr>
                  <w:tcW w:w="2405" w:type="pct"/>
                  <w:tcMar>
                    <w:left w:w="28" w:type="dxa"/>
                    <w:right w:w="28" w:type="dxa"/>
                  </w:tcMar>
                  <w:vAlign w:val="center"/>
                </w:tcPr>
                <w:p w14:paraId="49A66151">
                  <w:pPr>
                    <w:pStyle w:val="31"/>
                    <w:jc w:val="both"/>
                  </w:pPr>
                  <w:r>
                    <w:rPr>
                      <w:rFonts w:hint="eastAsia"/>
                      <w:szCs w:val="20"/>
                    </w:rPr>
                    <w:t>生活垃圾由环卫部门统一收集处理；气化炉灰渣外售；废离子交换树脂由更换单位带走处置。除尘器收尘交由环卫部门处理。</w:t>
                  </w:r>
                </w:p>
              </w:tc>
              <w:tc>
                <w:tcPr>
                  <w:tcW w:w="477" w:type="pct"/>
                  <w:vMerge w:val="continue"/>
                  <w:tcMar>
                    <w:left w:w="28" w:type="dxa"/>
                    <w:right w:w="28" w:type="dxa"/>
                  </w:tcMar>
                  <w:vAlign w:val="center"/>
                </w:tcPr>
                <w:p w14:paraId="0EF02D75">
                  <w:pPr>
                    <w:pStyle w:val="31"/>
                  </w:pPr>
                </w:p>
              </w:tc>
              <w:tc>
                <w:tcPr>
                  <w:tcW w:w="810" w:type="pct"/>
                  <w:tcMar>
                    <w:left w:w="28" w:type="dxa"/>
                    <w:right w:w="28" w:type="dxa"/>
                  </w:tcMar>
                  <w:vAlign w:val="center"/>
                </w:tcPr>
                <w:p w14:paraId="2F0C8A7E">
                  <w:pPr>
                    <w:pStyle w:val="31"/>
                  </w:pPr>
                  <w:r>
                    <w:rPr>
                      <w:rFonts w:hint="eastAsia"/>
                    </w:rPr>
                    <w:t>/</w:t>
                  </w:r>
                </w:p>
              </w:tc>
            </w:tr>
            <w:tr w14:paraId="001D92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5075EC41">
                  <w:pPr>
                    <w:pStyle w:val="31"/>
                  </w:pPr>
                </w:p>
              </w:tc>
              <w:tc>
                <w:tcPr>
                  <w:tcW w:w="292" w:type="pct"/>
                  <w:vMerge w:val="continue"/>
                  <w:tcMar>
                    <w:left w:w="28" w:type="dxa"/>
                    <w:right w:w="28" w:type="dxa"/>
                  </w:tcMar>
                  <w:vAlign w:val="center"/>
                </w:tcPr>
                <w:p w14:paraId="56F5601D">
                  <w:pPr>
                    <w:pStyle w:val="31"/>
                  </w:pPr>
                </w:p>
              </w:tc>
              <w:tc>
                <w:tcPr>
                  <w:tcW w:w="545" w:type="pct"/>
                  <w:tcMar>
                    <w:left w:w="28" w:type="dxa"/>
                    <w:right w:w="28" w:type="dxa"/>
                  </w:tcMar>
                  <w:vAlign w:val="center"/>
                </w:tcPr>
                <w:p w14:paraId="1E7524F5">
                  <w:pPr>
                    <w:pStyle w:val="31"/>
                  </w:pPr>
                  <w:r>
                    <w:rPr>
                      <w:rFonts w:hint="eastAsia"/>
                    </w:rPr>
                    <w:t>危险废物</w:t>
                  </w:r>
                </w:p>
              </w:tc>
              <w:tc>
                <w:tcPr>
                  <w:tcW w:w="2405" w:type="pct"/>
                  <w:tcMar>
                    <w:left w:w="28" w:type="dxa"/>
                    <w:right w:w="28" w:type="dxa"/>
                  </w:tcMar>
                  <w:vAlign w:val="center"/>
                </w:tcPr>
                <w:p w14:paraId="0F179E7A">
                  <w:pPr>
                    <w:pStyle w:val="31"/>
                    <w:jc w:val="both"/>
                  </w:pPr>
                  <w:r>
                    <w:rPr>
                      <w:rStyle w:val="65"/>
                      <w:rFonts w:hint="eastAsia"/>
                      <w:szCs w:val="20"/>
                    </w:rPr>
                    <w:t>设置危废暂存间1间5m</w:t>
                  </w:r>
                  <w:r>
                    <w:rPr>
                      <w:rStyle w:val="65"/>
                      <w:rFonts w:hint="eastAsia"/>
                      <w:szCs w:val="20"/>
                      <w:vertAlign w:val="superscript"/>
                    </w:rPr>
                    <w:t>2</w:t>
                  </w:r>
                  <w:r>
                    <w:rPr>
                      <w:rStyle w:val="65"/>
                      <w:rFonts w:hint="eastAsia"/>
                      <w:szCs w:val="20"/>
                    </w:rPr>
                    <w:t>，用于暂存收集的废机油、废机油沾染物和废催化剂。</w:t>
                  </w:r>
                  <w:r>
                    <w:rPr>
                      <w:rFonts w:hint="eastAsia"/>
                      <w:szCs w:val="20"/>
                    </w:rPr>
                    <w:t>废机油、废机油沾染物和废催化剂交由资质单位处置。</w:t>
                  </w:r>
                </w:p>
              </w:tc>
              <w:tc>
                <w:tcPr>
                  <w:tcW w:w="477" w:type="pct"/>
                  <w:vMerge w:val="continue"/>
                  <w:tcMar>
                    <w:left w:w="28" w:type="dxa"/>
                    <w:right w:w="28" w:type="dxa"/>
                  </w:tcMar>
                  <w:vAlign w:val="center"/>
                </w:tcPr>
                <w:p w14:paraId="18276F23">
                  <w:pPr>
                    <w:pStyle w:val="31"/>
                  </w:pPr>
                </w:p>
              </w:tc>
              <w:tc>
                <w:tcPr>
                  <w:tcW w:w="810" w:type="pct"/>
                  <w:tcMar>
                    <w:left w:w="28" w:type="dxa"/>
                    <w:right w:w="28" w:type="dxa"/>
                  </w:tcMar>
                  <w:vAlign w:val="center"/>
                </w:tcPr>
                <w:p w14:paraId="3BDF49C3">
                  <w:pPr>
                    <w:pStyle w:val="31"/>
                  </w:pPr>
                  <w:r>
                    <w:rPr>
                      <w:rFonts w:hint="eastAsia"/>
                    </w:rPr>
                    <w:t>/</w:t>
                  </w:r>
                </w:p>
              </w:tc>
            </w:tr>
            <w:tr w14:paraId="31865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1" w:type="pct"/>
                  <w:vMerge w:val="continue"/>
                  <w:tcMar>
                    <w:left w:w="28" w:type="dxa"/>
                    <w:right w:w="28" w:type="dxa"/>
                  </w:tcMar>
                  <w:vAlign w:val="center"/>
                </w:tcPr>
                <w:p w14:paraId="098D48AE">
                  <w:pPr>
                    <w:pStyle w:val="31"/>
                  </w:pPr>
                </w:p>
              </w:tc>
              <w:tc>
                <w:tcPr>
                  <w:tcW w:w="837" w:type="pct"/>
                  <w:gridSpan w:val="2"/>
                  <w:tcMar>
                    <w:left w:w="28" w:type="dxa"/>
                    <w:right w:w="28" w:type="dxa"/>
                  </w:tcMar>
                  <w:vAlign w:val="center"/>
                </w:tcPr>
                <w:p w14:paraId="0C29F9EE">
                  <w:pPr>
                    <w:pStyle w:val="31"/>
                  </w:pPr>
                  <w:r>
                    <w:rPr>
                      <w:rFonts w:hint="eastAsia"/>
                    </w:rPr>
                    <w:t>地下水</w:t>
                  </w:r>
                </w:p>
              </w:tc>
              <w:tc>
                <w:tcPr>
                  <w:tcW w:w="2405" w:type="pct"/>
                  <w:tcMar>
                    <w:left w:w="28" w:type="dxa"/>
                    <w:right w:w="28" w:type="dxa"/>
                  </w:tcMar>
                  <w:vAlign w:val="center"/>
                </w:tcPr>
                <w:p w14:paraId="4165E296">
                  <w:pPr>
                    <w:spacing w:line="240" w:lineRule="auto"/>
                    <w:ind w:firstLine="0" w:firstLineChars="0"/>
                    <w:jc w:val="left"/>
                    <w:rPr>
                      <w:sz w:val="21"/>
                      <w:szCs w:val="21"/>
                    </w:rPr>
                  </w:pPr>
                  <w:r>
                    <w:rPr>
                      <w:rFonts w:hint="eastAsia"/>
                      <w:sz w:val="21"/>
                      <w:szCs w:val="21"/>
                    </w:rPr>
                    <w:t>实施分区防渗：</w:t>
                  </w:r>
                </w:p>
                <w:p w14:paraId="7CB27BD8">
                  <w:pPr>
                    <w:spacing w:line="240" w:lineRule="auto"/>
                    <w:ind w:firstLine="0" w:firstLineChars="0"/>
                    <w:jc w:val="left"/>
                    <w:rPr>
                      <w:sz w:val="21"/>
                      <w:szCs w:val="21"/>
                    </w:rPr>
                  </w:pPr>
                  <w:r>
                    <w:rPr>
                      <w:rFonts w:hint="eastAsia"/>
                      <w:sz w:val="21"/>
                      <w:szCs w:val="21"/>
                    </w:rPr>
                    <w:t>重点防渗区为危废暂存间和氨水储罐区，防渗措施为环氧树脂防渗膜+防渗混凝土；</w:t>
                  </w:r>
                </w:p>
                <w:p w14:paraId="6646013B">
                  <w:pPr>
                    <w:spacing w:line="240" w:lineRule="auto"/>
                    <w:ind w:firstLine="0" w:firstLineChars="0"/>
                    <w:jc w:val="left"/>
                    <w:rPr>
                      <w:sz w:val="21"/>
                      <w:szCs w:val="21"/>
                    </w:rPr>
                  </w:pPr>
                  <w:r>
                    <w:rPr>
                      <w:rFonts w:hint="eastAsia"/>
                      <w:sz w:val="21"/>
                      <w:szCs w:val="21"/>
                    </w:rPr>
                    <w:t>一般防渗区为沉淀池、冷却循环水池、预处理池、雨水收集池、消防水池，防渗措施为防渗混凝土；</w:t>
                  </w:r>
                </w:p>
                <w:p w14:paraId="26AA26B3">
                  <w:pPr>
                    <w:pStyle w:val="31"/>
                    <w:jc w:val="both"/>
                    <w:rPr>
                      <w:rStyle w:val="65"/>
                      <w:szCs w:val="20"/>
                    </w:rPr>
                  </w:pPr>
                  <w:r>
                    <w:rPr>
                      <w:rFonts w:hint="eastAsia"/>
                      <w:szCs w:val="21"/>
                    </w:rPr>
                    <w:t>简单防渗区位除上述以外的其他区域，防渗措施为水泥地面。</w:t>
                  </w:r>
                </w:p>
              </w:tc>
              <w:tc>
                <w:tcPr>
                  <w:tcW w:w="477" w:type="pct"/>
                  <w:vMerge w:val="continue"/>
                  <w:tcMar>
                    <w:left w:w="28" w:type="dxa"/>
                    <w:right w:w="28" w:type="dxa"/>
                  </w:tcMar>
                  <w:vAlign w:val="center"/>
                </w:tcPr>
                <w:p w14:paraId="689B7AF0">
                  <w:pPr>
                    <w:pStyle w:val="31"/>
                  </w:pPr>
                </w:p>
              </w:tc>
              <w:tc>
                <w:tcPr>
                  <w:tcW w:w="810" w:type="pct"/>
                  <w:tcMar>
                    <w:left w:w="28" w:type="dxa"/>
                    <w:right w:w="28" w:type="dxa"/>
                  </w:tcMar>
                  <w:vAlign w:val="center"/>
                </w:tcPr>
                <w:p w14:paraId="2FC84831">
                  <w:pPr>
                    <w:pStyle w:val="31"/>
                  </w:pPr>
                  <w:r>
                    <w:rPr>
                      <w:rFonts w:hint="eastAsia"/>
                    </w:rPr>
                    <w:t>/</w:t>
                  </w:r>
                </w:p>
              </w:tc>
            </w:tr>
            <w:tr w14:paraId="6F4128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08" w:type="pct"/>
                  <w:gridSpan w:val="3"/>
                  <w:tcMar>
                    <w:left w:w="28" w:type="dxa"/>
                    <w:right w:w="28" w:type="dxa"/>
                  </w:tcMar>
                  <w:vAlign w:val="center"/>
                </w:tcPr>
                <w:p w14:paraId="097A6224">
                  <w:pPr>
                    <w:pStyle w:val="31"/>
                  </w:pPr>
                  <w:r>
                    <w:rPr>
                      <w:rFonts w:hint="eastAsia"/>
                    </w:rPr>
                    <w:t>风险</w:t>
                  </w:r>
                </w:p>
              </w:tc>
              <w:tc>
                <w:tcPr>
                  <w:tcW w:w="3692" w:type="pct"/>
                  <w:gridSpan w:val="3"/>
                  <w:tcMar>
                    <w:left w:w="28" w:type="dxa"/>
                    <w:right w:w="28" w:type="dxa"/>
                  </w:tcMar>
                  <w:vAlign w:val="center"/>
                </w:tcPr>
                <w:p w14:paraId="3713C74F">
                  <w:pPr>
                    <w:pStyle w:val="31"/>
                    <w:jc w:val="both"/>
                    <w:rPr>
                      <w:szCs w:val="21"/>
                    </w:rPr>
                  </w:pPr>
                  <w:r>
                    <w:rPr>
                      <w:rFonts w:hint="eastAsia"/>
                      <w:szCs w:val="21"/>
                    </w:rPr>
                    <w:t>建立环保机构，</w:t>
                  </w:r>
                  <w:r>
                    <w:rPr>
                      <w:bCs/>
                    </w:rPr>
                    <w:t>安全设施、环保设施、消防器材等进行定期检查</w:t>
                  </w:r>
                  <w:r>
                    <w:rPr>
                      <w:rFonts w:hint="eastAsia"/>
                      <w:bCs/>
                    </w:rPr>
                    <w:t>，</w:t>
                  </w:r>
                  <w:r>
                    <w:rPr>
                      <w:rFonts w:hint="eastAsia"/>
                      <w:szCs w:val="21"/>
                    </w:rPr>
                    <w:t>制定环境风险应急预案；</w:t>
                  </w:r>
                </w:p>
                <w:p w14:paraId="0CD1FF70">
                  <w:pPr>
                    <w:pStyle w:val="31"/>
                    <w:jc w:val="both"/>
                  </w:pPr>
                  <w:r>
                    <w:rPr>
                      <w:rFonts w:hint="eastAsia"/>
                    </w:rPr>
                    <w:t>加强机油、柴油等原辅材料的运输、使用、暂存管理；氨水储罐区和危废暂存间将作为重点防渗区，达到相应防渗要求；同时设置围堰，设立标志标识等。</w:t>
                  </w:r>
                </w:p>
              </w:tc>
            </w:tr>
            <w:tr w14:paraId="19093F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6"/>
                  <w:tcMar>
                    <w:left w:w="28" w:type="dxa"/>
                    <w:right w:w="28" w:type="dxa"/>
                  </w:tcMar>
                  <w:vAlign w:val="center"/>
                </w:tcPr>
                <w:p w14:paraId="31AB708B">
                  <w:pPr>
                    <w:pStyle w:val="31"/>
                  </w:pPr>
                  <w:r>
                    <w:rPr>
                      <w:rFonts w:hint="eastAsia"/>
                    </w:rPr>
                    <w:t>绿地率19.25%</w:t>
                  </w:r>
                </w:p>
              </w:tc>
            </w:tr>
            <w:bookmarkEnd w:id="7"/>
          </w:tbl>
          <w:p w14:paraId="12E5CF6C">
            <w:pPr>
              <w:ind w:firstLine="482"/>
              <w:rPr>
                <w:b/>
                <w:bCs/>
              </w:rPr>
            </w:pPr>
            <w:r>
              <w:rPr>
                <w:rFonts w:hint="eastAsia"/>
                <w:b/>
                <w:bCs/>
              </w:rPr>
              <w:t>三、主要原辅材料及能耗</w:t>
            </w:r>
          </w:p>
          <w:p w14:paraId="15532CCA">
            <w:pPr>
              <w:ind w:firstLine="480"/>
              <w:rPr>
                <w:bCs/>
              </w:rPr>
            </w:pPr>
            <w:r>
              <w:rPr>
                <w:rFonts w:hint="eastAsia"/>
                <w:bCs/>
              </w:rPr>
              <w:t>（1）本项目主要原辅材料及能耗见下表。</w:t>
            </w:r>
          </w:p>
          <w:p w14:paraId="32EA10F5">
            <w:pPr>
              <w:pStyle w:val="29"/>
            </w:pPr>
            <w:r>
              <w:rPr>
                <w:rFonts w:hint="eastAsia"/>
              </w:rPr>
              <w:t xml:space="preserve">  主要原辅材料及燃料的种类和用量</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03"/>
              <w:gridCol w:w="634"/>
              <w:gridCol w:w="1903"/>
              <w:gridCol w:w="892"/>
              <w:gridCol w:w="1472"/>
              <w:gridCol w:w="959"/>
              <w:gridCol w:w="1346"/>
            </w:tblGrid>
            <w:tr w14:paraId="57A77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1" w:type="pct"/>
                  <w:vAlign w:val="center"/>
                </w:tcPr>
                <w:p w14:paraId="58995D18">
                  <w:pPr>
                    <w:pStyle w:val="31"/>
                    <w:rPr>
                      <w:b/>
                      <w:bCs/>
                    </w:rPr>
                  </w:pPr>
                  <w:r>
                    <w:rPr>
                      <w:b/>
                      <w:bCs/>
                    </w:rPr>
                    <w:t>序号</w:t>
                  </w:r>
                </w:p>
              </w:tc>
              <w:tc>
                <w:tcPr>
                  <w:tcW w:w="1584" w:type="pct"/>
                  <w:gridSpan w:val="2"/>
                  <w:vAlign w:val="center"/>
                </w:tcPr>
                <w:p w14:paraId="0E95569C">
                  <w:pPr>
                    <w:pStyle w:val="31"/>
                    <w:rPr>
                      <w:b/>
                      <w:bCs/>
                    </w:rPr>
                  </w:pPr>
                  <w:r>
                    <w:rPr>
                      <w:b/>
                      <w:bCs/>
                    </w:rPr>
                    <w:t>名称</w:t>
                  </w:r>
                </w:p>
              </w:tc>
              <w:tc>
                <w:tcPr>
                  <w:tcW w:w="557" w:type="pct"/>
                  <w:vAlign w:val="center"/>
                </w:tcPr>
                <w:p w14:paraId="12285FF0">
                  <w:pPr>
                    <w:pStyle w:val="31"/>
                    <w:rPr>
                      <w:b/>
                      <w:bCs/>
                    </w:rPr>
                  </w:pPr>
                  <w:r>
                    <w:rPr>
                      <w:rFonts w:hint="eastAsia"/>
                      <w:b/>
                      <w:bCs/>
                    </w:rPr>
                    <w:t>形态</w:t>
                  </w:r>
                </w:p>
              </w:tc>
              <w:tc>
                <w:tcPr>
                  <w:tcW w:w="919" w:type="pct"/>
                  <w:vAlign w:val="center"/>
                </w:tcPr>
                <w:p w14:paraId="31F535AF">
                  <w:pPr>
                    <w:pStyle w:val="31"/>
                    <w:rPr>
                      <w:b/>
                      <w:bCs/>
                    </w:rPr>
                  </w:pPr>
                  <w:r>
                    <w:rPr>
                      <w:rFonts w:hint="eastAsia"/>
                      <w:b/>
                      <w:bCs/>
                    </w:rPr>
                    <w:t>年耗量</w:t>
                  </w:r>
                  <w:r>
                    <w:rPr>
                      <w:b/>
                      <w:bCs/>
                    </w:rPr>
                    <w:t>（t/a）</w:t>
                  </w:r>
                </w:p>
              </w:tc>
              <w:tc>
                <w:tcPr>
                  <w:tcW w:w="599" w:type="pct"/>
                  <w:vAlign w:val="center"/>
                </w:tcPr>
                <w:p w14:paraId="27193698">
                  <w:pPr>
                    <w:pStyle w:val="31"/>
                    <w:rPr>
                      <w:b/>
                      <w:bCs/>
                    </w:rPr>
                  </w:pPr>
                  <w:r>
                    <w:rPr>
                      <w:rFonts w:hint="eastAsia"/>
                      <w:b/>
                      <w:bCs/>
                    </w:rPr>
                    <w:t>最大储存量（t）</w:t>
                  </w:r>
                </w:p>
              </w:tc>
              <w:tc>
                <w:tcPr>
                  <w:tcW w:w="841" w:type="pct"/>
                  <w:vAlign w:val="center"/>
                </w:tcPr>
                <w:p w14:paraId="0D502BA8">
                  <w:pPr>
                    <w:pStyle w:val="31"/>
                    <w:rPr>
                      <w:b/>
                      <w:bCs/>
                    </w:rPr>
                  </w:pPr>
                  <w:r>
                    <w:rPr>
                      <w:rFonts w:hint="eastAsia"/>
                      <w:b/>
                      <w:bCs/>
                    </w:rPr>
                    <w:t>备注</w:t>
                  </w:r>
                </w:p>
              </w:tc>
            </w:tr>
            <w:tr w14:paraId="644327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1" w:type="pct"/>
                  <w:vAlign w:val="center"/>
                </w:tcPr>
                <w:p w14:paraId="4E5800F8">
                  <w:pPr>
                    <w:pStyle w:val="31"/>
                  </w:pPr>
                  <w:r>
                    <w:t>1</w:t>
                  </w:r>
                </w:p>
              </w:tc>
              <w:tc>
                <w:tcPr>
                  <w:tcW w:w="396" w:type="pct"/>
                  <w:vMerge w:val="restart"/>
                  <w:vAlign w:val="center"/>
                </w:tcPr>
                <w:p w14:paraId="212A0A61">
                  <w:pPr>
                    <w:pStyle w:val="31"/>
                  </w:pPr>
                  <w:r>
                    <w:rPr>
                      <w:rFonts w:hint="eastAsia"/>
                    </w:rPr>
                    <w:t>原辅材料</w:t>
                  </w:r>
                </w:p>
              </w:tc>
              <w:tc>
                <w:tcPr>
                  <w:tcW w:w="1188" w:type="pct"/>
                  <w:vAlign w:val="center"/>
                </w:tcPr>
                <w:p w14:paraId="64DCEE5F">
                  <w:pPr>
                    <w:pStyle w:val="31"/>
                  </w:pPr>
                  <w:r>
                    <w:rPr>
                      <w:rFonts w:hint="eastAsia"/>
                    </w:rPr>
                    <w:t>生物质燃料</w:t>
                  </w:r>
                </w:p>
              </w:tc>
              <w:tc>
                <w:tcPr>
                  <w:tcW w:w="557" w:type="pct"/>
                  <w:vAlign w:val="center"/>
                </w:tcPr>
                <w:p w14:paraId="0AB1A920">
                  <w:pPr>
                    <w:pStyle w:val="31"/>
                  </w:pPr>
                  <w:r>
                    <w:rPr>
                      <w:rFonts w:hint="eastAsia"/>
                    </w:rPr>
                    <w:t>固态</w:t>
                  </w:r>
                </w:p>
              </w:tc>
              <w:tc>
                <w:tcPr>
                  <w:tcW w:w="919" w:type="pct"/>
                  <w:vAlign w:val="center"/>
                </w:tcPr>
                <w:p w14:paraId="5CB1F8B4">
                  <w:pPr>
                    <w:pStyle w:val="31"/>
                  </w:pPr>
                  <w:r>
                    <w:rPr>
                      <w:rFonts w:hint="eastAsia"/>
                    </w:rPr>
                    <w:t>260000</w:t>
                  </w:r>
                </w:p>
              </w:tc>
              <w:tc>
                <w:tcPr>
                  <w:tcW w:w="599" w:type="pct"/>
                  <w:vAlign w:val="center"/>
                </w:tcPr>
                <w:p w14:paraId="329F078E">
                  <w:pPr>
                    <w:pStyle w:val="31"/>
                  </w:pPr>
                  <w:r>
                    <w:rPr>
                      <w:rFonts w:hint="eastAsia"/>
                    </w:rPr>
                    <w:t>15000</w:t>
                  </w:r>
                </w:p>
              </w:tc>
              <w:tc>
                <w:tcPr>
                  <w:tcW w:w="841" w:type="pct"/>
                  <w:vAlign w:val="center"/>
                </w:tcPr>
                <w:p w14:paraId="19F19739">
                  <w:pPr>
                    <w:pStyle w:val="31"/>
                  </w:pPr>
                  <w:r>
                    <w:rPr>
                      <w:rFonts w:hint="eastAsia"/>
                    </w:rPr>
                    <w:t>制备生物质气</w:t>
                  </w:r>
                </w:p>
              </w:tc>
            </w:tr>
            <w:tr w14:paraId="7B5A76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1" w:type="pct"/>
                  <w:vAlign w:val="center"/>
                </w:tcPr>
                <w:p w14:paraId="7F5D5865">
                  <w:pPr>
                    <w:pStyle w:val="31"/>
                  </w:pPr>
                  <w:r>
                    <w:rPr>
                      <w:rFonts w:hint="eastAsia"/>
                    </w:rPr>
                    <w:t>2</w:t>
                  </w:r>
                </w:p>
              </w:tc>
              <w:tc>
                <w:tcPr>
                  <w:tcW w:w="396" w:type="pct"/>
                  <w:vMerge w:val="continue"/>
                  <w:vAlign w:val="center"/>
                </w:tcPr>
                <w:p w14:paraId="3B151859">
                  <w:pPr>
                    <w:pStyle w:val="31"/>
                  </w:pPr>
                </w:p>
              </w:tc>
              <w:tc>
                <w:tcPr>
                  <w:tcW w:w="1188" w:type="pct"/>
                  <w:vAlign w:val="center"/>
                </w:tcPr>
                <w:p w14:paraId="3353D956">
                  <w:pPr>
                    <w:pStyle w:val="31"/>
                  </w:pPr>
                  <w:r>
                    <w:rPr>
                      <w:rFonts w:hint="eastAsia"/>
                    </w:rPr>
                    <w:t>氨水（20%浓度）</w:t>
                  </w:r>
                </w:p>
              </w:tc>
              <w:tc>
                <w:tcPr>
                  <w:tcW w:w="557" w:type="pct"/>
                  <w:vAlign w:val="center"/>
                </w:tcPr>
                <w:p w14:paraId="32C58B44">
                  <w:pPr>
                    <w:pStyle w:val="31"/>
                  </w:pPr>
                  <w:r>
                    <w:rPr>
                      <w:rFonts w:hint="eastAsia"/>
                    </w:rPr>
                    <w:t>液体</w:t>
                  </w:r>
                </w:p>
              </w:tc>
              <w:tc>
                <w:tcPr>
                  <w:tcW w:w="919" w:type="pct"/>
                  <w:vAlign w:val="center"/>
                </w:tcPr>
                <w:p w14:paraId="5F7C6D11">
                  <w:pPr>
                    <w:pStyle w:val="31"/>
                  </w:pPr>
                  <w:r>
                    <w:rPr>
                      <w:rFonts w:hint="eastAsia"/>
                    </w:rPr>
                    <w:t>3168</w:t>
                  </w:r>
                </w:p>
              </w:tc>
              <w:tc>
                <w:tcPr>
                  <w:tcW w:w="599" w:type="pct"/>
                  <w:vAlign w:val="center"/>
                </w:tcPr>
                <w:p w14:paraId="43711C50">
                  <w:pPr>
                    <w:pStyle w:val="31"/>
                  </w:pPr>
                  <w:r>
                    <w:t>65.53</w:t>
                  </w:r>
                </w:p>
              </w:tc>
              <w:tc>
                <w:tcPr>
                  <w:tcW w:w="841" w:type="pct"/>
                  <w:vAlign w:val="center"/>
                </w:tcPr>
                <w:p w14:paraId="6557FB8E">
                  <w:pPr>
                    <w:pStyle w:val="31"/>
                  </w:pPr>
                  <w:r>
                    <w:rPr>
                      <w:rFonts w:hint="eastAsia"/>
                    </w:rPr>
                    <w:t>脱硝</w:t>
                  </w:r>
                </w:p>
              </w:tc>
            </w:tr>
            <w:tr w14:paraId="68EE61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1" w:type="pct"/>
                  <w:vAlign w:val="center"/>
                </w:tcPr>
                <w:p w14:paraId="5877D5F5">
                  <w:pPr>
                    <w:pStyle w:val="31"/>
                  </w:pPr>
                  <w:r>
                    <w:rPr>
                      <w:rFonts w:hint="eastAsia"/>
                    </w:rPr>
                    <w:t>3</w:t>
                  </w:r>
                </w:p>
              </w:tc>
              <w:tc>
                <w:tcPr>
                  <w:tcW w:w="396" w:type="pct"/>
                  <w:vMerge w:val="continue"/>
                  <w:vAlign w:val="center"/>
                </w:tcPr>
                <w:p w14:paraId="08580E52">
                  <w:pPr>
                    <w:pStyle w:val="31"/>
                  </w:pPr>
                </w:p>
              </w:tc>
              <w:tc>
                <w:tcPr>
                  <w:tcW w:w="1188" w:type="pct"/>
                  <w:vAlign w:val="center"/>
                </w:tcPr>
                <w:p w14:paraId="352A0BFF">
                  <w:pPr>
                    <w:pStyle w:val="31"/>
                  </w:pPr>
                  <w:r>
                    <w:rPr>
                      <w:rFonts w:hint="eastAsia"/>
                    </w:rPr>
                    <w:t>离子交换树脂</w:t>
                  </w:r>
                </w:p>
              </w:tc>
              <w:tc>
                <w:tcPr>
                  <w:tcW w:w="557" w:type="pct"/>
                  <w:vAlign w:val="center"/>
                </w:tcPr>
                <w:p w14:paraId="291B15EC">
                  <w:pPr>
                    <w:pStyle w:val="31"/>
                  </w:pPr>
                  <w:r>
                    <w:rPr>
                      <w:rFonts w:hint="eastAsia"/>
                    </w:rPr>
                    <w:t>固态</w:t>
                  </w:r>
                </w:p>
              </w:tc>
              <w:tc>
                <w:tcPr>
                  <w:tcW w:w="919" w:type="pct"/>
                  <w:vAlign w:val="center"/>
                </w:tcPr>
                <w:p w14:paraId="0F24C1E0">
                  <w:pPr>
                    <w:pStyle w:val="31"/>
                  </w:pPr>
                  <w:r>
                    <w:rPr>
                      <w:rFonts w:hint="eastAsia"/>
                    </w:rPr>
                    <w:t>3</w:t>
                  </w:r>
                </w:p>
              </w:tc>
              <w:tc>
                <w:tcPr>
                  <w:tcW w:w="599" w:type="pct"/>
                  <w:vAlign w:val="center"/>
                </w:tcPr>
                <w:p w14:paraId="102E5843">
                  <w:pPr>
                    <w:pStyle w:val="31"/>
                  </w:pPr>
                  <w:r>
                    <w:rPr>
                      <w:rFonts w:hint="eastAsia"/>
                    </w:rPr>
                    <w:t>3</w:t>
                  </w:r>
                </w:p>
              </w:tc>
              <w:tc>
                <w:tcPr>
                  <w:tcW w:w="841" w:type="pct"/>
                  <w:vAlign w:val="center"/>
                </w:tcPr>
                <w:p w14:paraId="5CFCCA6B">
                  <w:pPr>
                    <w:pStyle w:val="31"/>
                  </w:pPr>
                  <w:r>
                    <w:rPr>
                      <w:rFonts w:hint="eastAsia"/>
                    </w:rPr>
                    <w:t>制备软水</w:t>
                  </w:r>
                </w:p>
              </w:tc>
            </w:tr>
            <w:tr w14:paraId="5C4EDA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1" w:type="pct"/>
                  <w:vAlign w:val="center"/>
                </w:tcPr>
                <w:p w14:paraId="1C0D5AE8">
                  <w:pPr>
                    <w:pStyle w:val="31"/>
                  </w:pPr>
                  <w:r>
                    <w:rPr>
                      <w:rFonts w:hint="eastAsia"/>
                    </w:rPr>
                    <w:t>4</w:t>
                  </w:r>
                </w:p>
              </w:tc>
              <w:tc>
                <w:tcPr>
                  <w:tcW w:w="396" w:type="pct"/>
                  <w:vMerge w:val="continue"/>
                  <w:vAlign w:val="center"/>
                </w:tcPr>
                <w:p w14:paraId="47653871">
                  <w:pPr>
                    <w:pStyle w:val="31"/>
                  </w:pPr>
                </w:p>
              </w:tc>
              <w:tc>
                <w:tcPr>
                  <w:tcW w:w="1188" w:type="pct"/>
                  <w:vAlign w:val="center"/>
                </w:tcPr>
                <w:p w14:paraId="11332FCE">
                  <w:pPr>
                    <w:pStyle w:val="31"/>
                  </w:pPr>
                  <w:r>
                    <w:rPr>
                      <w:rFonts w:hint="eastAsia"/>
                    </w:rPr>
                    <w:t>机油</w:t>
                  </w:r>
                </w:p>
              </w:tc>
              <w:tc>
                <w:tcPr>
                  <w:tcW w:w="557" w:type="pct"/>
                  <w:vAlign w:val="center"/>
                </w:tcPr>
                <w:p w14:paraId="73BDA2C3">
                  <w:pPr>
                    <w:pStyle w:val="31"/>
                  </w:pPr>
                  <w:r>
                    <w:rPr>
                      <w:rFonts w:hint="eastAsia"/>
                    </w:rPr>
                    <w:t>液态</w:t>
                  </w:r>
                </w:p>
              </w:tc>
              <w:tc>
                <w:tcPr>
                  <w:tcW w:w="919" w:type="pct"/>
                  <w:vAlign w:val="center"/>
                </w:tcPr>
                <w:p w14:paraId="4D1A0422">
                  <w:pPr>
                    <w:pStyle w:val="31"/>
                  </w:pPr>
                  <w:r>
                    <w:rPr>
                      <w:rFonts w:hint="eastAsia"/>
                    </w:rPr>
                    <w:t>0.2</w:t>
                  </w:r>
                </w:p>
              </w:tc>
              <w:tc>
                <w:tcPr>
                  <w:tcW w:w="599" w:type="pct"/>
                  <w:vAlign w:val="center"/>
                </w:tcPr>
                <w:p w14:paraId="7A1D5867">
                  <w:pPr>
                    <w:pStyle w:val="31"/>
                  </w:pPr>
                  <w:r>
                    <w:rPr>
                      <w:rFonts w:hint="eastAsia"/>
                    </w:rPr>
                    <w:t>0.2</w:t>
                  </w:r>
                </w:p>
              </w:tc>
              <w:tc>
                <w:tcPr>
                  <w:tcW w:w="841" w:type="pct"/>
                  <w:vAlign w:val="center"/>
                </w:tcPr>
                <w:p w14:paraId="52D54F45">
                  <w:pPr>
                    <w:pStyle w:val="31"/>
                  </w:pPr>
                  <w:r>
                    <w:rPr>
                      <w:rFonts w:hint="eastAsia"/>
                    </w:rPr>
                    <w:t>机械维护</w:t>
                  </w:r>
                </w:p>
              </w:tc>
            </w:tr>
            <w:tr w14:paraId="129F6A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1" w:type="pct"/>
                  <w:vAlign w:val="center"/>
                </w:tcPr>
                <w:p w14:paraId="58259CFD">
                  <w:pPr>
                    <w:pStyle w:val="31"/>
                  </w:pPr>
                  <w:r>
                    <w:rPr>
                      <w:rFonts w:hint="eastAsia"/>
                    </w:rPr>
                    <w:t>5</w:t>
                  </w:r>
                </w:p>
              </w:tc>
              <w:tc>
                <w:tcPr>
                  <w:tcW w:w="396" w:type="pct"/>
                  <w:vMerge w:val="restart"/>
                  <w:vAlign w:val="center"/>
                </w:tcPr>
                <w:p w14:paraId="36047B97">
                  <w:pPr>
                    <w:pStyle w:val="31"/>
                  </w:pPr>
                  <w:r>
                    <w:rPr>
                      <w:rFonts w:hint="eastAsia"/>
                    </w:rPr>
                    <w:t>能源</w:t>
                  </w:r>
                </w:p>
              </w:tc>
              <w:tc>
                <w:tcPr>
                  <w:tcW w:w="1188" w:type="pct"/>
                  <w:vAlign w:val="center"/>
                </w:tcPr>
                <w:p w14:paraId="650615FD">
                  <w:pPr>
                    <w:pStyle w:val="31"/>
                  </w:pPr>
                  <w:r>
                    <w:rPr>
                      <w:rFonts w:hint="eastAsia"/>
                    </w:rPr>
                    <w:t>电</w:t>
                  </w:r>
                </w:p>
              </w:tc>
              <w:tc>
                <w:tcPr>
                  <w:tcW w:w="557" w:type="pct"/>
                  <w:vAlign w:val="center"/>
                </w:tcPr>
                <w:p w14:paraId="35866559">
                  <w:pPr>
                    <w:pStyle w:val="31"/>
                  </w:pPr>
                  <w:r>
                    <w:rPr>
                      <w:rFonts w:hint="eastAsia"/>
                    </w:rPr>
                    <w:t>/</w:t>
                  </w:r>
                </w:p>
              </w:tc>
              <w:tc>
                <w:tcPr>
                  <w:tcW w:w="919" w:type="pct"/>
                  <w:vAlign w:val="center"/>
                </w:tcPr>
                <w:p w14:paraId="7FEAEA62">
                  <w:pPr>
                    <w:pStyle w:val="31"/>
                    <w:rPr>
                      <w:rFonts w:eastAsia="等线"/>
                      <w:szCs w:val="21"/>
                    </w:rPr>
                  </w:pPr>
                  <w:r>
                    <w:rPr>
                      <w:rFonts w:hint="eastAsia" w:eastAsia="等线"/>
                      <w:szCs w:val="21"/>
                    </w:rPr>
                    <w:t>6400万kw/h</w:t>
                  </w:r>
                </w:p>
              </w:tc>
              <w:tc>
                <w:tcPr>
                  <w:tcW w:w="599" w:type="pct"/>
                  <w:vAlign w:val="center"/>
                </w:tcPr>
                <w:p w14:paraId="722EB6BF">
                  <w:pPr>
                    <w:pStyle w:val="31"/>
                  </w:pPr>
                  <w:r>
                    <w:rPr>
                      <w:rFonts w:hint="eastAsia"/>
                    </w:rPr>
                    <w:t>/</w:t>
                  </w:r>
                </w:p>
              </w:tc>
              <w:tc>
                <w:tcPr>
                  <w:tcW w:w="841" w:type="pct"/>
                  <w:vAlign w:val="center"/>
                </w:tcPr>
                <w:p w14:paraId="0525B50D">
                  <w:pPr>
                    <w:pStyle w:val="31"/>
                  </w:pPr>
                  <w:r>
                    <w:rPr>
                      <w:rFonts w:hint="eastAsia"/>
                    </w:rPr>
                    <w:t>/</w:t>
                  </w:r>
                </w:p>
              </w:tc>
            </w:tr>
            <w:tr w14:paraId="305667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501" w:type="pct"/>
                  <w:vAlign w:val="center"/>
                </w:tcPr>
                <w:p w14:paraId="08BF9BC5">
                  <w:pPr>
                    <w:pStyle w:val="31"/>
                  </w:pPr>
                  <w:r>
                    <w:rPr>
                      <w:rFonts w:hint="eastAsia"/>
                    </w:rPr>
                    <w:t>6</w:t>
                  </w:r>
                </w:p>
              </w:tc>
              <w:tc>
                <w:tcPr>
                  <w:tcW w:w="396" w:type="pct"/>
                  <w:vMerge w:val="continue"/>
                  <w:vAlign w:val="center"/>
                </w:tcPr>
                <w:p w14:paraId="39C79A53">
                  <w:pPr>
                    <w:pStyle w:val="31"/>
                  </w:pPr>
                </w:p>
              </w:tc>
              <w:tc>
                <w:tcPr>
                  <w:tcW w:w="1188" w:type="pct"/>
                  <w:vAlign w:val="center"/>
                </w:tcPr>
                <w:p w14:paraId="3978401D">
                  <w:pPr>
                    <w:pStyle w:val="31"/>
                  </w:pPr>
                  <w:r>
                    <w:rPr>
                      <w:rFonts w:hint="eastAsia"/>
                      <w:szCs w:val="21"/>
                    </w:rPr>
                    <w:t>水</w:t>
                  </w:r>
                </w:p>
              </w:tc>
              <w:tc>
                <w:tcPr>
                  <w:tcW w:w="557" w:type="pct"/>
                  <w:vAlign w:val="center"/>
                </w:tcPr>
                <w:p w14:paraId="554069D5">
                  <w:pPr>
                    <w:pStyle w:val="31"/>
                  </w:pPr>
                  <w:r>
                    <w:rPr>
                      <w:rFonts w:hint="eastAsia"/>
                    </w:rPr>
                    <w:t>液态</w:t>
                  </w:r>
                </w:p>
              </w:tc>
              <w:tc>
                <w:tcPr>
                  <w:tcW w:w="919" w:type="pct"/>
                  <w:vAlign w:val="center"/>
                </w:tcPr>
                <w:p w14:paraId="2328ED4B">
                  <w:pPr>
                    <w:pStyle w:val="31"/>
                    <w:rPr>
                      <w:rFonts w:eastAsia="等线"/>
                      <w:szCs w:val="21"/>
                    </w:rPr>
                  </w:pPr>
                  <w:r>
                    <w:rPr>
                      <w:rFonts w:hint="eastAsia"/>
                    </w:rPr>
                    <w:t>892835.65m</w:t>
                  </w:r>
                  <w:r>
                    <w:rPr>
                      <w:rFonts w:hint="eastAsia"/>
                      <w:vertAlign w:val="superscript"/>
                    </w:rPr>
                    <w:t>3</w:t>
                  </w:r>
                  <w:r>
                    <w:rPr>
                      <w:rFonts w:hint="eastAsia"/>
                    </w:rPr>
                    <w:t>/a</w:t>
                  </w:r>
                </w:p>
              </w:tc>
              <w:tc>
                <w:tcPr>
                  <w:tcW w:w="599" w:type="pct"/>
                  <w:vAlign w:val="center"/>
                </w:tcPr>
                <w:p w14:paraId="742412B6">
                  <w:pPr>
                    <w:pStyle w:val="31"/>
                  </w:pPr>
                  <w:r>
                    <w:rPr>
                      <w:rFonts w:hint="eastAsia"/>
                    </w:rPr>
                    <w:t>/</w:t>
                  </w:r>
                </w:p>
              </w:tc>
              <w:tc>
                <w:tcPr>
                  <w:tcW w:w="841" w:type="pct"/>
                  <w:vAlign w:val="center"/>
                </w:tcPr>
                <w:p w14:paraId="26EEC05D">
                  <w:pPr>
                    <w:pStyle w:val="31"/>
                  </w:pPr>
                </w:p>
              </w:tc>
            </w:tr>
          </w:tbl>
          <w:p w14:paraId="7DC04C49">
            <w:pPr>
              <w:ind w:firstLine="442"/>
              <w:rPr>
                <w:rFonts w:cs="Times New Roman"/>
                <w:b/>
                <w:bCs/>
                <w:sz w:val="22"/>
                <w:szCs w:val="28"/>
              </w:rPr>
            </w:pPr>
            <w:r>
              <w:rPr>
                <w:rFonts w:hint="eastAsia"/>
                <w:b/>
                <w:bCs/>
                <w:sz w:val="22"/>
                <w:szCs w:val="21"/>
              </w:rPr>
              <w:t>注：本项目</w:t>
            </w:r>
            <w:r>
              <w:rPr>
                <w:rFonts w:cs="Times New Roman"/>
                <w:b/>
                <w:bCs/>
                <w:sz w:val="22"/>
                <w:szCs w:val="28"/>
              </w:rPr>
              <w:t>锅炉清洗委托专业资质单位清洗</w:t>
            </w:r>
            <w:r>
              <w:rPr>
                <w:rFonts w:hint="eastAsia" w:cs="Times New Roman"/>
                <w:b/>
                <w:bCs/>
                <w:sz w:val="22"/>
                <w:szCs w:val="28"/>
              </w:rPr>
              <w:t>。</w:t>
            </w:r>
          </w:p>
          <w:p w14:paraId="553B75CB">
            <w:pPr>
              <w:ind w:firstLine="482"/>
              <w:rPr>
                <w:b/>
                <w:bCs/>
              </w:rPr>
            </w:pPr>
            <w:r>
              <w:rPr>
                <w:rFonts w:hint="eastAsia"/>
                <w:b/>
                <w:bCs/>
              </w:rPr>
              <w:t>原辅料介绍：</w:t>
            </w:r>
          </w:p>
          <w:p w14:paraId="6522CE87">
            <w:pPr>
              <w:adjustRightInd w:val="0"/>
              <w:snapToGrid w:val="0"/>
              <w:ind w:firstLine="482"/>
              <w:rPr>
                <w:rFonts w:cs="Times New Roman"/>
                <w:szCs w:val="32"/>
              </w:rPr>
            </w:pPr>
            <w:r>
              <w:rPr>
                <w:rFonts w:cs="Times New Roman"/>
                <w:b/>
                <w:bCs/>
                <w:szCs w:val="32"/>
                <w:lang w:val="zh-CN"/>
              </w:rPr>
              <w:t>生物质燃料：</w:t>
            </w:r>
            <w:r>
              <w:rPr>
                <w:rFonts w:hint="eastAsia" w:cs="Times New Roman"/>
                <w:szCs w:val="32"/>
                <w:lang w:val="zh-CN"/>
              </w:rPr>
              <w:t>本项目</w:t>
            </w:r>
            <w:r>
              <w:rPr>
                <w:rFonts w:cs="Times New Roman"/>
                <w:szCs w:val="32"/>
              </w:rPr>
              <w:t>生物质燃料的应用，实际主要是生物质成型燃料（BiomassMouldingFuel，简称BMF），是将农林废物作为原材料，经过粉碎、混合、挤压、烘干等工艺，制成各种成型（</w:t>
            </w:r>
            <w:r>
              <w:rPr>
                <w:rFonts w:hint="eastAsia" w:cs="Times New Roman"/>
                <w:szCs w:val="32"/>
              </w:rPr>
              <w:t>片状或块状</w:t>
            </w:r>
            <w:r>
              <w:rPr>
                <w:rFonts w:cs="Times New Roman"/>
                <w:szCs w:val="32"/>
              </w:rPr>
              <w:t>）的，可直接燃烧的一种新型清洁燃料。根据业主提供的《生物质气化燃气检验报告》（见附件），本项目生物质化燃气成分如下：</w:t>
            </w:r>
          </w:p>
          <w:p w14:paraId="0359EC76">
            <w:pPr>
              <w:pStyle w:val="29"/>
            </w:pPr>
            <w:r>
              <w:t>生物质气化燃气的成分分析表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12"/>
              <w:gridCol w:w="1539"/>
              <w:gridCol w:w="2308"/>
              <w:gridCol w:w="2650"/>
            </w:tblGrid>
            <w:tr w14:paraId="12AFA9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2BD10F0F">
                  <w:pPr>
                    <w:pStyle w:val="31"/>
                    <w:rPr>
                      <w:b/>
                      <w:bCs/>
                    </w:rPr>
                  </w:pPr>
                  <w:r>
                    <w:rPr>
                      <w:b/>
                      <w:bCs/>
                    </w:rPr>
                    <w:t>序号</w:t>
                  </w:r>
                </w:p>
              </w:tc>
              <w:tc>
                <w:tcPr>
                  <w:tcW w:w="2402" w:type="pct"/>
                  <w:gridSpan w:val="2"/>
                  <w:vAlign w:val="center"/>
                </w:tcPr>
                <w:p w14:paraId="0E3B8207">
                  <w:pPr>
                    <w:pStyle w:val="31"/>
                    <w:rPr>
                      <w:b/>
                      <w:bCs/>
                    </w:rPr>
                  </w:pPr>
                  <w:r>
                    <w:rPr>
                      <w:b/>
                      <w:bCs/>
                    </w:rPr>
                    <w:t>指标</w:t>
                  </w:r>
                </w:p>
              </w:tc>
              <w:tc>
                <w:tcPr>
                  <w:tcW w:w="1654" w:type="pct"/>
                  <w:vAlign w:val="center"/>
                </w:tcPr>
                <w:p w14:paraId="1BF7F646">
                  <w:pPr>
                    <w:pStyle w:val="31"/>
                    <w:rPr>
                      <w:b/>
                      <w:bCs/>
                    </w:rPr>
                  </w:pPr>
                  <w:r>
                    <w:rPr>
                      <w:b/>
                      <w:bCs/>
                    </w:rPr>
                    <w:t>检测结果</w:t>
                  </w:r>
                </w:p>
              </w:tc>
            </w:tr>
            <w:tr w14:paraId="1546CE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7817DD43">
                  <w:pPr>
                    <w:pStyle w:val="31"/>
                  </w:pPr>
                  <w:r>
                    <w:t>1</w:t>
                  </w:r>
                </w:p>
              </w:tc>
              <w:tc>
                <w:tcPr>
                  <w:tcW w:w="961" w:type="pct"/>
                  <w:vMerge w:val="restart"/>
                  <w:vAlign w:val="center"/>
                </w:tcPr>
                <w:p w14:paraId="46905B8F">
                  <w:pPr>
                    <w:pStyle w:val="31"/>
                  </w:pPr>
                  <w:r>
                    <w:t>组分</w:t>
                  </w:r>
                </w:p>
              </w:tc>
              <w:tc>
                <w:tcPr>
                  <w:tcW w:w="1441" w:type="pct"/>
                  <w:vAlign w:val="center"/>
                </w:tcPr>
                <w:p w14:paraId="2B155F7B">
                  <w:pPr>
                    <w:pStyle w:val="31"/>
                  </w:pPr>
                  <w:r>
                    <w:rPr>
                      <w:rFonts w:hint="eastAsia"/>
                    </w:rPr>
                    <w:t>一氧化碳</w:t>
                  </w:r>
                  <w:r>
                    <w:t>（%，V/V）</w:t>
                  </w:r>
                </w:p>
              </w:tc>
              <w:tc>
                <w:tcPr>
                  <w:tcW w:w="1654" w:type="pct"/>
                  <w:vAlign w:val="center"/>
                </w:tcPr>
                <w:p w14:paraId="6DFCC60D">
                  <w:pPr>
                    <w:pStyle w:val="31"/>
                  </w:pPr>
                  <w:r>
                    <w:rPr>
                      <w:rFonts w:hint="eastAsia"/>
                    </w:rPr>
                    <w:t>22.66</w:t>
                  </w:r>
                </w:p>
              </w:tc>
            </w:tr>
            <w:tr w14:paraId="4133D4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58781524">
                  <w:pPr>
                    <w:pStyle w:val="31"/>
                  </w:pPr>
                  <w:r>
                    <w:t>2</w:t>
                  </w:r>
                </w:p>
              </w:tc>
              <w:tc>
                <w:tcPr>
                  <w:tcW w:w="961" w:type="pct"/>
                  <w:vMerge w:val="continue"/>
                  <w:vAlign w:val="center"/>
                </w:tcPr>
                <w:p w14:paraId="11CFE64A">
                  <w:pPr>
                    <w:pStyle w:val="31"/>
                  </w:pPr>
                </w:p>
              </w:tc>
              <w:tc>
                <w:tcPr>
                  <w:tcW w:w="1441" w:type="pct"/>
                  <w:vAlign w:val="center"/>
                </w:tcPr>
                <w:p w14:paraId="6FC2610C">
                  <w:pPr>
                    <w:pStyle w:val="31"/>
                  </w:pPr>
                  <w:r>
                    <w:rPr>
                      <w:rFonts w:hint="eastAsia"/>
                    </w:rPr>
                    <w:t>氢气</w:t>
                  </w:r>
                  <w:r>
                    <w:t>（%，V/V）</w:t>
                  </w:r>
                </w:p>
              </w:tc>
              <w:tc>
                <w:tcPr>
                  <w:tcW w:w="1654" w:type="pct"/>
                  <w:vAlign w:val="center"/>
                </w:tcPr>
                <w:p w14:paraId="0F120418">
                  <w:pPr>
                    <w:pStyle w:val="31"/>
                  </w:pPr>
                  <w:r>
                    <w:rPr>
                      <w:rFonts w:hint="eastAsia"/>
                    </w:rPr>
                    <w:t>16.90</w:t>
                  </w:r>
                </w:p>
              </w:tc>
            </w:tr>
            <w:tr w14:paraId="6A531B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7C6EECA8">
                  <w:pPr>
                    <w:pStyle w:val="31"/>
                  </w:pPr>
                  <w:r>
                    <w:t>3</w:t>
                  </w:r>
                </w:p>
              </w:tc>
              <w:tc>
                <w:tcPr>
                  <w:tcW w:w="961" w:type="pct"/>
                  <w:vMerge w:val="continue"/>
                  <w:vAlign w:val="center"/>
                </w:tcPr>
                <w:p w14:paraId="4679E064">
                  <w:pPr>
                    <w:pStyle w:val="31"/>
                  </w:pPr>
                </w:p>
              </w:tc>
              <w:tc>
                <w:tcPr>
                  <w:tcW w:w="1441" w:type="pct"/>
                  <w:vAlign w:val="center"/>
                </w:tcPr>
                <w:p w14:paraId="4CA243CE">
                  <w:pPr>
                    <w:pStyle w:val="31"/>
                  </w:pPr>
                  <w:r>
                    <w:rPr>
                      <w:rFonts w:hint="eastAsia"/>
                    </w:rPr>
                    <w:t>二氧化碳</w:t>
                  </w:r>
                  <w:r>
                    <w:t>（%，V/V）</w:t>
                  </w:r>
                </w:p>
              </w:tc>
              <w:tc>
                <w:tcPr>
                  <w:tcW w:w="1654" w:type="pct"/>
                  <w:vAlign w:val="center"/>
                </w:tcPr>
                <w:p w14:paraId="081009C2">
                  <w:pPr>
                    <w:pStyle w:val="31"/>
                  </w:pPr>
                  <w:r>
                    <w:rPr>
                      <w:rFonts w:hint="eastAsia"/>
                    </w:rPr>
                    <w:t>8.64</w:t>
                  </w:r>
                </w:p>
              </w:tc>
            </w:tr>
            <w:tr w14:paraId="079AD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115BE759">
                  <w:pPr>
                    <w:pStyle w:val="31"/>
                  </w:pPr>
                  <w:r>
                    <w:t>4</w:t>
                  </w:r>
                </w:p>
              </w:tc>
              <w:tc>
                <w:tcPr>
                  <w:tcW w:w="961" w:type="pct"/>
                  <w:vMerge w:val="continue"/>
                  <w:vAlign w:val="center"/>
                </w:tcPr>
                <w:p w14:paraId="0DC6F1F7">
                  <w:pPr>
                    <w:pStyle w:val="31"/>
                  </w:pPr>
                </w:p>
              </w:tc>
              <w:tc>
                <w:tcPr>
                  <w:tcW w:w="1441" w:type="pct"/>
                  <w:vAlign w:val="center"/>
                </w:tcPr>
                <w:p w14:paraId="243D3FCA">
                  <w:pPr>
                    <w:pStyle w:val="31"/>
                  </w:pPr>
                  <w:r>
                    <w:rPr>
                      <w:rFonts w:hint="eastAsia"/>
                    </w:rPr>
                    <w:t>氧气</w:t>
                  </w:r>
                  <w:r>
                    <w:t>（%，V/V）</w:t>
                  </w:r>
                </w:p>
              </w:tc>
              <w:tc>
                <w:tcPr>
                  <w:tcW w:w="1654" w:type="pct"/>
                  <w:vAlign w:val="center"/>
                </w:tcPr>
                <w:p w14:paraId="5CC4DE8E">
                  <w:pPr>
                    <w:pStyle w:val="31"/>
                  </w:pPr>
                  <w:r>
                    <w:rPr>
                      <w:rFonts w:hint="eastAsia"/>
                    </w:rPr>
                    <w:t>2.70</w:t>
                  </w:r>
                </w:p>
              </w:tc>
            </w:tr>
            <w:tr w14:paraId="05E926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59C17CAC">
                  <w:pPr>
                    <w:pStyle w:val="31"/>
                  </w:pPr>
                  <w:r>
                    <w:t>5</w:t>
                  </w:r>
                </w:p>
              </w:tc>
              <w:tc>
                <w:tcPr>
                  <w:tcW w:w="961" w:type="pct"/>
                  <w:vMerge w:val="continue"/>
                  <w:vAlign w:val="center"/>
                </w:tcPr>
                <w:p w14:paraId="6ED8AE32">
                  <w:pPr>
                    <w:pStyle w:val="31"/>
                  </w:pPr>
                </w:p>
              </w:tc>
              <w:tc>
                <w:tcPr>
                  <w:tcW w:w="1441" w:type="pct"/>
                  <w:vAlign w:val="center"/>
                </w:tcPr>
                <w:p w14:paraId="099F9A98">
                  <w:pPr>
                    <w:pStyle w:val="31"/>
                  </w:pPr>
                  <w:r>
                    <w:rPr>
                      <w:rFonts w:hint="eastAsia"/>
                    </w:rPr>
                    <w:t>氮气</w:t>
                  </w:r>
                  <w:r>
                    <w:t>（%，V/V）</w:t>
                  </w:r>
                </w:p>
              </w:tc>
              <w:tc>
                <w:tcPr>
                  <w:tcW w:w="1654" w:type="pct"/>
                  <w:vAlign w:val="center"/>
                </w:tcPr>
                <w:p w14:paraId="4AFA7862">
                  <w:pPr>
                    <w:pStyle w:val="31"/>
                  </w:pPr>
                  <w:r>
                    <w:rPr>
                      <w:rFonts w:hint="eastAsia"/>
                    </w:rPr>
                    <w:t>45.75</w:t>
                  </w:r>
                </w:p>
              </w:tc>
            </w:tr>
            <w:tr w14:paraId="47B75D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5C69D593">
                  <w:pPr>
                    <w:pStyle w:val="31"/>
                  </w:pPr>
                  <w:r>
                    <w:t>6</w:t>
                  </w:r>
                </w:p>
              </w:tc>
              <w:tc>
                <w:tcPr>
                  <w:tcW w:w="961" w:type="pct"/>
                  <w:vMerge w:val="continue"/>
                  <w:vAlign w:val="center"/>
                </w:tcPr>
                <w:p w14:paraId="63334AB5">
                  <w:pPr>
                    <w:pStyle w:val="31"/>
                  </w:pPr>
                </w:p>
              </w:tc>
              <w:tc>
                <w:tcPr>
                  <w:tcW w:w="1441" w:type="pct"/>
                  <w:vAlign w:val="center"/>
                </w:tcPr>
                <w:p w14:paraId="41C5E795">
                  <w:pPr>
                    <w:pStyle w:val="31"/>
                  </w:pPr>
                  <w:r>
                    <w:rPr>
                      <w:rFonts w:hint="eastAsia"/>
                    </w:rPr>
                    <w:t>甲烷</w:t>
                  </w:r>
                  <w:r>
                    <w:t>（%，V/V）</w:t>
                  </w:r>
                </w:p>
              </w:tc>
              <w:tc>
                <w:tcPr>
                  <w:tcW w:w="1654" w:type="pct"/>
                  <w:vAlign w:val="center"/>
                </w:tcPr>
                <w:p w14:paraId="60521332">
                  <w:pPr>
                    <w:pStyle w:val="31"/>
                  </w:pPr>
                  <w:r>
                    <w:rPr>
                      <w:rFonts w:hint="eastAsia"/>
                    </w:rPr>
                    <w:t>2.95</w:t>
                  </w:r>
                </w:p>
              </w:tc>
            </w:tr>
            <w:tr w14:paraId="5BBB2C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60936603">
                  <w:pPr>
                    <w:pStyle w:val="31"/>
                  </w:pPr>
                  <w:r>
                    <w:t>7</w:t>
                  </w:r>
                </w:p>
              </w:tc>
              <w:tc>
                <w:tcPr>
                  <w:tcW w:w="961" w:type="pct"/>
                  <w:vMerge w:val="continue"/>
                  <w:vAlign w:val="center"/>
                </w:tcPr>
                <w:p w14:paraId="11BD58D6">
                  <w:pPr>
                    <w:pStyle w:val="31"/>
                  </w:pPr>
                </w:p>
              </w:tc>
              <w:tc>
                <w:tcPr>
                  <w:tcW w:w="1441" w:type="pct"/>
                  <w:vAlign w:val="center"/>
                </w:tcPr>
                <w:p w14:paraId="2805B1C1">
                  <w:pPr>
                    <w:pStyle w:val="31"/>
                  </w:pPr>
                  <w:r>
                    <w:rPr>
                      <w:rFonts w:hint="eastAsia"/>
                    </w:rPr>
                    <w:t>乙烷</w:t>
                  </w:r>
                  <w:r>
                    <w:t>（%，V/V）</w:t>
                  </w:r>
                </w:p>
              </w:tc>
              <w:tc>
                <w:tcPr>
                  <w:tcW w:w="1654" w:type="pct"/>
                  <w:vAlign w:val="center"/>
                </w:tcPr>
                <w:p w14:paraId="7D8112CD">
                  <w:pPr>
                    <w:pStyle w:val="31"/>
                  </w:pPr>
                  <w:r>
                    <w:rPr>
                      <w:rFonts w:hint="eastAsia"/>
                    </w:rPr>
                    <w:t>0.20</w:t>
                  </w:r>
                </w:p>
              </w:tc>
            </w:tr>
            <w:tr w14:paraId="1F6EA1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36A9BEAC">
                  <w:pPr>
                    <w:pStyle w:val="31"/>
                  </w:pPr>
                  <w:r>
                    <w:t>8</w:t>
                  </w:r>
                </w:p>
              </w:tc>
              <w:tc>
                <w:tcPr>
                  <w:tcW w:w="961" w:type="pct"/>
                  <w:vMerge w:val="continue"/>
                  <w:vAlign w:val="center"/>
                </w:tcPr>
                <w:p w14:paraId="290499F6">
                  <w:pPr>
                    <w:pStyle w:val="31"/>
                  </w:pPr>
                </w:p>
              </w:tc>
              <w:tc>
                <w:tcPr>
                  <w:tcW w:w="1441" w:type="pct"/>
                  <w:vAlign w:val="center"/>
                </w:tcPr>
                <w:p w14:paraId="3093452A">
                  <w:pPr>
                    <w:pStyle w:val="31"/>
                  </w:pPr>
                  <w:r>
                    <w:rPr>
                      <w:rFonts w:hint="eastAsia"/>
                    </w:rPr>
                    <w:t>乙烯</w:t>
                  </w:r>
                  <w:r>
                    <w:t>（%，V/V）</w:t>
                  </w:r>
                </w:p>
              </w:tc>
              <w:tc>
                <w:tcPr>
                  <w:tcW w:w="1654" w:type="pct"/>
                  <w:vAlign w:val="center"/>
                </w:tcPr>
                <w:p w14:paraId="1CD12B16">
                  <w:pPr>
                    <w:pStyle w:val="31"/>
                  </w:pPr>
                  <w:r>
                    <w:rPr>
                      <w:rFonts w:hint="eastAsia"/>
                    </w:rPr>
                    <w:t>0.10</w:t>
                  </w:r>
                </w:p>
              </w:tc>
            </w:tr>
            <w:tr w14:paraId="408EB3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7240AD93">
                  <w:pPr>
                    <w:pStyle w:val="31"/>
                  </w:pPr>
                  <w:r>
                    <w:t>9</w:t>
                  </w:r>
                </w:p>
              </w:tc>
              <w:tc>
                <w:tcPr>
                  <w:tcW w:w="961" w:type="pct"/>
                  <w:vMerge w:val="continue"/>
                  <w:vAlign w:val="center"/>
                </w:tcPr>
                <w:p w14:paraId="364FC448">
                  <w:pPr>
                    <w:pStyle w:val="31"/>
                  </w:pPr>
                </w:p>
              </w:tc>
              <w:tc>
                <w:tcPr>
                  <w:tcW w:w="1441" w:type="pct"/>
                  <w:vAlign w:val="center"/>
                </w:tcPr>
                <w:p w14:paraId="2D29DCF1">
                  <w:pPr>
                    <w:pStyle w:val="31"/>
                  </w:pPr>
                  <w:r>
                    <w:rPr>
                      <w:rFonts w:hint="eastAsia"/>
                    </w:rPr>
                    <w:t>丙烷</w:t>
                  </w:r>
                  <w:r>
                    <w:t>（%，V/V）</w:t>
                  </w:r>
                </w:p>
              </w:tc>
              <w:tc>
                <w:tcPr>
                  <w:tcW w:w="1654" w:type="pct"/>
                  <w:vAlign w:val="center"/>
                </w:tcPr>
                <w:p w14:paraId="3A0DDAC6">
                  <w:pPr>
                    <w:pStyle w:val="31"/>
                  </w:pPr>
                  <w:r>
                    <w:rPr>
                      <w:rFonts w:hint="eastAsia"/>
                    </w:rPr>
                    <w:t>0.04</w:t>
                  </w:r>
                </w:p>
              </w:tc>
            </w:tr>
            <w:tr w14:paraId="28912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3D9758F7">
                  <w:pPr>
                    <w:pStyle w:val="31"/>
                  </w:pPr>
                  <w:r>
                    <w:t>10</w:t>
                  </w:r>
                </w:p>
              </w:tc>
              <w:tc>
                <w:tcPr>
                  <w:tcW w:w="961" w:type="pct"/>
                  <w:vMerge w:val="continue"/>
                  <w:vAlign w:val="center"/>
                </w:tcPr>
                <w:p w14:paraId="723CC53B">
                  <w:pPr>
                    <w:pStyle w:val="31"/>
                  </w:pPr>
                </w:p>
              </w:tc>
              <w:tc>
                <w:tcPr>
                  <w:tcW w:w="1441" w:type="pct"/>
                  <w:vAlign w:val="center"/>
                </w:tcPr>
                <w:p w14:paraId="20676FE8">
                  <w:pPr>
                    <w:pStyle w:val="31"/>
                  </w:pPr>
                  <w:r>
                    <w:rPr>
                      <w:rFonts w:hint="eastAsia"/>
                    </w:rPr>
                    <w:t>丙烯</w:t>
                  </w:r>
                  <w:r>
                    <w:t>（%，V/V）</w:t>
                  </w:r>
                </w:p>
              </w:tc>
              <w:tc>
                <w:tcPr>
                  <w:tcW w:w="1654" w:type="pct"/>
                  <w:vAlign w:val="center"/>
                </w:tcPr>
                <w:p w14:paraId="3B3CDA58">
                  <w:pPr>
                    <w:pStyle w:val="31"/>
                  </w:pPr>
                  <w:r>
                    <w:rPr>
                      <w:rFonts w:hint="eastAsia"/>
                    </w:rPr>
                    <w:t>0.06</w:t>
                  </w:r>
                </w:p>
              </w:tc>
            </w:tr>
            <w:tr w14:paraId="492695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02" w:hRule="atLeast"/>
                <w:jc w:val="center"/>
              </w:trPr>
              <w:tc>
                <w:tcPr>
                  <w:tcW w:w="944" w:type="pct"/>
                  <w:vAlign w:val="center"/>
                </w:tcPr>
                <w:p w14:paraId="64350273">
                  <w:pPr>
                    <w:pStyle w:val="31"/>
                  </w:pPr>
                  <w:r>
                    <w:t>11</w:t>
                  </w:r>
                </w:p>
              </w:tc>
              <w:tc>
                <w:tcPr>
                  <w:tcW w:w="961" w:type="pct"/>
                  <w:vMerge w:val="continue"/>
                  <w:vAlign w:val="center"/>
                </w:tcPr>
                <w:p w14:paraId="60ABEB90">
                  <w:pPr>
                    <w:pStyle w:val="31"/>
                  </w:pPr>
                </w:p>
              </w:tc>
              <w:tc>
                <w:tcPr>
                  <w:tcW w:w="1441" w:type="pct"/>
                </w:tcPr>
                <w:p w14:paraId="3E78E1D5">
                  <w:pPr>
                    <w:pStyle w:val="31"/>
                  </w:pPr>
                  <w:r>
                    <w:t>硫化氢（mg/m</w:t>
                  </w:r>
                  <w:r>
                    <w:rPr>
                      <w:vertAlign w:val="superscript"/>
                    </w:rPr>
                    <w:t>3</w:t>
                  </w:r>
                  <w:r>
                    <w:t>）</w:t>
                  </w:r>
                </w:p>
              </w:tc>
              <w:tc>
                <w:tcPr>
                  <w:tcW w:w="1654" w:type="pct"/>
                  <w:vAlign w:val="center"/>
                </w:tcPr>
                <w:p w14:paraId="3E7C7F25">
                  <w:pPr>
                    <w:pStyle w:val="31"/>
                  </w:pPr>
                  <w:r>
                    <w:rPr>
                      <w:rFonts w:hint="eastAsia"/>
                    </w:rPr>
                    <w:t>0.29</w:t>
                  </w:r>
                </w:p>
              </w:tc>
            </w:tr>
            <w:tr w14:paraId="008E7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683B2D53">
                  <w:pPr>
                    <w:pStyle w:val="31"/>
                  </w:pPr>
                  <w:r>
                    <w:t>12</w:t>
                  </w:r>
                </w:p>
              </w:tc>
              <w:tc>
                <w:tcPr>
                  <w:tcW w:w="961" w:type="pct"/>
                  <w:vMerge w:val="restart"/>
                  <w:vAlign w:val="center"/>
                </w:tcPr>
                <w:p w14:paraId="4146AE61">
                  <w:pPr>
                    <w:pStyle w:val="31"/>
                  </w:pPr>
                  <w:r>
                    <w:t>热值</w:t>
                  </w:r>
                </w:p>
              </w:tc>
              <w:tc>
                <w:tcPr>
                  <w:tcW w:w="1441" w:type="pct"/>
                  <w:vAlign w:val="center"/>
                </w:tcPr>
                <w:p w14:paraId="4F9CA84A">
                  <w:pPr>
                    <w:pStyle w:val="31"/>
                  </w:pPr>
                  <w:r>
                    <w:t>高位发热量（MJ/m</w:t>
                  </w:r>
                  <w:r>
                    <w:rPr>
                      <w:vertAlign w:val="superscript"/>
                    </w:rPr>
                    <w:t>3</w:t>
                  </w:r>
                  <w:r>
                    <w:t>）</w:t>
                  </w:r>
                </w:p>
              </w:tc>
              <w:tc>
                <w:tcPr>
                  <w:tcW w:w="1654" w:type="pct"/>
                  <w:vAlign w:val="center"/>
                </w:tcPr>
                <w:p w14:paraId="47F0EBAF">
                  <w:pPr>
                    <w:pStyle w:val="31"/>
                  </w:pPr>
                  <w:r>
                    <w:rPr>
                      <w:rFonts w:hint="eastAsia"/>
                    </w:rPr>
                    <w:t>6.15</w:t>
                  </w:r>
                </w:p>
              </w:tc>
            </w:tr>
            <w:tr w14:paraId="4ED29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74D37226">
                  <w:pPr>
                    <w:pStyle w:val="31"/>
                  </w:pPr>
                  <w:r>
                    <w:t>13</w:t>
                  </w:r>
                </w:p>
              </w:tc>
              <w:tc>
                <w:tcPr>
                  <w:tcW w:w="961" w:type="pct"/>
                  <w:vMerge w:val="continue"/>
                  <w:vAlign w:val="center"/>
                </w:tcPr>
                <w:p w14:paraId="6ECF1BEE">
                  <w:pPr>
                    <w:pStyle w:val="31"/>
                  </w:pPr>
                </w:p>
              </w:tc>
              <w:tc>
                <w:tcPr>
                  <w:tcW w:w="1441" w:type="pct"/>
                  <w:vAlign w:val="center"/>
                </w:tcPr>
                <w:p w14:paraId="1A6F7612">
                  <w:pPr>
                    <w:pStyle w:val="31"/>
                  </w:pPr>
                  <w:r>
                    <w:t>低位发热量（MJ/m</w:t>
                  </w:r>
                  <w:r>
                    <w:rPr>
                      <w:vertAlign w:val="superscript"/>
                    </w:rPr>
                    <w:t>3</w:t>
                  </w:r>
                  <w:r>
                    <w:t>）</w:t>
                  </w:r>
                </w:p>
              </w:tc>
              <w:tc>
                <w:tcPr>
                  <w:tcW w:w="1654" w:type="pct"/>
                  <w:vAlign w:val="center"/>
                </w:tcPr>
                <w:p w14:paraId="411146B6">
                  <w:pPr>
                    <w:pStyle w:val="31"/>
                  </w:pPr>
                  <w:r>
                    <w:rPr>
                      <w:rFonts w:hint="eastAsia"/>
                    </w:rPr>
                    <w:t>5.70</w:t>
                  </w:r>
                </w:p>
              </w:tc>
            </w:tr>
            <w:tr w14:paraId="647CBE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007CCC15">
                  <w:pPr>
                    <w:pStyle w:val="31"/>
                  </w:pPr>
                  <w:r>
                    <w:t>14</w:t>
                  </w:r>
                </w:p>
              </w:tc>
              <w:tc>
                <w:tcPr>
                  <w:tcW w:w="961" w:type="pct"/>
                  <w:vMerge w:val="restart"/>
                  <w:vAlign w:val="center"/>
                </w:tcPr>
                <w:p w14:paraId="4EADF6FA">
                  <w:pPr>
                    <w:pStyle w:val="31"/>
                  </w:pPr>
                  <w:r>
                    <w:t>燃气密度</w:t>
                  </w:r>
                </w:p>
              </w:tc>
              <w:tc>
                <w:tcPr>
                  <w:tcW w:w="1441" w:type="pct"/>
                  <w:vAlign w:val="center"/>
                </w:tcPr>
                <w:p w14:paraId="02E8BB41">
                  <w:pPr>
                    <w:pStyle w:val="31"/>
                  </w:pPr>
                  <w:r>
                    <w:t>密度（kg/m</w:t>
                  </w:r>
                  <w:r>
                    <w:rPr>
                      <w:vertAlign w:val="superscript"/>
                    </w:rPr>
                    <w:t>3</w:t>
                  </w:r>
                  <w:r>
                    <w:t>）</w:t>
                  </w:r>
                </w:p>
              </w:tc>
              <w:tc>
                <w:tcPr>
                  <w:tcW w:w="1654" w:type="pct"/>
                  <w:vAlign w:val="center"/>
                </w:tcPr>
                <w:p w14:paraId="356450CE">
                  <w:pPr>
                    <w:pStyle w:val="31"/>
                  </w:pPr>
                  <w:r>
                    <w:t>1.</w:t>
                  </w:r>
                  <w:r>
                    <w:rPr>
                      <w:rFonts w:hint="eastAsia"/>
                    </w:rPr>
                    <w:t>05</w:t>
                  </w:r>
                </w:p>
              </w:tc>
            </w:tr>
            <w:tr w14:paraId="0F0501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944" w:type="pct"/>
                  <w:vAlign w:val="center"/>
                </w:tcPr>
                <w:p w14:paraId="20A1AF3E">
                  <w:pPr>
                    <w:pStyle w:val="31"/>
                  </w:pPr>
                  <w:r>
                    <w:t>15</w:t>
                  </w:r>
                </w:p>
              </w:tc>
              <w:tc>
                <w:tcPr>
                  <w:tcW w:w="961" w:type="pct"/>
                  <w:vMerge w:val="continue"/>
                  <w:vAlign w:val="center"/>
                </w:tcPr>
                <w:p w14:paraId="75CCA2FB">
                  <w:pPr>
                    <w:pStyle w:val="31"/>
                  </w:pPr>
                </w:p>
              </w:tc>
              <w:tc>
                <w:tcPr>
                  <w:tcW w:w="1441" w:type="pct"/>
                  <w:vAlign w:val="center"/>
                </w:tcPr>
                <w:p w14:paraId="46955FA2">
                  <w:pPr>
                    <w:pStyle w:val="31"/>
                  </w:pPr>
                  <w:r>
                    <w:t>相对密度</w:t>
                  </w:r>
                </w:p>
              </w:tc>
              <w:tc>
                <w:tcPr>
                  <w:tcW w:w="1654" w:type="pct"/>
                  <w:vAlign w:val="center"/>
                </w:tcPr>
                <w:p w14:paraId="6B82ABC8">
                  <w:pPr>
                    <w:pStyle w:val="31"/>
                  </w:pPr>
                  <w:r>
                    <w:t>0.8</w:t>
                  </w:r>
                  <w:r>
                    <w:rPr>
                      <w:rFonts w:hint="eastAsia"/>
                    </w:rPr>
                    <w:t>6</w:t>
                  </w:r>
                </w:p>
              </w:tc>
            </w:tr>
          </w:tbl>
          <w:p w14:paraId="4E046C30">
            <w:pPr>
              <w:ind w:firstLine="482"/>
              <w:rPr>
                <w:b/>
                <w:bCs/>
              </w:rPr>
            </w:pPr>
            <w:r>
              <w:rPr>
                <w:rFonts w:hint="eastAsia"/>
                <w:b/>
                <w:bCs/>
              </w:rPr>
              <w:t>氨水：</w:t>
            </w:r>
            <w:r>
              <w:rPr>
                <w:rFonts w:hint="eastAsia"/>
              </w:rPr>
              <w:t>氨水</w:t>
            </w:r>
            <w:r>
              <w:t>为气体氨的水溶液，主要成分为NH</w:t>
            </w:r>
            <w:r>
              <w:rPr>
                <w:vertAlign w:val="subscript"/>
              </w:rPr>
              <w:t>3</w:t>
            </w:r>
            <w:r>
              <w:t>·H</w:t>
            </w:r>
            <w:r>
              <w:rPr>
                <w:vertAlign w:val="subscript"/>
              </w:rPr>
              <w:t>2</w:t>
            </w:r>
            <w:r>
              <w:t>O，即</w:t>
            </w:r>
            <w:r>
              <w:fldChar w:fldCharType="begin"/>
            </w:r>
            <w:r>
              <w:instrText xml:space="preserve">HYPERLINK "https://baike.baidu.com/item/%E4%B8%80%E6%B0%B4%E5%90%88%E6%B0%A8/10589391?fromModule=lemma_inlink" \t "_blank"</w:instrText>
            </w:r>
            <w:r>
              <w:fldChar w:fldCharType="separate"/>
            </w:r>
            <w:r>
              <w:t>一水合氨</w:t>
            </w:r>
            <w:r>
              <w:fldChar w:fldCharType="end"/>
            </w:r>
            <w:r>
              <w:t>，无色透明且具有刺激性臭味。氨水密度小于水，不稳定，易挥发，见光受热易分解。氨水本身是不燃烧、无爆炸危险的液体，从水中分离的氨气具有强烈刺鼻气味，对人体的眼、鼻和皮肤都有一定的刺激性和腐蚀性，且具有燃烧和爆炸危险。</w:t>
            </w:r>
          </w:p>
          <w:p w14:paraId="1AB74BB3">
            <w:pPr>
              <w:ind w:firstLine="480"/>
            </w:pPr>
            <w:r>
              <w:rPr>
                <w:rFonts w:hint="eastAsia"/>
              </w:rPr>
              <w:t>本项目外购成品氨水（</w:t>
            </w:r>
            <w:r>
              <w:t>20%</w:t>
            </w:r>
            <w:r>
              <w:rPr>
                <w:rFonts w:hint="eastAsia"/>
              </w:rPr>
              <w:t>浓度）。采用2个容积为40m</w:t>
            </w:r>
            <w:r>
              <w:rPr>
                <w:rFonts w:hint="eastAsia"/>
                <w:vertAlign w:val="superscript"/>
              </w:rPr>
              <w:t>3</w:t>
            </w:r>
            <w:r>
              <w:rPr>
                <w:rFonts w:hint="eastAsia"/>
              </w:rPr>
              <w:t>的不锈钢圆柱氨水储罐。根据建设单位提供资料，为保证脱硝效率，设计单套脱硝系统消耗氨水量为100kg/h。同时，考虑氨水储罐到SCR脱硝系统反应过程管道中的量（即前处理量）。在SCR脱硝系统中，氨水从储罐到参与反应的前处理时间主要取决于系统设计、输送流程及工艺要求。总前处理时间一般为10~60秒，本项目取60秒。</w:t>
            </w:r>
          </w:p>
          <w:p w14:paraId="04DFD8D7">
            <w:pPr>
              <w:ind w:firstLine="480"/>
            </w:pPr>
            <w:r>
              <w:rPr>
                <w:rFonts w:hint="eastAsia"/>
              </w:rPr>
              <w:t>本项目4台锅炉，分别配套1套脱硝系统，年工作7920h。则消耗氨水量为4台×100kg×7920h=3168t/a。2个容积为40m</w:t>
            </w:r>
            <w:r>
              <w:rPr>
                <w:vertAlign w:val="superscript"/>
              </w:rPr>
              <w:t>3</w:t>
            </w:r>
            <w:r>
              <w:rPr>
                <w:rFonts w:hint="eastAsia"/>
              </w:rPr>
              <w:t>的不锈钢圆柱氨水储罐，填充量按0.9计，则最多可容量氨水72m</w:t>
            </w:r>
            <w:r>
              <w:rPr>
                <w:vertAlign w:val="superscript"/>
              </w:rPr>
              <w:t>3</w:t>
            </w:r>
            <w:r>
              <w:rPr>
                <w:rFonts w:hint="eastAsia"/>
              </w:rPr>
              <w:t>。同时，考虑氨水前处理过程中的储量为4台×100kg/h÷60=6.67kg。氨水密度为910kg/m</w:t>
            </w:r>
            <w:r>
              <w:rPr>
                <w:vertAlign w:val="superscript"/>
              </w:rPr>
              <w:t>3</w:t>
            </w:r>
            <w:r>
              <w:rPr>
                <w:rFonts w:hint="eastAsia"/>
              </w:rPr>
              <w:t>。综上全厂氨水最大储存量为72m</w:t>
            </w:r>
            <w:r>
              <w:rPr>
                <w:rFonts w:hint="eastAsia"/>
                <w:vertAlign w:val="superscript"/>
              </w:rPr>
              <w:t>3</w:t>
            </w:r>
            <w:r>
              <w:rPr>
                <w:rFonts w:hint="eastAsia"/>
              </w:rPr>
              <w:t>×910kg/m</w:t>
            </w:r>
            <w:r>
              <w:rPr>
                <w:rFonts w:hint="eastAsia"/>
                <w:vertAlign w:val="superscript"/>
              </w:rPr>
              <w:t>3</w:t>
            </w:r>
            <w:r>
              <w:rPr>
                <w:rFonts w:hint="eastAsia"/>
              </w:rPr>
              <w:t>+6.67kg=65.53t。</w:t>
            </w:r>
          </w:p>
          <w:p w14:paraId="1A8E562C">
            <w:pPr>
              <w:ind w:firstLine="482"/>
              <w:rPr>
                <w:b/>
                <w:bCs/>
              </w:rPr>
            </w:pPr>
            <w:r>
              <w:rPr>
                <w:rFonts w:hint="eastAsia"/>
                <w:b/>
                <w:bCs/>
              </w:rPr>
              <w:t>四、主要设备</w:t>
            </w:r>
          </w:p>
          <w:p w14:paraId="618C93F3">
            <w:pPr>
              <w:ind w:firstLine="480"/>
            </w:pPr>
            <w:r>
              <w:t>本项目主要设备见下表。</w:t>
            </w:r>
          </w:p>
          <w:p w14:paraId="6914B36E">
            <w:pPr>
              <w:pStyle w:val="29"/>
            </w:pPr>
            <w:r>
              <w:rPr>
                <w:rFonts w:hint="eastAsia"/>
              </w:rPr>
              <w:t xml:space="preserve">  主要设备一览表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48"/>
              <w:gridCol w:w="1111"/>
              <w:gridCol w:w="922"/>
              <w:gridCol w:w="2127"/>
              <w:gridCol w:w="2829"/>
              <w:gridCol w:w="672"/>
            </w:tblGrid>
            <w:tr w14:paraId="423C73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5A348137">
                  <w:pPr>
                    <w:adjustRightInd w:val="0"/>
                    <w:snapToGrid w:val="0"/>
                    <w:spacing w:line="240" w:lineRule="auto"/>
                    <w:ind w:firstLine="0" w:firstLineChars="0"/>
                    <w:jc w:val="center"/>
                    <w:rPr>
                      <w:b/>
                      <w:bCs/>
                      <w:sz w:val="21"/>
                      <w:szCs w:val="21"/>
                    </w:rPr>
                  </w:pPr>
                  <w:r>
                    <w:rPr>
                      <w:rFonts w:hint="eastAsia"/>
                      <w:b/>
                      <w:bCs/>
                      <w:sz w:val="21"/>
                      <w:szCs w:val="21"/>
                    </w:rPr>
                    <w:t>序号</w:t>
                  </w:r>
                </w:p>
              </w:tc>
              <w:tc>
                <w:tcPr>
                  <w:tcW w:w="0" w:type="auto"/>
                  <w:vAlign w:val="center"/>
                </w:tcPr>
                <w:p w14:paraId="2B4DF74B">
                  <w:pPr>
                    <w:adjustRightInd w:val="0"/>
                    <w:snapToGrid w:val="0"/>
                    <w:spacing w:line="240" w:lineRule="auto"/>
                    <w:ind w:firstLine="0" w:firstLineChars="0"/>
                    <w:jc w:val="center"/>
                    <w:rPr>
                      <w:b/>
                      <w:bCs/>
                      <w:sz w:val="21"/>
                      <w:szCs w:val="21"/>
                    </w:rPr>
                  </w:pPr>
                  <w:r>
                    <w:rPr>
                      <w:rFonts w:hint="eastAsia"/>
                      <w:b/>
                      <w:bCs/>
                      <w:sz w:val="21"/>
                      <w:szCs w:val="21"/>
                    </w:rPr>
                    <w:t>设备名称</w:t>
                  </w:r>
                </w:p>
              </w:tc>
              <w:tc>
                <w:tcPr>
                  <w:tcW w:w="0" w:type="auto"/>
                  <w:vAlign w:val="center"/>
                </w:tcPr>
                <w:p w14:paraId="6914C9B1">
                  <w:pPr>
                    <w:adjustRightInd w:val="0"/>
                    <w:snapToGrid w:val="0"/>
                    <w:spacing w:line="240" w:lineRule="auto"/>
                    <w:ind w:firstLine="0" w:firstLineChars="0"/>
                    <w:jc w:val="center"/>
                    <w:rPr>
                      <w:b/>
                      <w:bCs/>
                      <w:sz w:val="21"/>
                      <w:szCs w:val="21"/>
                    </w:rPr>
                  </w:pPr>
                  <w:r>
                    <w:rPr>
                      <w:rFonts w:hint="eastAsia"/>
                      <w:b/>
                      <w:bCs/>
                      <w:sz w:val="21"/>
                      <w:szCs w:val="21"/>
                    </w:rPr>
                    <w:t>数量</w:t>
                  </w:r>
                </w:p>
              </w:tc>
              <w:tc>
                <w:tcPr>
                  <w:tcW w:w="0" w:type="auto"/>
                  <w:vAlign w:val="center"/>
                </w:tcPr>
                <w:p w14:paraId="5D8A7626">
                  <w:pPr>
                    <w:adjustRightInd w:val="0"/>
                    <w:snapToGrid w:val="0"/>
                    <w:spacing w:line="240" w:lineRule="auto"/>
                    <w:ind w:firstLine="0" w:firstLineChars="0"/>
                    <w:jc w:val="center"/>
                    <w:rPr>
                      <w:b/>
                      <w:bCs/>
                      <w:sz w:val="21"/>
                      <w:szCs w:val="21"/>
                    </w:rPr>
                  </w:pPr>
                  <w:r>
                    <w:rPr>
                      <w:rFonts w:hint="eastAsia"/>
                      <w:b/>
                      <w:bCs/>
                      <w:sz w:val="21"/>
                      <w:szCs w:val="21"/>
                    </w:rPr>
                    <w:t>设备型号</w:t>
                  </w:r>
                </w:p>
              </w:tc>
              <w:tc>
                <w:tcPr>
                  <w:tcW w:w="0" w:type="auto"/>
                  <w:vAlign w:val="center"/>
                </w:tcPr>
                <w:p w14:paraId="23E36A65">
                  <w:pPr>
                    <w:adjustRightInd w:val="0"/>
                    <w:snapToGrid w:val="0"/>
                    <w:spacing w:line="240" w:lineRule="auto"/>
                    <w:ind w:firstLine="0" w:firstLineChars="0"/>
                    <w:jc w:val="center"/>
                    <w:rPr>
                      <w:b/>
                      <w:bCs/>
                      <w:sz w:val="21"/>
                      <w:szCs w:val="21"/>
                    </w:rPr>
                  </w:pPr>
                  <w:r>
                    <w:rPr>
                      <w:rFonts w:hint="eastAsia"/>
                      <w:b/>
                      <w:bCs/>
                      <w:sz w:val="21"/>
                      <w:szCs w:val="21"/>
                    </w:rPr>
                    <w:t>设备功能</w:t>
                  </w:r>
                </w:p>
              </w:tc>
              <w:tc>
                <w:tcPr>
                  <w:tcW w:w="0" w:type="auto"/>
                  <w:vAlign w:val="center"/>
                </w:tcPr>
                <w:p w14:paraId="66756F51">
                  <w:pPr>
                    <w:adjustRightInd w:val="0"/>
                    <w:snapToGrid w:val="0"/>
                    <w:spacing w:line="240" w:lineRule="auto"/>
                    <w:ind w:firstLine="0" w:firstLineChars="0"/>
                    <w:jc w:val="center"/>
                    <w:rPr>
                      <w:b/>
                      <w:bCs/>
                      <w:sz w:val="21"/>
                      <w:szCs w:val="21"/>
                    </w:rPr>
                  </w:pPr>
                  <w:r>
                    <w:rPr>
                      <w:rFonts w:hint="eastAsia"/>
                      <w:b/>
                      <w:bCs/>
                      <w:sz w:val="21"/>
                      <w:szCs w:val="21"/>
                    </w:rPr>
                    <w:t>备注</w:t>
                  </w:r>
                </w:p>
              </w:tc>
            </w:tr>
            <w:tr w14:paraId="2DE75B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gridSpan w:val="6"/>
                  <w:vAlign w:val="center"/>
                </w:tcPr>
                <w:p w14:paraId="242155DA">
                  <w:pPr>
                    <w:adjustRightInd w:val="0"/>
                    <w:snapToGrid w:val="0"/>
                    <w:spacing w:line="240" w:lineRule="auto"/>
                    <w:ind w:firstLine="0" w:firstLineChars="0"/>
                    <w:jc w:val="left"/>
                    <w:rPr>
                      <w:b/>
                      <w:bCs/>
                      <w:sz w:val="21"/>
                      <w:szCs w:val="21"/>
                    </w:rPr>
                  </w:pPr>
                  <w:r>
                    <w:rPr>
                      <w:rFonts w:hint="eastAsia"/>
                      <w:b/>
                      <w:bCs/>
                      <w:sz w:val="21"/>
                      <w:szCs w:val="21"/>
                    </w:rPr>
                    <w:t>一、生物气质化炉</w:t>
                  </w:r>
                </w:p>
              </w:tc>
            </w:tr>
            <w:tr w14:paraId="2CF7B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1F9E8BD3">
                  <w:pPr>
                    <w:adjustRightInd w:val="0"/>
                    <w:snapToGrid w:val="0"/>
                    <w:spacing w:line="240" w:lineRule="auto"/>
                    <w:ind w:firstLine="0" w:firstLineChars="0"/>
                    <w:jc w:val="center"/>
                    <w:rPr>
                      <w:sz w:val="21"/>
                      <w:szCs w:val="21"/>
                    </w:rPr>
                  </w:pPr>
                  <w:r>
                    <w:rPr>
                      <w:rFonts w:hint="eastAsia"/>
                      <w:sz w:val="21"/>
                      <w:szCs w:val="21"/>
                    </w:rPr>
                    <w:t>1</w:t>
                  </w:r>
                </w:p>
              </w:tc>
              <w:tc>
                <w:tcPr>
                  <w:tcW w:w="0" w:type="auto"/>
                  <w:vAlign w:val="center"/>
                </w:tcPr>
                <w:p w14:paraId="2066EAE8">
                  <w:pPr>
                    <w:adjustRightInd w:val="0"/>
                    <w:snapToGrid w:val="0"/>
                    <w:spacing w:line="240" w:lineRule="auto"/>
                    <w:ind w:firstLine="0" w:firstLineChars="0"/>
                    <w:jc w:val="center"/>
                    <w:rPr>
                      <w:sz w:val="21"/>
                      <w:szCs w:val="21"/>
                    </w:rPr>
                  </w:pPr>
                  <w:r>
                    <w:rPr>
                      <w:rFonts w:hint="eastAsia"/>
                      <w:sz w:val="21"/>
                      <w:szCs w:val="21"/>
                    </w:rPr>
                    <w:t>生物气质化炉本体</w:t>
                  </w:r>
                </w:p>
              </w:tc>
              <w:tc>
                <w:tcPr>
                  <w:tcW w:w="0" w:type="auto"/>
                  <w:vAlign w:val="center"/>
                </w:tcPr>
                <w:p w14:paraId="274E842D">
                  <w:pPr>
                    <w:adjustRightInd w:val="0"/>
                    <w:snapToGrid w:val="0"/>
                    <w:spacing w:line="240" w:lineRule="auto"/>
                    <w:ind w:firstLine="0" w:firstLineChars="0"/>
                    <w:jc w:val="center"/>
                    <w:rPr>
                      <w:sz w:val="21"/>
                      <w:szCs w:val="21"/>
                    </w:rPr>
                  </w:pPr>
                  <w:r>
                    <w:rPr>
                      <w:rFonts w:hint="eastAsia"/>
                      <w:sz w:val="21"/>
                      <w:szCs w:val="21"/>
                    </w:rPr>
                    <w:t>5台（</w:t>
                  </w:r>
                  <w:r>
                    <w:rPr>
                      <w:sz w:val="21"/>
                      <w:szCs w:val="21"/>
                    </w:rPr>
                    <w:t>4</w:t>
                  </w:r>
                  <w:r>
                    <w:rPr>
                      <w:rFonts w:hint="eastAsia"/>
                      <w:sz w:val="21"/>
                      <w:szCs w:val="21"/>
                    </w:rPr>
                    <w:t>用</w:t>
                  </w:r>
                  <w:r>
                    <w:rPr>
                      <w:sz w:val="21"/>
                      <w:szCs w:val="21"/>
                    </w:rPr>
                    <w:t>1</w:t>
                  </w:r>
                  <w:r>
                    <w:rPr>
                      <w:rFonts w:hint="eastAsia"/>
                      <w:sz w:val="21"/>
                      <w:szCs w:val="21"/>
                    </w:rPr>
                    <w:t>备）</w:t>
                  </w:r>
                </w:p>
              </w:tc>
              <w:tc>
                <w:tcPr>
                  <w:tcW w:w="0" w:type="auto"/>
                  <w:vAlign w:val="center"/>
                </w:tcPr>
                <w:p w14:paraId="0A31672D">
                  <w:pPr>
                    <w:pStyle w:val="58"/>
                    <w:jc w:val="center"/>
                    <w:rPr>
                      <w:b w:val="0"/>
                      <w:bCs w:val="0"/>
                    </w:rPr>
                  </w:pPr>
                  <w:r>
                    <w:rPr>
                      <w:rFonts w:hint="eastAsia"/>
                      <w:b w:val="0"/>
                      <w:bCs w:val="0"/>
                    </w:rPr>
                    <w:t>LXIQ3750-BPF-35T</w:t>
                  </w:r>
                </w:p>
              </w:tc>
              <w:tc>
                <w:tcPr>
                  <w:tcW w:w="0" w:type="auto"/>
                  <w:vAlign w:val="center"/>
                </w:tcPr>
                <w:p w14:paraId="244FDF00">
                  <w:pPr>
                    <w:pStyle w:val="58"/>
                    <w:jc w:val="center"/>
                    <w:rPr>
                      <w:b w:val="0"/>
                      <w:bCs w:val="0"/>
                    </w:rPr>
                  </w:pPr>
                  <w:r>
                    <w:rPr>
                      <w:rFonts w:hint="eastAsia"/>
                      <w:b w:val="0"/>
                      <w:bCs w:val="0"/>
                    </w:rPr>
                    <w:t>将生物质气化产生生物质燃气</w:t>
                  </w:r>
                </w:p>
              </w:tc>
              <w:tc>
                <w:tcPr>
                  <w:tcW w:w="0" w:type="auto"/>
                  <w:vMerge w:val="restart"/>
                  <w:vAlign w:val="center"/>
                </w:tcPr>
                <w:p w14:paraId="272AB893">
                  <w:pPr>
                    <w:pStyle w:val="58"/>
                    <w:jc w:val="center"/>
                    <w:rPr>
                      <w:b w:val="0"/>
                      <w:bCs w:val="0"/>
                    </w:rPr>
                  </w:pPr>
                  <w:r>
                    <w:rPr>
                      <w:rFonts w:hint="eastAsia"/>
                      <w:b w:val="0"/>
                      <w:bCs w:val="0"/>
                    </w:rPr>
                    <w:t>制备生物质气</w:t>
                  </w:r>
                </w:p>
              </w:tc>
            </w:tr>
            <w:tr w14:paraId="6C045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0" w:type="auto"/>
                  <w:vAlign w:val="center"/>
                </w:tcPr>
                <w:p w14:paraId="35CF799A">
                  <w:pPr>
                    <w:adjustRightInd w:val="0"/>
                    <w:snapToGrid w:val="0"/>
                    <w:spacing w:line="240" w:lineRule="auto"/>
                    <w:ind w:firstLine="0" w:firstLineChars="0"/>
                    <w:jc w:val="center"/>
                    <w:rPr>
                      <w:sz w:val="21"/>
                      <w:szCs w:val="21"/>
                    </w:rPr>
                  </w:pPr>
                  <w:r>
                    <w:rPr>
                      <w:rFonts w:hint="eastAsia"/>
                      <w:sz w:val="21"/>
                      <w:szCs w:val="21"/>
                    </w:rPr>
                    <w:t>2</w:t>
                  </w:r>
                </w:p>
              </w:tc>
              <w:tc>
                <w:tcPr>
                  <w:tcW w:w="0" w:type="auto"/>
                  <w:vAlign w:val="center"/>
                </w:tcPr>
                <w:p w14:paraId="7378E1A8">
                  <w:pPr>
                    <w:adjustRightInd w:val="0"/>
                    <w:snapToGrid w:val="0"/>
                    <w:spacing w:line="240" w:lineRule="auto"/>
                    <w:ind w:firstLine="0" w:firstLineChars="0"/>
                    <w:jc w:val="center"/>
                    <w:rPr>
                      <w:sz w:val="21"/>
                      <w:szCs w:val="21"/>
                    </w:rPr>
                  </w:pPr>
                  <w:r>
                    <w:rPr>
                      <w:rFonts w:hint="eastAsia"/>
                      <w:sz w:val="21"/>
                      <w:szCs w:val="21"/>
                    </w:rPr>
                    <w:t>电气程控系统</w:t>
                  </w:r>
                </w:p>
              </w:tc>
              <w:tc>
                <w:tcPr>
                  <w:tcW w:w="0" w:type="auto"/>
                  <w:vAlign w:val="center"/>
                </w:tcPr>
                <w:p w14:paraId="7F75ECA1">
                  <w:pPr>
                    <w:adjustRightInd w:val="0"/>
                    <w:snapToGrid w:val="0"/>
                    <w:spacing w:line="240" w:lineRule="auto"/>
                    <w:ind w:firstLine="0" w:firstLineChars="0"/>
                    <w:jc w:val="center"/>
                    <w:rPr>
                      <w:sz w:val="21"/>
                      <w:szCs w:val="21"/>
                    </w:rPr>
                  </w:pPr>
                  <w:r>
                    <w:rPr>
                      <w:rFonts w:hint="eastAsia"/>
                      <w:sz w:val="21"/>
                      <w:szCs w:val="21"/>
                    </w:rPr>
                    <w:t>4套</w:t>
                  </w:r>
                </w:p>
              </w:tc>
              <w:tc>
                <w:tcPr>
                  <w:tcW w:w="0" w:type="auto"/>
                  <w:vAlign w:val="center"/>
                </w:tcPr>
                <w:p w14:paraId="6A03CD67">
                  <w:pPr>
                    <w:pStyle w:val="58"/>
                    <w:jc w:val="center"/>
                    <w:rPr>
                      <w:b w:val="0"/>
                      <w:bCs w:val="0"/>
                    </w:rPr>
                  </w:pPr>
                  <w:r>
                    <w:rPr>
                      <w:rFonts w:hint="eastAsia"/>
                      <w:b w:val="0"/>
                      <w:bCs w:val="0"/>
                    </w:rPr>
                    <w:t>/</w:t>
                  </w:r>
                </w:p>
              </w:tc>
              <w:tc>
                <w:tcPr>
                  <w:tcW w:w="0" w:type="auto"/>
                  <w:vAlign w:val="center"/>
                </w:tcPr>
                <w:p w14:paraId="2EEBDE6E">
                  <w:pPr>
                    <w:pStyle w:val="58"/>
                    <w:jc w:val="center"/>
                    <w:rPr>
                      <w:b w:val="0"/>
                      <w:bCs w:val="0"/>
                    </w:rPr>
                  </w:pPr>
                  <w:r>
                    <w:rPr>
                      <w:rFonts w:hint="eastAsia"/>
                      <w:b w:val="0"/>
                      <w:bCs w:val="0"/>
                    </w:rPr>
                    <w:t>控制气化炉操作</w:t>
                  </w:r>
                </w:p>
              </w:tc>
              <w:tc>
                <w:tcPr>
                  <w:tcW w:w="0" w:type="auto"/>
                  <w:vMerge w:val="continue"/>
                  <w:vAlign w:val="center"/>
                </w:tcPr>
                <w:p w14:paraId="29C0FF06">
                  <w:pPr>
                    <w:pStyle w:val="58"/>
                    <w:jc w:val="center"/>
                  </w:pPr>
                </w:p>
              </w:tc>
            </w:tr>
            <w:tr w14:paraId="005E8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7D076320">
                  <w:pPr>
                    <w:adjustRightInd w:val="0"/>
                    <w:snapToGrid w:val="0"/>
                    <w:spacing w:line="240" w:lineRule="auto"/>
                    <w:ind w:firstLine="0" w:firstLineChars="0"/>
                    <w:jc w:val="center"/>
                    <w:rPr>
                      <w:sz w:val="21"/>
                      <w:szCs w:val="21"/>
                    </w:rPr>
                  </w:pPr>
                  <w:r>
                    <w:rPr>
                      <w:rFonts w:hint="eastAsia"/>
                      <w:sz w:val="21"/>
                      <w:szCs w:val="21"/>
                    </w:rPr>
                    <w:t>3</w:t>
                  </w:r>
                </w:p>
              </w:tc>
              <w:tc>
                <w:tcPr>
                  <w:tcW w:w="0" w:type="auto"/>
                  <w:vAlign w:val="center"/>
                </w:tcPr>
                <w:p w14:paraId="1F72C753">
                  <w:pPr>
                    <w:adjustRightInd w:val="0"/>
                    <w:snapToGrid w:val="0"/>
                    <w:spacing w:line="240" w:lineRule="auto"/>
                    <w:ind w:firstLine="0" w:firstLineChars="0"/>
                    <w:jc w:val="center"/>
                    <w:rPr>
                      <w:sz w:val="21"/>
                      <w:szCs w:val="21"/>
                    </w:rPr>
                  </w:pPr>
                  <w:r>
                    <w:rPr>
                      <w:rFonts w:hint="eastAsia"/>
                      <w:sz w:val="21"/>
                      <w:szCs w:val="21"/>
                    </w:rPr>
                    <w:t>生物质专用燃烧器</w:t>
                  </w:r>
                </w:p>
              </w:tc>
              <w:tc>
                <w:tcPr>
                  <w:tcW w:w="0" w:type="auto"/>
                  <w:vAlign w:val="center"/>
                </w:tcPr>
                <w:p w14:paraId="11558902">
                  <w:pPr>
                    <w:adjustRightInd w:val="0"/>
                    <w:snapToGrid w:val="0"/>
                    <w:spacing w:line="240" w:lineRule="auto"/>
                    <w:ind w:firstLine="0" w:firstLineChars="0"/>
                    <w:jc w:val="center"/>
                    <w:rPr>
                      <w:sz w:val="21"/>
                      <w:szCs w:val="21"/>
                    </w:rPr>
                  </w:pPr>
                  <w:r>
                    <w:rPr>
                      <w:rFonts w:hint="eastAsia"/>
                      <w:sz w:val="21"/>
                      <w:szCs w:val="21"/>
                    </w:rPr>
                    <w:t>4套</w:t>
                  </w:r>
                </w:p>
              </w:tc>
              <w:tc>
                <w:tcPr>
                  <w:tcW w:w="0" w:type="auto"/>
                  <w:vAlign w:val="center"/>
                </w:tcPr>
                <w:p w14:paraId="1975BAA4">
                  <w:pPr>
                    <w:pStyle w:val="58"/>
                    <w:jc w:val="center"/>
                    <w:rPr>
                      <w:b w:val="0"/>
                      <w:bCs w:val="0"/>
                    </w:rPr>
                  </w:pPr>
                  <w:r>
                    <w:rPr>
                      <w:rFonts w:hint="eastAsia"/>
                      <w:b w:val="0"/>
                      <w:bCs w:val="0"/>
                    </w:rPr>
                    <w:t>RSQ-35T/h</w:t>
                  </w:r>
                </w:p>
              </w:tc>
              <w:tc>
                <w:tcPr>
                  <w:tcW w:w="0" w:type="auto"/>
                  <w:vAlign w:val="center"/>
                </w:tcPr>
                <w:p w14:paraId="5485DFCC">
                  <w:pPr>
                    <w:pStyle w:val="58"/>
                    <w:jc w:val="center"/>
                    <w:rPr>
                      <w:b w:val="0"/>
                      <w:bCs w:val="0"/>
                    </w:rPr>
                  </w:pPr>
                  <w:r>
                    <w:rPr>
                      <w:rFonts w:hint="eastAsia"/>
                      <w:b w:val="0"/>
                      <w:bCs w:val="0"/>
                    </w:rPr>
                    <w:t>燃烧生物质燃气放热于锅炉炉膛</w:t>
                  </w:r>
                </w:p>
              </w:tc>
              <w:tc>
                <w:tcPr>
                  <w:tcW w:w="0" w:type="auto"/>
                  <w:vMerge w:val="continue"/>
                  <w:vAlign w:val="center"/>
                </w:tcPr>
                <w:p w14:paraId="2EE7741F">
                  <w:pPr>
                    <w:pStyle w:val="58"/>
                    <w:jc w:val="center"/>
                  </w:pPr>
                </w:p>
              </w:tc>
            </w:tr>
            <w:tr w14:paraId="2AA174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45BB9B1F">
                  <w:pPr>
                    <w:adjustRightInd w:val="0"/>
                    <w:snapToGrid w:val="0"/>
                    <w:spacing w:line="240" w:lineRule="auto"/>
                    <w:ind w:firstLine="0" w:firstLineChars="0"/>
                    <w:jc w:val="center"/>
                    <w:rPr>
                      <w:sz w:val="21"/>
                      <w:szCs w:val="21"/>
                    </w:rPr>
                  </w:pPr>
                  <w:r>
                    <w:rPr>
                      <w:rFonts w:hint="eastAsia"/>
                      <w:sz w:val="21"/>
                      <w:szCs w:val="21"/>
                    </w:rPr>
                    <w:t>4</w:t>
                  </w:r>
                </w:p>
              </w:tc>
              <w:tc>
                <w:tcPr>
                  <w:tcW w:w="0" w:type="auto"/>
                  <w:vAlign w:val="center"/>
                </w:tcPr>
                <w:p w14:paraId="493ADC57">
                  <w:pPr>
                    <w:adjustRightInd w:val="0"/>
                    <w:snapToGrid w:val="0"/>
                    <w:spacing w:line="240" w:lineRule="auto"/>
                    <w:ind w:firstLine="0" w:firstLineChars="0"/>
                    <w:jc w:val="center"/>
                    <w:rPr>
                      <w:sz w:val="21"/>
                      <w:szCs w:val="21"/>
                    </w:rPr>
                  </w:pPr>
                  <w:r>
                    <w:rPr>
                      <w:rFonts w:hint="eastAsia"/>
                      <w:sz w:val="21"/>
                      <w:szCs w:val="21"/>
                    </w:rPr>
                    <w:t>生物质燃气引风机</w:t>
                  </w:r>
                </w:p>
              </w:tc>
              <w:tc>
                <w:tcPr>
                  <w:tcW w:w="0" w:type="auto"/>
                  <w:vAlign w:val="center"/>
                </w:tcPr>
                <w:p w14:paraId="7223C2EE">
                  <w:pPr>
                    <w:adjustRightInd w:val="0"/>
                    <w:snapToGrid w:val="0"/>
                    <w:spacing w:line="240" w:lineRule="auto"/>
                    <w:ind w:firstLine="0" w:firstLineChars="0"/>
                    <w:jc w:val="center"/>
                    <w:rPr>
                      <w:sz w:val="21"/>
                      <w:szCs w:val="21"/>
                    </w:rPr>
                  </w:pPr>
                  <w:r>
                    <w:rPr>
                      <w:rFonts w:hint="eastAsia"/>
                      <w:sz w:val="21"/>
                      <w:szCs w:val="21"/>
                    </w:rPr>
                    <w:t>4套</w:t>
                  </w:r>
                </w:p>
              </w:tc>
              <w:tc>
                <w:tcPr>
                  <w:tcW w:w="0" w:type="auto"/>
                  <w:vAlign w:val="center"/>
                </w:tcPr>
                <w:p w14:paraId="60FA0FAF">
                  <w:pPr>
                    <w:pStyle w:val="58"/>
                    <w:jc w:val="center"/>
                    <w:rPr>
                      <w:b w:val="0"/>
                      <w:bCs w:val="0"/>
                    </w:rPr>
                  </w:pPr>
                  <w:r>
                    <w:rPr>
                      <w:rFonts w:hint="eastAsia"/>
                      <w:b w:val="0"/>
                      <w:bCs w:val="0"/>
                    </w:rPr>
                    <w:t>/</w:t>
                  </w:r>
                </w:p>
              </w:tc>
              <w:tc>
                <w:tcPr>
                  <w:tcW w:w="0" w:type="auto"/>
                  <w:vAlign w:val="center"/>
                </w:tcPr>
                <w:p w14:paraId="743883B7">
                  <w:pPr>
                    <w:pStyle w:val="58"/>
                    <w:jc w:val="center"/>
                    <w:rPr>
                      <w:b w:val="0"/>
                      <w:bCs w:val="0"/>
                    </w:rPr>
                  </w:pPr>
                  <w:r>
                    <w:rPr>
                      <w:rFonts w:hint="eastAsia"/>
                      <w:b w:val="0"/>
                      <w:bCs w:val="0"/>
                    </w:rPr>
                    <w:t>将生物质燃气引入燃烧器</w:t>
                  </w:r>
                </w:p>
              </w:tc>
              <w:tc>
                <w:tcPr>
                  <w:tcW w:w="0" w:type="auto"/>
                  <w:vMerge w:val="continue"/>
                  <w:vAlign w:val="center"/>
                </w:tcPr>
                <w:p w14:paraId="3721E6D6">
                  <w:pPr>
                    <w:pStyle w:val="58"/>
                    <w:jc w:val="center"/>
                  </w:pPr>
                </w:p>
              </w:tc>
            </w:tr>
            <w:tr w14:paraId="38D13E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0EF3241E">
                  <w:pPr>
                    <w:adjustRightInd w:val="0"/>
                    <w:snapToGrid w:val="0"/>
                    <w:spacing w:line="240" w:lineRule="auto"/>
                    <w:ind w:firstLine="0" w:firstLineChars="0"/>
                    <w:jc w:val="center"/>
                    <w:rPr>
                      <w:sz w:val="21"/>
                      <w:szCs w:val="21"/>
                    </w:rPr>
                  </w:pPr>
                  <w:r>
                    <w:rPr>
                      <w:rFonts w:hint="eastAsia"/>
                      <w:sz w:val="21"/>
                      <w:szCs w:val="21"/>
                    </w:rPr>
                    <w:t>5</w:t>
                  </w:r>
                </w:p>
              </w:tc>
              <w:tc>
                <w:tcPr>
                  <w:tcW w:w="0" w:type="auto"/>
                  <w:vAlign w:val="center"/>
                </w:tcPr>
                <w:p w14:paraId="20BD3BBD">
                  <w:pPr>
                    <w:adjustRightInd w:val="0"/>
                    <w:snapToGrid w:val="0"/>
                    <w:spacing w:line="240" w:lineRule="auto"/>
                    <w:ind w:firstLine="0" w:firstLineChars="0"/>
                    <w:jc w:val="center"/>
                    <w:rPr>
                      <w:sz w:val="21"/>
                      <w:szCs w:val="21"/>
                    </w:rPr>
                  </w:pPr>
                  <w:r>
                    <w:rPr>
                      <w:rFonts w:hint="eastAsia"/>
                      <w:sz w:val="21"/>
                      <w:szCs w:val="21"/>
                    </w:rPr>
                    <w:t>本体旋转炉排齿轮电机</w:t>
                  </w:r>
                </w:p>
              </w:tc>
              <w:tc>
                <w:tcPr>
                  <w:tcW w:w="0" w:type="auto"/>
                  <w:vAlign w:val="center"/>
                </w:tcPr>
                <w:p w14:paraId="16A974EA">
                  <w:pPr>
                    <w:adjustRightInd w:val="0"/>
                    <w:snapToGrid w:val="0"/>
                    <w:spacing w:line="240" w:lineRule="auto"/>
                    <w:ind w:firstLine="0" w:firstLineChars="0"/>
                    <w:jc w:val="center"/>
                    <w:rPr>
                      <w:sz w:val="21"/>
                      <w:szCs w:val="21"/>
                    </w:rPr>
                  </w:pPr>
                  <w:r>
                    <w:rPr>
                      <w:rFonts w:hint="eastAsia"/>
                      <w:sz w:val="21"/>
                      <w:szCs w:val="21"/>
                    </w:rPr>
                    <w:t>4套</w:t>
                  </w:r>
                </w:p>
              </w:tc>
              <w:tc>
                <w:tcPr>
                  <w:tcW w:w="0" w:type="auto"/>
                  <w:vAlign w:val="center"/>
                </w:tcPr>
                <w:p w14:paraId="7DF6F1C5">
                  <w:pPr>
                    <w:pStyle w:val="58"/>
                    <w:jc w:val="center"/>
                    <w:rPr>
                      <w:b w:val="0"/>
                      <w:bCs w:val="0"/>
                    </w:rPr>
                  </w:pPr>
                  <w:r>
                    <w:rPr>
                      <w:rFonts w:hint="eastAsia"/>
                      <w:b w:val="0"/>
                      <w:bCs w:val="0"/>
                    </w:rPr>
                    <w:t>/</w:t>
                  </w:r>
                </w:p>
              </w:tc>
              <w:tc>
                <w:tcPr>
                  <w:tcW w:w="0" w:type="auto"/>
                  <w:vAlign w:val="center"/>
                </w:tcPr>
                <w:p w14:paraId="05A61EB0">
                  <w:pPr>
                    <w:pStyle w:val="58"/>
                    <w:jc w:val="center"/>
                    <w:rPr>
                      <w:b w:val="0"/>
                      <w:bCs w:val="0"/>
                    </w:rPr>
                  </w:pPr>
                  <w:r>
                    <w:rPr>
                      <w:rFonts w:hint="eastAsia"/>
                      <w:b w:val="0"/>
                      <w:bCs w:val="0"/>
                    </w:rPr>
                    <w:t>转动本体托盘，防止超温卡涩损坏设备</w:t>
                  </w:r>
                </w:p>
              </w:tc>
              <w:tc>
                <w:tcPr>
                  <w:tcW w:w="0" w:type="auto"/>
                  <w:vMerge w:val="continue"/>
                  <w:vAlign w:val="center"/>
                </w:tcPr>
                <w:p w14:paraId="50F3ECD3">
                  <w:pPr>
                    <w:pStyle w:val="58"/>
                    <w:jc w:val="center"/>
                  </w:pPr>
                </w:p>
              </w:tc>
            </w:tr>
            <w:tr w14:paraId="40CF42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4E672578">
                  <w:pPr>
                    <w:adjustRightInd w:val="0"/>
                    <w:snapToGrid w:val="0"/>
                    <w:spacing w:line="240" w:lineRule="auto"/>
                    <w:ind w:firstLine="0" w:firstLineChars="0"/>
                    <w:jc w:val="center"/>
                    <w:rPr>
                      <w:sz w:val="21"/>
                      <w:szCs w:val="21"/>
                    </w:rPr>
                  </w:pPr>
                  <w:r>
                    <w:rPr>
                      <w:rFonts w:hint="eastAsia"/>
                      <w:sz w:val="21"/>
                      <w:szCs w:val="21"/>
                    </w:rPr>
                    <w:t>6</w:t>
                  </w:r>
                </w:p>
              </w:tc>
              <w:tc>
                <w:tcPr>
                  <w:tcW w:w="0" w:type="auto"/>
                  <w:vAlign w:val="center"/>
                </w:tcPr>
                <w:p w14:paraId="6615489B">
                  <w:pPr>
                    <w:adjustRightInd w:val="0"/>
                    <w:snapToGrid w:val="0"/>
                    <w:spacing w:line="240" w:lineRule="auto"/>
                    <w:ind w:firstLine="0" w:firstLineChars="0"/>
                    <w:jc w:val="center"/>
                    <w:rPr>
                      <w:sz w:val="21"/>
                      <w:szCs w:val="21"/>
                    </w:rPr>
                  </w:pPr>
                  <w:r>
                    <w:rPr>
                      <w:rFonts w:hint="eastAsia"/>
                      <w:sz w:val="21"/>
                      <w:szCs w:val="21"/>
                    </w:rPr>
                    <w:t>自动板链上料输送机</w:t>
                  </w:r>
                </w:p>
              </w:tc>
              <w:tc>
                <w:tcPr>
                  <w:tcW w:w="0" w:type="auto"/>
                  <w:vAlign w:val="center"/>
                </w:tcPr>
                <w:p w14:paraId="598F3E3F">
                  <w:pPr>
                    <w:adjustRightInd w:val="0"/>
                    <w:snapToGrid w:val="0"/>
                    <w:spacing w:line="240" w:lineRule="auto"/>
                    <w:ind w:firstLine="0" w:firstLineChars="0"/>
                    <w:jc w:val="center"/>
                    <w:rPr>
                      <w:sz w:val="21"/>
                      <w:szCs w:val="21"/>
                    </w:rPr>
                  </w:pPr>
                  <w:r>
                    <w:rPr>
                      <w:rFonts w:hint="eastAsia"/>
                      <w:sz w:val="21"/>
                      <w:szCs w:val="21"/>
                    </w:rPr>
                    <w:t>4套</w:t>
                  </w:r>
                </w:p>
              </w:tc>
              <w:tc>
                <w:tcPr>
                  <w:tcW w:w="0" w:type="auto"/>
                  <w:vAlign w:val="center"/>
                </w:tcPr>
                <w:p w14:paraId="6753CBDA">
                  <w:pPr>
                    <w:pStyle w:val="58"/>
                    <w:jc w:val="center"/>
                    <w:rPr>
                      <w:b w:val="0"/>
                      <w:bCs w:val="0"/>
                    </w:rPr>
                  </w:pPr>
                  <w:r>
                    <w:rPr>
                      <w:rFonts w:hint="eastAsia"/>
                      <w:b w:val="0"/>
                      <w:bCs w:val="0"/>
                    </w:rPr>
                    <w:t>/</w:t>
                  </w:r>
                </w:p>
              </w:tc>
              <w:tc>
                <w:tcPr>
                  <w:tcW w:w="0" w:type="auto"/>
                  <w:vAlign w:val="center"/>
                </w:tcPr>
                <w:p w14:paraId="14C069A7">
                  <w:pPr>
                    <w:pStyle w:val="58"/>
                    <w:jc w:val="center"/>
                    <w:rPr>
                      <w:b w:val="0"/>
                      <w:bCs w:val="0"/>
                    </w:rPr>
                  </w:pPr>
                  <w:r>
                    <w:rPr>
                      <w:rFonts w:hint="eastAsia"/>
                      <w:b w:val="0"/>
                      <w:bCs w:val="0"/>
                    </w:rPr>
                    <w:t>输送燃料至气化炉进料绞龙</w:t>
                  </w:r>
                </w:p>
              </w:tc>
              <w:tc>
                <w:tcPr>
                  <w:tcW w:w="0" w:type="auto"/>
                  <w:vMerge w:val="continue"/>
                  <w:vAlign w:val="center"/>
                </w:tcPr>
                <w:p w14:paraId="34A1DE05">
                  <w:pPr>
                    <w:pStyle w:val="58"/>
                    <w:jc w:val="center"/>
                  </w:pPr>
                </w:p>
              </w:tc>
            </w:tr>
            <w:tr w14:paraId="3D8ADB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6A25DD90">
                  <w:pPr>
                    <w:adjustRightInd w:val="0"/>
                    <w:snapToGrid w:val="0"/>
                    <w:spacing w:line="240" w:lineRule="auto"/>
                    <w:ind w:firstLine="0" w:firstLineChars="0"/>
                    <w:jc w:val="center"/>
                    <w:rPr>
                      <w:sz w:val="21"/>
                      <w:szCs w:val="21"/>
                    </w:rPr>
                  </w:pPr>
                  <w:r>
                    <w:rPr>
                      <w:rFonts w:hint="eastAsia"/>
                      <w:sz w:val="21"/>
                      <w:szCs w:val="21"/>
                    </w:rPr>
                    <w:t>7</w:t>
                  </w:r>
                </w:p>
              </w:tc>
              <w:tc>
                <w:tcPr>
                  <w:tcW w:w="0" w:type="auto"/>
                  <w:vAlign w:val="center"/>
                </w:tcPr>
                <w:p w14:paraId="49B1CC48">
                  <w:pPr>
                    <w:adjustRightInd w:val="0"/>
                    <w:snapToGrid w:val="0"/>
                    <w:spacing w:line="240" w:lineRule="auto"/>
                    <w:ind w:firstLine="0" w:firstLineChars="0"/>
                    <w:jc w:val="center"/>
                    <w:rPr>
                      <w:sz w:val="21"/>
                      <w:szCs w:val="21"/>
                    </w:rPr>
                  </w:pPr>
                  <w:r>
                    <w:rPr>
                      <w:rFonts w:hint="eastAsia"/>
                      <w:sz w:val="21"/>
                      <w:szCs w:val="21"/>
                    </w:rPr>
                    <w:t>气化炉进料绞龙</w:t>
                  </w:r>
                </w:p>
              </w:tc>
              <w:tc>
                <w:tcPr>
                  <w:tcW w:w="0" w:type="auto"/>
                  <w:vAlign w:val="center"/>
                </w:tcPr>
                <w:p w14:paraId="44F6C05F">
                  <w:pPr>
                    <w:adjustRightInd w:val="0"/>
                    <w:snapToGrid w:val="0"/>
                    <w:spacing w:line="240" w:lineRule="auto"/>
                    <w:ind w:firstLine="0" w:firstLineChars="0"/>
                    <w:jc w:val="center"/>
                    <w:rPr>
                      <w:sz w:val="21"/>
                      <w:szCs w:val="21"/>
                    </w:rPr>
                  </w:pPr>
                  <w:r>
                    <w:rPr>
                      <w:rFonts w:hint="eastAsia"/>
                      <w:sz w:val="21"/>
                      <w:szCs w:val="21"/>
                    </w:rPr>
                    <w:t>4套</w:t>
                  </w:r>
                </w:p>
              </w:tc>
              <w:tc>
                <w:tcPr>
                  <w:tcW w:w="0" w:type="auto"/>
                  <w:vAlign w:val="center"/>
                </w:tcPr>
                <w:p w14:paraId="493ECAA9">
                  <w:pPr>
                    <w:pStyle w:val="58"/>
                    <w:jc w:val="center"/>
                    <w:rPr>
                      <w:b w:val="0"/>
                      <w:bCs w:val="0"/>
                    </w:rPr>
                  </w:pPr>
                  <w:r>
                    <w:rPr>
                      <w:rFonts w:hint="eastAsia"/>
                      <w:b w:val="0"/>
                      <w:bCs w:val="0"/>
                    </w:rPr>
                    <w:t>/</w:t>
                  </w:r>
                </w:p>
              </w:tc>
              <w:tc>
                <w:tcPr>
                  <w:tcW w:w="0" w:type="auto"/>
                  <w:vAlign w:val="center"/>
                </w:tcPr>
                <w:p w14:paraId="08F1A08C">
                  <w:pPr>
                    <w:pStyle w:val="58"/>
                    <w:jc w:val="center"/>
                    <w:rPr>
                      <w:b w:val="0"/>
                      <w:bCs w:val="0"/>
                    </w:rPr>
                  </w:pPr>
                  <w:r>
                    <w:rPr>
                      <w:rFonts w:hint="eastAsia"/>
                      <w:b w:val="0"/>
                      <w:bCs w:val="0"/>
                    </w:rPr>
                    <w:t>将燃料有序送入气化炉顶部本体内</w:t>
                  </w:r>
                </w:p>
              </w:tc>
              <w:tc>
                <w:tcPr>
                  <w:tcW w:w="0" w:type="auto"/>
                  <w:vMerge w:val="continue"/>
                  <w:vAlign w:val="center"/>
                </w:tcPr>
                <w:p w14:paraId="38A8C498">
                  <w:pPr>
                    <w:pStyle w:val="58"/>
                    <w:jc w:val="center"/>
                  </w:pPr>
                </w:p>
              </w:tc>
            </w:tr>
            <w:tr w14:paraId="450666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131C469D">
                  <w:pPr>
                    <w:adjustRightInd w:val="0"/>
                    <w:snapToGrid w:val="0"/>
                    <w:spacing w:line="240" w:lineRule="auto"/>
                    <w:ind w:firstLine="0" w:firstLineChars="0"/>
                    <w:jc w:val="center"/>
                    <w:rPr>
                      <w:sz w:val="21"/>
                      <w:szCs w:val="21"/>
                    </w:rPr>
                  </w:pPr>
                  <w:r>
                    <w:rPr>
                      <w:rFonts w:hint="eastAsia"/>
                      <w:sz w:val="21"/>
                      <w:szCs w:val="21"/>
                    </w:rPr>
                    <w:t>8</w:t>
                  </w:r>
                </w:p>
              </w:tc>
              <w:tc>
                <w:tcPr>
                  <w:tcW w:w="0" w:type="auto"/>
                  <w:vAlign w:val="center"/>
                </w:tcPr>
                <w:p w14:paraId="3ECDB8EC">
                  <w:pPr>
                    <w:adjustRightInd w:val="0"/>
                    <w:snapToGrid w:val="0"/>
                    <w:spacing w:line="240" w:lineRule="auto"/>
                    <w:ind w:firstLine="0" w:firstLineChars="0"/>
                    <w:jc w:val="center"/>
                    <w:rPr>
                      <w:sz w:val="21"/>
                      <w:szCs w:val="21"/>
                    </w:rPr>
                  </w:pPr>
                  <w:r>
                    <w:rPr>
                      <w:rFonts w:hint="eastAsia"/>
                      <w:sz w:val="21"/>
                      <w:szCs w:val="21"/>
                    </w:rPr>
                    <w:t>气化炉冷却循环水箱</w:t>
                  </w:r>
                </w:p>
              </w:tc>
              <w:tc>
                <w:tcPr>
                  <w:tcW w:w="0" w:type="auto"/>
                  <w:vAlign w:val="center"/>
                </w:tcPr>
                <w:p w14:paraId="753BFEF0">
                  <w:pPr>
                    <w:adjustRightInd w:val="0"/>
                    <w:snapToGrid w:val="0"/>
                    <w:spacing w:line="240" w:lineRule="auto"/>
                    <w:ind w:firstLine="0" w:firstLineChars="0"/>
                    <w:jc w:val="center"/>
                    <w:rPr>
                      <w:sz w:val="21"/>
                      <w:szCs w:val="21"/>
                    </w:rPr>
                  </w:pPr>
                  <w:r>
                    <w:rPr>
                      <w:rFonts w:hint="eastAsia"/>
                      <w:sz w:val="21"/>
                      <w:szCs w:val="21"/>
                    </w:rPr>
                    <w:t>2套</w:t>
                  </w:r>
                </w:p>
              </w:tc>
              <w:tc>
                <w:tcPr>
                  <w:tcW w:w="0" w:type="auto"/>
                  <w:vAlign w:val="center"/>
                </w:tcPr>
                <w:p w14:paraId="19B028CA">
                  <w:pPr>
                    <w:pStyle w:val="58"/>
                    <w:jc w:val="center"/>
                    <w:rPr>
                      <w:b w:val="0"/>
                      <w:bCs w:val="0"/>
                    </w:rPr>
                  </w:pPr>
                  <w:r>
                    <w:rPr>
                      <w:rFonts w:hint="eastAsia"/>
                      <w:b w:val="0"/>
                      <w:bCs w:val="0"/>
                    </w:rPr>
                    <w:t>Q5M</w:t>
                  </w:r>
                </w:p>
              </w:tc>
              <w:tc>
                <w:tcPr>
                  <w:tcW w:w="0" w:type="auto"/>
                  <w:vAlign w:val="center"/>
                </w:tcPr>
                <w:p w14:paraId="16197A91">
                  <w:pPr>
                    <w:pStyle w:val="58"/>
                    <w:jc w:val="center"/>
                    <w:rPr>
                      <w:b w:val="0"/>
                      <w:bCs w:val="0"/>
                    </w:rPr>
                  </w:pPr>
                  <w:r>
                    <w:rPr>
                      <w:rFonts w:hint="eastAsia"/>
                      <w:b w:val="0"/>
                      <w:bCs w:val="0"/>
                    </w:rPr>
                    <w:t>冷却储存冷却水</w:t>
                  </w:r>
                </w:p>
              </w:tc>
              <w:tc>
                <w:tcPr>
                  <w:tcW w:w="0" w:type="auto"/>
                  <w:vMerge w:val="continue"/>
                  <w:vAlign w:val="center"/>
                </w:tcPr>
                <w:p w14:paraId="6A7FD474">
                  <w:pPr>
                    <w:pStyle w:val="58"/>
                    <w:jc w:val="center"/>
                  </w:pPr>
                </w:p>
              </w:tc>
            </w:tr>
            <w:tr w14:paraId="6AB85B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gridSpan w:val="6"/>
                  <w:vAlign w:val="center"/>
                </w:tcPr>
                <w:p w14:paraId="21A24EDE">
                  <w:pPr>
                    <w:pStyle w:val="58"/>
                  </w:pPr>
                  <w:r>
                    <w:rPr>
                      <w:rFonts w:hint="eastAsia"/>
                    </w:rPr>
                    <w:t>二、生物质燃气锅炉</w:t>
                  </w:r>
                </w:p>
              </w:tc>
            </w:tr>
            <w:tr w14:paraId="45F158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3D93DC89">
                  <w:pPr>
                    <w:adjustRightInd w:val="0"/>
                    <w:snapToGrid w:val="0"/>
                    <w:spacing w:line="240" w:lineRule="auto"/>
                    <w:ind w:firstLine="0" w:firstLineChars="0"/>
                    <w:jc w:val="center"/>
                    <w:rPr>
                      <w:sz w:val="21"/>
                      <w:szCs w:val="21"/>
                    </w:rPr>
                  </w:pPr>
                  <w:r>
                    <w:rPr>
                      <w:rFonts w:hint="eastAsia"/>
                      <w:sz w:val="21"/>
                      <w:szCs w:val="21"/>
                    </w:rPr>
                    <w:t>1</w:t>
                  </w:r>
                </w:p>
              </w:tc>
              <w:tc>
                <w:tcPr>
                  <w:tcW w:w="0" w:type="auto"/>
                  <w:vAlign w:val="center"/>
                </w:tcPr>
                <w:p w14:paraId="6C8050C1">
                  <w:pPr>
                    <w:adjustRightInd w:val="0"/>
                    <w:snapToGrid w:val="0"/>
                    <w:spacing w:line="240" w:lineRule="auto"/>
                    <w:ind w:firstLine="0" w:firstLineChars="0"/>
                    <w:jc w:val="center"/>
                    <w:rPr>
                      <w:sz w:val="21"/>
                      <w:szCs w:val="21"/>
                    </w:rPr>
                  </w:pPr>
                  <w:r>
                    <w:rPr>
                      <w:rFonts w:hint="eastAsia"/>
                      <w:sz w:val="21"/>
                      <w:szCs w:val="21"/>
                    </w:rPr>
                    <w:t>生物质燃气锅炉本体</w:t>
                  </w:r>
                </w:p>
              </w:tc>
              <w:tc>
                <w:tcPr>
                  <w:tcW w:w="0" w:type="auto"/>
                  <w:vAlign w:val="center"/>
                </w:tcPr>
                <w:p w14:paraId="11A6E5EA">
                  <w:pPr>
                    <w:adjustRightInd w:val="0"/>
                    <w:snapToGrid w:val="0"/>
                    <w:spacing w:line="240" w:lineRule="auto"/>
                    <w:ind w:firstLine="0" w:firstLineChars="0"/>
                    <w:jc w:val="center"/>
                    <w:rPr>
                      <w:sz w:val="21"/>
                      <w:szCs w:val="21"/>
                    </w:rPr>
                  </w:pPr>
                  <w:r>
                    <w:rPr>
                      <w:rFonts w:hint="eastAsia"/>
                      <w:sz w:val="21"/>
                      <w:szCs w:val="21"/>
                    </w:rPr>
                    <w:t>4台</w:t>
                  </w:r>
                </w:p>
              </w:tc>
              <w:tc>
                <w:tcPr>
                  <w:tcW w:w="0" w:type="auto"/>
                  <w:vAlign w:val="center"/>
                </w:tcPr>
                <w:p w14:paraId="4ACF07C4">
                  <w:pPr>
                    <w:pStyle w:val="58"/>
                    <w:jc w:val="center"/>
                    <w:rPr>
                      <w:b w:val="0"/>
                      <w:bCs w:val="0"/>
                    </w:rPr>
                  </w:pPr>
                  <w:r>
                    <w:rPr>
                      <w:b w:val="0"/>
                      <w:bCs w:val="0"/>
                    </w:rPr>
                    <w:t>SHS25-2.45-Q</w:t>
                  </w:r>
                </w:p>
              </w:tc>
              <w:tc>
                <w:tcPr>
                  <w:tcW w:w="0" w:type="auto"/>
                  <w:vAlign w:val="center"/>
                </w:tcPr>
                <w:p w14:paraId="0369C82B">
                  <w:pPr>
                    <w:pStyle w:val="58"/>
                    <w:jc w:val="center"/>
                    <w:rPr>
                      <w:b w:val="0"/>
                      <w:bCs w:val="0"/>
                    </w:rPr>
                  </w:pPr>
                  <w:r>
                    <w:rPr>
                      <w:rFonts w:hint="eastAsia"/>
                      <w:b w:val="0"/>
                      <w:bCs w:val="0"/>
                    </w:rPr>
                    <w:t>吸收生物质燃气燃烧热能产生蒸汽</w:t>
                  </w:r>
                </w:p>
              </w:tc>
              <w:tc>
                <w:tcPr>
                  <w:tcW w:w="0" w:type="auto"/>
                  <w:vMerge w:val="restart"/>
                  <w:vAlign w:val="center"/>
                </w:tcPr>
                <w:p w14:paraId="0C30C48F">
                  <w:pPr>
                    <w:pStyle w:val="58"/>
                    <w:jc w:val="center"/>
                    <w:rPr>
                      <w:b w:val="0"/>
                      <w:bCs w:val="0"/>
                    </w:rPr>
                  </w:pPr>
                  <w:r>
                    <w:rPr>
                      <w:rFonts w:hint="eastAsia"/>
                      <w:b w:val="0"/>
                      <w:bCs w:val="0"/>
                    </w:rPr>
                    <w:t>生产蒸汽</w:t>
                  </w:r>
                </w:p>
              </w:tc>
            </w:tr>
            <w:tr w14:paraId="4467D4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56DCE2F7">
                  <w:pPr>
                    <w:adjustRightInd w:val="0"/>
                    <w:snapToGrid w:val="0"/>
                    <w:spacing w:line="240" w:lineRule="auto"/>
                    <w:ind w:firstLine="0" w:firstLineChars="0"/>
                    <w:jc w:val="center"/>
                    <w:rPr>
                      <w:sz w:val="21"/>
                      <w:szCs w:val="21"/>
                    </w:rPr>
                  </w:pPr>
                  <w:r>
                    <w:rPr>
                      <w:rFonts w:hint="eastAsia"/>
                      <w:sz w:val="21"/>
                      <w:szCs w:val="21"/>
                    </w:rPr>
                    <w:t>2</w:t>
                  </w:r>
                </w:p>
              </w:tc>
              <w:tc>
                <w:tcPr>
                  <w:tcW w:w="0" w:type="auto"/>
                  <w:vAlign w:val="center"/>
                </w:tcPr>
                <w:p w14:paraId="72FC0DF8">
                  <w:pPr>
                    <w:adjustRightInd w:val="0"/>
                    <w:snapToGrid w:val="0"/>
                    <w:spacing w:line="240" w:lineRule="auto"/>
                    <w:ind w:firstLine="0" w:firstLineChars="0"/>
                    <w:jc w:val="center"/>
                    <w:rPr>
                      <w:sz w:val="21"/>
                      <w:szCs w:val="21"/>
                    </w:rPr>
                  </w:pPr>
                  <w:r>
                    <w:rPr>
                      <w:rFonts w:hint="eastAsia"/>
                      <w:sz w:val="21"/>
                      <w:szCs w:val="21"/>
                    </w:rPr>
                    <w:t>不锈钢给水泵</w:t>
                  </w:r>
                </w:p>
              </w:tc>
              <w:tc>
                <w:tcPr>
                  <w:tcW w:w="0" w:type="auto"/>
                  <w:vAlign w:val="center"/>
                </w:tcPr>
                <w:p w14:paraId="4AB0E70B">
                  <w:pPr>
                    <w:adjustRightInd w:val="0"/>
                    <w:snapToGrid w:val="0"/>
                    <w:spacing w:line="240" w:lineRule="auto"/>
                    <w:ind w:firstLine="0" w:firstLineChars="0"/>
                    <w:jc w:val="center"/>
                    <w:rPr>
                      <w:sz w:val="21"/>
                      <w:szCs w:val="21"/>
                    </w:rPr>
                  </w:pPr>
                  <w:r>
                    <w:rPr>
                      <w:rFonts w:hint="eastAsia"/>
                      <w:sz w:val="21"/>
                      <w:szCs w:val="21"/>
                    </w:rPr>
                    <w:t>8台</w:t>
                  </w:r>
                </w:p>
              </w:tc>
              <w:tc>
                <w:tcPr>
                  <w:tcW w:w="0" w:type="auto"/>
                  <w:vAlign w:val="center"/>
                </w:tcPr>
                <w:p w14:paraId="7F9C65E3">
                  <w:pPr>
                    <w:pStyle w:val="58"/>
                    <w:jc w:val="center"/>
                    <w:rPr>
                      <w:b w:val="0"/>
                      <w:bCs w:val="0"/>
                    </w:rPr>
                  </w:pPr>
                  <w:r>
                    <w:rPr>
                      <w:rFonts w:hint="eastAsia"/>
                      <w:b w:val="0"/>
                      <w:bCs w:val="0"/>
                    </w:rPr>
                    <w:t>AS32-150</w:t>
                  </w:r>
                </w:p>
              </w:tc>
              <w:tc>
                <w:tcPr>
                  <w:tcW w:w="0" w:type="auto"/>
                  <w:vAlign w:val="center"/>
                </w:tcPr>
                <w:p w14:paraId="2DFDADF3">
                  <w:pPr>
                    <w:pStyle w:val="58"/>
                    <w:jc w:val="center"/>
                    <w:rPr>
                      <w:b w:val="0"/>
                      <w:bCs w:val="0"/>
                    </w:rPr>
                  </w:pPr>
                  <w:r>
                    <w:rPr>
                      <w:rFonts w:hint="eastAsia"/>
                      <w:b w:val="0"/>
                      <w:bCs w:val="0"/>
                    </w:rPr>
                    <w:t>向锅炉受热压力容器供给软化水</w:t>
                  </w:r>
                </w:p>
              </w:tc>
              <w:tc>
                <w:tcPr>
                  <w:tcW w:w="0" w:type="auto"/>
                  <w:vMerge w:val="continue"/>
                  <w:vAlign w:val="center"/>
                </w:tcPr>
                <w:p w14:paraId="7807201C">
                  <w:pPr>
                    <w:pStyle w:val="58"/>
                    <w:jc w:val="center"/>
                  </w:pPr>
                </w:p>
              </w:tc>
            </w:tr>
            <w:tr w14:paraId="7133AC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5E4C1B34">
                  <w:pPr>
                    <w:adjustRightInd w:val="0"/>
                    <w:snapToGrid w:val="0"/>
                    <w:spacing w:line="240" w:lineRule="auto"/>
                    <w:ind w:firstLine="0" w:firstLineChars="0"/>
                    <w:jc w:val="center"/>
                    <w:rPr>
                      <w:sz w:val="21"/>
                      <w:szCs w:val="21"/>
                    </w:rPr>
                  </w:pPr>
                  <w:r>
                    <w:rPr>
                      <w:rFonts w:hint="eastAsia"/>
                      <w:sz w:val="21"/>
                      <w:szCs w:val="21"/>
                    </w:rPr>
                    <w:t>3</w:t>
                  </w:r>
                </w:p>
              </w:tc>
              <w:tc>
                <w:tcPr>
                  <w:tcW w:w="0" w:type="auto"/>
                  <w:vAlign w:val="center"/>
                </w:tcPr>
                <w:p w14:paraId="28BC850A">
                  <w:pPr>
                    <w:adjustRightInd w:val="0"/>
                    <w:snapToGrid w:val="0"/>
                    <w:spacing w:line="240" w:lineRule="auto"/>
                    <w:ind w:firstLine="0" w:firstLineChars="0"/>
                    <w:jc w:val="center"/>
                    <w:rPr>
                      <w:sz w:val="21"/>
                      <w:szCs w:val="21"/>
                    </w:rPr>
                  </w:pPr>
                  <w:r>
                    <w:rPr>
                      <w:rFonts w:hint="eastAsia"/>
                      <w:sz w:val="21"/>
                      <w:szCs w:val="21"/>
                    </w:rPr>
                    <w:t>分气缸</w:t>
                  </w:r>
                </w:p>
              </w:tc>
              <w:tc>
                <w:tcPr>
                  <w:tcW w:w="0" w:type="auto"/>
                  <w:vAlign w:val="center"/>
                </w:tcPr>
                <w:p w14:paraId="6348A0BB">
                  <w:pPr>
                    <w:adjustRightInd w:val="0"/>
                    <w:snapToGrid w:val="0"/>
                    <w:spacing w:line="240" w:lineRule="auto"/>
                    <w:ind w:firstLine="0" w:firstLineChars="0"/>
                    <w:jc w:val="center"/>
                    <w:rPr>
                      <w:sz w:val="21"/>
                      <w:szCs w:val="21"/>
                    </w:rPr>
                  </w:pPr>
                  <w:r>
                    <w:rPr>
                      <w:rFonts w:hint="eastAsia"/>
                      <w:sz w:val="21"/>
                      <w:szCs w:val="21"/>
                    </w:rPr>
                    <w:t>2台</w:t>
                  </w:r>
                </w:p>
              </w:tc>
              <w:tc>
                <w:tcPr>
                  <w:tcW w:w="0" w:type="auto"/>
                  <w:vAlign w:val="center"/>
                </w:tcPr>
                <w:p w14:paraId="744B0670">
                  <w:pPr>
                    <w:pStyle w:val="58"/>
                    <w:jc w:val="center"/>
                    <w:rPr>
                      <w:b w:val="0"/>
                      <w:bCs w:val="0"/>
                    </w:rPr>
                  </w:pPr>
                  <w:r>
                    <w:rPr>
                      <w:rFonts w:hint="eastAsia"/>
                      <w:b w:val="0"/>
                      <w:bCs w:val="0"/>
                    </w:rPr>
                    <w:t>直径1200</w:t>
                  </w:r>
                </w:p>
              </w:tc>
              <w:tc>
                <w:tcPr>
                  <w:tcW w:w="0" w:type="auto"/>
                  <w:vAlign w:val="center"/>
                </w:tcPr>
                <w:p w14:paraId="7D42F517">
                  <w:pPr>
                    <w:pStyle w:val="58"/>
                    <w:jc w:val="center"/>
                    <w:rPr>
                      <w:b w:val="0"/>
                      <w:bCs w:val="0"/>
                    </w:rPr>
                  </w:pPr>
                  <w:r>
                    <w:rPr>
                      <w:rFonts w:hint="eastAsia"/>
                      <w:b w:val="0"/>
                      <w:bCs w:val="0"/>
                    </w:rPr>
                    <w:t>暂储并分配锅炉蒸汽至各用户</w:t>
                  </w:r>
                </w:p>
              </w:tc>
              <w:tc>
                <w:tcPr>
                  <w:tcW w:w="0" w:type="auto"/>
                  <w:vMerge w:val="continue"/>
                  <w:vAlign w:val="center"/>
                </w:tcPr>
                <w:p w14:paraId="0CC15DAF">
                  <w:pPr>
                    <w:pStyle w:val="58"/>
                    <w:jc w:val="center"/>
                  </w:pPr>
                </w:p>
              </w:tc>
            </w:tr>
            <w:tr w14:paraId="2B1899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666BF2F2">
                  <w:pPr>
                    <w:adjustRightInd w:val="0"/>
                    <w:snapToGrid w:val="0"/>
                    <w:spacing w:line="240" w:lineRule="auto"/>
                    <w:ind w:firstLine="0" w:firstLineChars="0"/>
                    <w:jc w:val="center"/>
                    <w:rPr>
                      <w:sz w:val="21"/>
                      <w:szCs w:val="21"/>
                    </w:rPr>
                  </w:pPr>
                  <w:r>
                    <w:rPr>
                      <w:rFonts w:hint="eastAsia"/>
                      <w:sz w:val="21"/>
                      <w:szCs w:val="21"/>
                    </w:rPr>
                    <w:t>4</w:t>
                  </w:r>
                </w:p>
              </w:tc>
              <w:tc>
                <w:tcPr>
                  <w:tcW w:w="0" w:type="auto"/>
                  <w:vAlign w:val="center"/>
                </w:tcPr>
                <w:p w14:paraId="5654243A">
                  <w:pPr>
                    <w:adjustRightInd w:val="0"/>
                    <w:snapToGrid w:val="0"/>
                    <w:spacing w:line="240" w:lineRule="auto"/>
                    <w:ind w:firstLine="0" w:firstLineChars="0"/>
                    <w:jc w:val="center"/>
                    <w:rPr>
                      <w:sz w:val="21"/>
                      <w:szCs w:val="21"/>
                    </w:rPr>
                  </w:pPr>
                  <w:r>
                    <w:rPr>
                      <w:rFonts w:hint="eastAsia"/>
                      <w:sz w:val="21"/>
                      <w:szCs w:val="21"/>
                    </w:rPr>
                    <w:t>鼓风机</w:t>
                  </w:r>
                </w:p>
              </w:tc>
              <w:tc>
                <w:tcPr>
                  <w:tcW w:w="0" w:type="auto"/>
                  <w:vAlign w:val="center"/>
                </w:tcPr>
                <w:p w14:paraId="74FE97A3">
                  <w:pPr>
                    <w:adjustRightInd w:val="0"/>
                    <w:snapToGrid w:val="0"/>
                    <w:spacing w:line="240" w:lineRule="auto"/>
                    <w:ind w:firstLine="0" w:firstLineChars="0"/>
                    <w:jc w:val="center"/>
                    <w:rPr>
                      <w:sz w:val="21"/>
                      <w:szCs w:val="21"/>
                    </w:rPr>
                  </w:pPr>
                  <w:r>
                    <w:rPr>
                      <w:rFonts w:hint="eastAsia"/>
                      <w:sz w:val="21"/>
                      <w:szCs w:val="21"/>
                    </w:rPr>
                    <w:t>4台</w:t>
                  </w:r>
                </w:p>
              </w:tc>
              <w:tc>
                <w:tcPr>
                  <w:tcW w:w="0" w:type="auto"/>
                  <w:vAlign w:val="center"/>
                </w:tcPr>
                <w:p w14:paraId="660C4EDC">
                  <w:pPr>
                    <w:pStyle w:val="58"/>
                    <w:jc w:val="center"/>
                    <w:rPr>
                      <w:b w:val="0"/>
                      <w:bCs w:val="0"/>
                    </w:rPr>
                  </w:pPr>
                  <w:r>
                    <w:rPr>
                      <w:rFonts w:hint="eastAsia"/>
                      <w:b w:val="0"/>
                      <w:bCs w:val="0"/>
                    </w:rPr>
                    <w:t>G9-269D</w:t>
                  </w:r>
                </w:p>
              </w:tc>
              <w:tc>
                <w:tcPr>
                  <w:tcW w:w="0" w:type="auto"/>
                  <w:vAlign w:val="center"/>
                </w:tcPr>
                <w:p w14:paraId="013A3780">
                  <w:pPr>
                    <w:pStyle w:val="58"/>
                    <w:jc w:val="center"/>
                    <w:rPr>
                      <w:b w:val="0"/>
                      <w:bCs w:val="0"/>
                    </w:rPr>
                  </w:pPr>
                  <w:r>
                    <w:rPr>
                      <w:rFonts w:hint="eastAsia"/>
                      <w:b w:val="0"/>
                      <w:bCs w:val="0"/>
                    </w:rPr>
                    <w:t>将空气经空预器加热后送入燃烧机提供氧气助燃放热</w:t>
                  </w:r>
                </w:p>
              </w:tc>
              <w:tc>
                <w:tcPr>
                  <w:tcW w:w="0" w:type="auto"/>
                  <w:vMerge w:val="continue"/>
                  <w:vAlign w:val="center"/>
                </w:tcPr>
                <w:p w14:paraId="316FDA5B">
                  <w:pPr>
                    <w:pStyle w:val="58"/>
                    <w:jc w:val="center"/>
                  </w:pPr>
                </w:p>
              </w:tc>
            </w:tr>
            <w:tr w14:paraId="7C4FE6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69B3307D">
                  <w:pPr>
                    <w:adjustRightInd w:val="0"/>
                    <w:snapToGrid w:val="0"/>
                    <w:spacing w:line="240" w:lineRule="auto"/>
                    <w:ind w:firstLine="0" w:firstLineChars="0"/>
                    <w:jc w:val="center"/>
                    <w:rPr>
                      <w:sz w:val="21"/>
                      <w:szCs w:val="21"/>
                    </w:rPr>
                  </w:pPr>
                  <w:r>
                    <w:rPr>
                      <w:rFonts w:hint="eastAsia"/>
                      <w:sz w:val="21"/>
                      <w:szCs w:val="21"/>
                    </w:rPr>
                    <w:t>5</w:t>
                  </w:r>
                </w:p>
              </w:tc>
              <w:tc>
                <w:tcPr>
                  <w:tcW w:w="0" w:type="auto"/>
                  <w:vAlign w:val="center"/>
                </w:tcPr>
                <w:p w14:paraId="1A58218A">
                  <w:pPr>
                    <w:adjustRightInd w:val="0"/>
                    <w:snapToGrid w:val="0"/>
                    <w:spacing w:line="240" w:lineRule="auto"/>
                    <w:ind w:firstLine="0" w:firstLineChars="0"/>
                    <w:jc w:val="center"/>
                    <w:rPr>
                      <w:sz w:val="21"/>
                      <w:szCs w:val="21"/>
                    </w:rPr>
                  </w:pPr>
                  <w:r>
                    <w:rPr>
                      <w:rFonts w:hint="eastAsia"/>
                      <w:sz w:val="21"/>
                      <w:szCs w:val="21"/>
                    </w:rPr>
                    <w:t>引风机</w:t>
                  </w:r>
                </w:p>
              </w:tc>
              <w:tc>
                <w:tcPr>
                  <w:tcW w:w="0" w:type="auto"/>
                  <w:vAlign w:val="center"/>
                </w:tcPr>
                <w:p w14:paraId="420B5924">
                  <w:pPr>
                    <w:adjustRightInd w:val="0"/>
                    <w:snapToGrid w:val="0"/>
                    <w:spacing w:line="240" w:lineRule="auto"/>
                    <w:ind w:firstLine="0" w:firstLineChars="0"/>
                    <w:jc w:val="center"/>
                    <w:rPr>
                      <w:sz w:val="21"/>
                      <w:szCs w:val="21"/>
                    </w:rPr>
                  </w:pPr>
                  <w:r>
                    <w:rPr>
                      <w:rFonts w:hint="eastAsia"/>
                      <w:sz w:val="21"/>
                      <w:szCs w:val="21"/>
                    </w:rPr>
                    <w:t>4台</w:t>
                  </w:r>
                </w:p>
              </w:tc>
              <w:tc>
                <w:tcPr>
                  <w:tcW w:w="0" w:type="auto"/>
                  <w:vAlign w:val="center"/>
                </w:tcPr>
                <w:p w14:paraId="486781C9">
                  <w:pPr>
                    <w:pStyle w:val="58"/>
                    <w:jc w:val="center"/>
                    <w:rPr>
                      <w:b w:val="0"/>
                      <w:bCs w:val="0"/>
                    </w:rPr>
                  </w:pPr>
                  <w:r>
                    <w:rPr>
                      <w:rFonts w:hint="eastAsia"/>
                      <w:b w:val="0"/>
                      <w:bCs w:val="0"/>
                    </w:rPr>
                    <w:t>GY16-1912D</w:t>
                  </w:r>
                </w:p>
              </w:tc>
              <w:tc>
                <w:tcPr>
                  <w:tcW w:w="0" w:type="auto"/>
                  <w:vAlign w:val="center"/>
                </w:tcPr>
                <w:p w14:paraId="45EACF57">
                  <w:pPr>
                    <w:pStyle w:val="58"/>
                    <w:jc w:val="center"/>
                    <w:rPr>
                      <w:b w:val="0"/>
                      <w:bCs w:val="0"/>
                    </w:rPr>
                  </w:pPr>
                  <w:r>
                    <w:rPr>
                      <w:rFonts w:hint="eastAsia"/>
                      <w:b w:val="0"/>
                      <w:bCs w:val="0"/>
                    </w:rPr>
                    <w:t>将锅炉净化后的烟气引入烟囱达标排放</w:t>
                  </w:r>
                </w:p>
              </w:tc>
              <w:tc>
                <w:tcPr>
                  <w:tcW w:w="0" w:type="auto"/>
                  <w:vMerge w:val="continue"/>
                  <w:vAlign w:val="center"/>
                </w:tcPr>
                <w:p w14:paraId="5C2115D8">
                  <w:pPr>
                    <w:pStyle w:val="58"/>
                    <w:jc w:val="center"/>
                  </w:pPr>
                </w:p>
              </w:tc>
            </w:tr>
            <w:tr w14:paraId="6AEB26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203C0742">
                  <w:pPr>
                    <w:adjustRightInd w:val="0"/>
                    <w:snapToGrid w:val="0"/>
                    <w:spacing w:line="240" w:lineRule="auto"/>
                    <w:ind w:firstLine="0" w:firstLineChars="0"/>
                    <w:jc w:val="center"/>
                    <w:rPr>
                      <w:sz w:val="21"/>
                      <w:szCs w:val="21"/>
                    </w:rPr>
                  </w:pPr>
                  <w:r>
                    <w:rPr>
                      <w:rFonts w:hint="eastAsia"/>
                      <w:sz w:val="21"/>
                      <w:szCs w:val="21"/>
                    </w:rPr>
                    <w:t>6</w:t>
                  </w:r>
                </w:p>
              </w:tc>
              <w:tc>
                <w:tcPr>
                  <w:tcW w:w="0" w:type="auto"/>
                  <w:vAlign w:val="center"/>
                </w:tcPr>
                <w:p w14:paraId="39EF3A48">
                  <w:pPr>
                    <w:adjustRightInd w:val="0"/>
                    <w:snapToGrid w:val="0"/>
                    <w:spacing w:line="240" w:lineRule="auto"/>
                    <w:ind w:firstLine="0" w:firstLineChars="0"/>
                    <w:jc w:val="center"/>
                    <w:rPr>
                      <w:sz w:val="21"/>
                      <w:szCs w:val="21"/>
                    </w:rPr>
                  </w:pPr>
                  <w:r>
                    <w:rPr>
                      <w:rFonts w:hint="eastAsia"/>
                      <w:sz w:val="21"/>
                      <w:szCs w:val="21"/>
                    </w:rPr>
                    <w:t>烟气再循环风机</w:t>
                  </w:r>
                </w:p>
              </w:tc>
              <w:tc>
                <w:tcPr>
                  <w:tcW w:w="0" w:type="auto"/>
                  <w:vAlign w:val="center"/>
                </w:tcPr>
                <w:p w14:paraId="299BA4B0">
                  <w:pPr>
                    <w:adjustRightInd w:val="0"/>
                    <w:snapToGrid w:val="0"/>
                    <w:spacing w:line="240" w:lineRule="auto"/>
                    <w:ind w:firstLine="0" w:firstLineChars="0"/>
                    <w:jc w:val="center"/>
                    <w:rPr>
                      <w:sz w:val="21"/>
                      <w:szCs w:val="21"/>
                    </w:rPr>
                  </w:pPr>
                  <w:r>
                    <w:rPr>
                      <w:rFonts w:hint="eastAsia"/>
                      <w:sz w:val="21"/>
                      <w:szCs w:val="21"/>
                    </w:rPr>
                    <w:t>4台</w:t>
                  </w:r>
                </w:p>
              </w:tc>
              <w:tc>
                <w:tcPr>
                  <w:tcW w:w="0" w:type="auto"/>
                  <w:vAlign w:val="center"/>
                </w:tcPr>
                <w:p w14:paraId="5309C72F">
                  <w:pPr>
                    <w:pStyle w:val="58"/>
                    <w:jc w:val="center"/>
                    <w:rPr>
                      <w:b w:val="0"/>
                      <w:bCs w:val="0"/>
                    </w:rPr>
                  </w:pPr>
                  <w:r>
                    <w:rPr>
                      <w:rFonts w:hint="eastAsia"/>
                      <w:b w:val="0"/>
                      <w:bCs w:val="0"/>
                    </w:rPr>
                    <w:t>G9-269D</w:t>
                  </w:r>
                </w:p>
              </w:tc>
              <w:tc>
                <w:tcPr>
                  <w:tcW w:w="0" w:type="auto"/>
                  <w:vAlign w:val="center"/>
                </w:tcPr>
                <w:p w14:paraId="392B2859">
                  <w:pPr>
                    <w:pStyle w:val="58"/>
                    <w:jc w:val="center"/>
                    <w:rPr>
                      <w:b w:val="0"/>
                      <w:bCs w:val="0"/>
                    </w:rPr>
                  </w:pPr>
                  <w:r>
                    <w:rPr>
                      <w:rFonts w:hint="eastAsia"/>
                      <w:b w:val="0"/>
                      <w:bCs w:val="0"/>
                    </w:rPr>
                    <w:t>将省煤器后的烟气引入炉膛，降低热力型氮氧化物，达到低氮燃烧目的</w:t>
                  </w:r>
                </w:p>
              </w:tc>
              <w:tc>
                <w:tcPr>
                  <w:tcW w:w="0" w:type="auto"/>
                  <w:vMerge w:val="continue"/>
                  <w:vAlign w:val="center"/>
                </w:tcPr>
                <w:p w14:paraId="47B7A2BE">
                  <w:pPr>
                    <w:pStyle w:val="58"/>
                    <w:jc w:val="center"/>
                  </w:pPr>
                </w:p>
              </w:tc>
            </w:tr>
            <w:tr w14:paraId="6CC34B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5A3656B1">
                  <w:pPr>
                    <w:adjustRightInd w:val="0"/>
                    <w:snapToGrid w:val="0"/>
                    <w:spacing w:line="240" w:lineRule="auto"/>
                    <w:ind w:firstLine="0" w:firstLineChars="0"/>
                    <w:jc w:val="center"/>
                    <w:rPr>
                      <w:sz w:val="21"/>
                      <w:szCs w:val="21"/>
                    </w:rPr>
                  </w:pPr>
                  <w:r>
                    <w:rPr>
                      <w:rFonts w:hint="eastAsia"/>
                      <w:sz w:val="21"/>
                      <w:szCs w:val="21"/>
                    </w:rPr>
                    <w:t>7</w:t>
                  </w:r>
                </w:p>
              </w:tc>
              <w:tc>
                <w:tcPr>
                  <w:tcW w:w="0" w:type="auto"/>
                  <w:vAlign w:val="center"/>
                </w:tcPr>
                <w:p w14:paraId="71A89A8A">
                  <w:pPr>
                    <w:adjustRightInd w:val="0"/>
                    <w:snapToGrid w:val="0"/>
                    <w:spacing w:line="240" w:lineRule="auto"/>
                    <w:ind w:firstLine="0" w:firstLineChars="0"/>
                    <w:jc w:val="center"/>
                    <w:rPr>
                      <w:sz w:val="21"/>
                      <w:szCs w:val="21"/>
                    </w:rPr>
                  </w:pPr>
                  <w:r>
                    <w:rPr>
                      <w:rFonts w:hint="eastAsia"/>
                      <w:sz w:val="21"/>
                      <w:szCs w:val="21"/>
                    </w:rPr>
                    <w:t>二次风机</w:t>
                  </w:r>
                </w:p>
              </w:tc>
              <w:tc>
                <w:tcPr>
                  <w:tcW w:w="0" w:type="auto"/>
                  <w:vAlign w:val="center"/>
                </w:tcPr>
                <w:p w14:paraId="6C3DA2F5">
                  <w:pPr>
                    <w:adjustRightInd w:val="0"/>
                    <w:snapToGrid w:val="0"/>
                    <w:spacing w:line="240" w:lineRule="auto"/>
                    <w:ind w:firstLine="0" w:firstLineChars="0"/>
                    <w:jc w:val="center"/>
                    <w:rPr>
                      <w:sz w:val="21"/>
                      <w:szCs w:val="21"/>
                    </w:rPr>
                  </w:pPr>
                  <w:r>
                    <w:rPr>
                      <w:rFonts w:hint="eastAsia"/>
                      <w:sz w:val="21"/>
                      <w:szCs w:val="21"/>
                    </w:rPr>
                    <w:t>4台</w:t>
                  </w:r>
                </w:p>
              </w:tc>
              <w:tc>
                <w:tcPr>
                  <w:tcW w:w="0" w:type="auto"/>
                  <w:vAlign w:val="center"/>
                </w:tcPr>
                <w:p w14:paraId="13A1708A">
                  <w:pPr>
                    <w:pStyle w:val="58"/>
                    <w:jc w:val="center"/>
                    <w:rPr>
                      <w:b w:val="0"/>
                      <w:bCs w:val="0"/>
                    </w:rPr>
                  </w:pPr>
                  <w:r>
                    <w:rPr>
                      <w:rFonts w:hint="eastAsia"/>
                      <w:b w:val="0"/>
                      <w:bCs w:val="0"/>
                    </w:rPr>
                    <w:t>9-26型</w:t>
                  </w:r>
                </w:p>
              </w:tc>
              <w:tc>
                <w:tcPr>
                  <w:tcW w:w="0" w:type="auto"/>
                  <w:vAlign w:val="center"/>
                </w:tcPr>
                <w:p w14:paraId="33672863">
                  <w:pPr>
                    <w:pStyle w:val="58"/>
                    <w:jc w:val="center"/>
                    <w:rPr>
                      <w:b w:val="0"/>
                      <w:bCs w:val="0"/>
                    </w:rPr>
                  </w:pPr>
                  <w:r>
                    <w:rPr>
                      <w:rFonts w:hint="eastAsia"/>
                      <w:b w:val="0"/>
                      <w:bCs w:val="0"/>
                    </w:rPr>
                    <w:t>为锅炉燃烧末端供氧燃尽</w:t>
                  </w:r>
                </w:p>
              </w:tc>
              <w:tc>
                <w:tcPr>
                  <w:tcW w:w="0" w:type="auto"/>
                  <w:vMerge w:val="continue"/>
                  <w:vAlign w:val="center"/>
                </w:tcPr>
                <w:p w14:paraId="17853808">
                  <w:pPr>
                    <w:pStyle w:val="58"/>
                    <w:jc w:val="center"/>
                  </w:pPr>
                </w:p>
              </w:tc>
            </w:tr>
            <w:tr w14:paraId="419D5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1B25B14A">
                  <w:pPr>
                    <w:adjustRightInd w:val="0"/>
                    <w:snapToGrid w:val="0"/>
                    <w:spacing w:line="240" w:lineRule="auto"/>
                    <w:ind w:firstLine="0" w:firstLineChars="0"/>
                    <w:jc w:val="center"/>
                    <w:rPr>
                      <w:sz w:val="21"/>
                      <w:szCs w:val="21"/>
                    </w:rPr>
                  </w:pPr>
                  <w:r>
                    <w:rPr>
                      <w:rFonts w:hint="eastAsia"/>
                      <w:sz w:val="21"/>
                      <w:szCs w:val="21"/>
                    </w:rPr>
                    <w:t>8</w:t>
                  </w:r>
                </w:p>
              </w:tc>
              <w:tc>
                <w:tcPr>
                  <w:tcW w:w="0" w:type="auto"/>
                  <w:vAlign w:val="center"/>
                </w:tcPr>
                <w:p w14:paraId="100F333C">
                  <w:pPr>
                    <w:adjustRightInd w:val="0"/>
                    <w:snapToGrid w:val="0"/>
                    <w:spacing w:line="240" w:lineRule="auto"/>
                    <w:ind w:firstLine="0" w:firstLineChars="0"/>
                    <w:jc w:val="center"/>
                    <w:rPr>
                      <w:sz w:val="21"/>
                      <w:szCs w:val="21"/>
                    </w:rPr>
                  </w:pPr>
                  <w:r>
                    <w:rPr>
                      <w:rFonts w:hint="eastAsia"/>
                      <w:sz w:val="21"/>
                      <w:szCs w:val="21"/>
                    </w:rPr>
                    <w:t>自动控制系统</w:t>
                  </w:r>
                </w:p>
              </w:tc>
              <w:tc>
                <w:tcPr>
                  <w:tcW w:w="0" w:type="auto"/>
                  <w:vAlign w:val="center"/>
                </w:tcPr>
                <w:p w14:paraId="322D45FC">
                  <w:pPr>
                    <w:adjustRightInd w:val="0"/>
                    <w:snapToGrid w:val="0"/>
                    <w:spacing w:line="240" w:lineRule="auto"/>
                    <w:ind w:firstLine="0" w:firstLineChars="0"/>
                    <w:jc w:val="center"/>
                    <w:rPr>
                      <w:sz w:val="21"/>
                      <w:szCs w:val="21"/>
                    </w:rPr>
                  </w:pPr>
                  <w:r>
                    <w:rPr>
                      <w:rFonts w:hint="eastAsia"/>
                      <w:sz w:val="21"/>
                      <w:szCs w:val="21"/>
                    </w:rPr>
                    <w:t>4台</w:t>
                  </w:r>
                </w:p>
              </w:tc>
              <w:tc>
                <w:tcPr>
                  <w:tcW w:w="0" w:type="auto"/>
                  <w:vAlign w:val="center"/>
                </w:tcPr>
                <w:p w14:paraId="0DE2AF70">
                  <w:pPr>
                    <w:pStyle w:val="58"/>
                    <w:jc w:val="center"/>
                    <w:rPr>
                      <w:b w:val="0"/>
                      <w:bCs w:val="0"/>
                    </w:rPr>
                  </w:pPr>
                  <w:r>
                    <w:rPr>
                      <w:rFonts w:hint="eastAsia"/>
                      <w:b w:val="0"/>
                      <w:bCs w:val="0"/>
                    </w:rPr>
                    <w:t>PLC控制</w:t>
                  </w:r>
                </w:p>
              </w:tc>
              <w:tc>
                <w:tcPr>
                  <w:tcW w:w="0" w:type="auto"/>
                  <w:vAlign w:val="center"/>
                </w:tcPr>
                <w:p w14:paraId="4C711BD3">
                  <w:pPr>
                    <w:pStyle w:val="58"/>
                    <w:jc w:val="center"/>
                    <w:rPr>
                      <w:b w:val="0"/>
                      <w:bCs w:val="0"/>
                    </w:rPr>
                  </w:pPr>
                  <w:r>
                    <w:rPr>
                      <w:rFonts w:hint="eastAsia"/>
                      <w:b w:val="0"/>
                      <w:bCs w:val="0"/>
                    </w:rPr>
                    <w:t>气化炉，锅炉自动控制操作</w:t>
                  </w:r>
                </w:p>
              </w:tc>
              <w:tc>
                <w:tcPr>
                  <w:tcW w:w="0" w:type="auto"/>
                  <w:vMerge w:val="continue"/>
                  <w:vAlign w:val="center"/>
                </w:tcPr>
                <w:p w14:paraId="2A455A13">
                  <w:pPr>
                    <w:pStyle w:val="58"/>
                    <w:jc w:val="center"/>
                  </w:pPr>
                </w:p>
              </w:tc>
            </w:tr>
            <w:tr w14:paraId="0B487C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4D3A49B0">
                  <w:pPr>
                    <w:adjustRightInd w:val="0"/>
                    <w:snapToGrid w:val="0"/>
                    <w:spacing w:line="240" w:lineRule="auto"/>
                    <w:ind w:firstLine="0" w:firstLineChars="0"/>
                    <w:jc w:val="center"/>
                    <w:rPr>
                      <w:sz w:val="21"/>
                      <w:szCs w:val="21"/>
                    </w:rPr>
                  </w:pPr>
                  <w:r>
                    <w:rPr>
                      <w:rFonts w:hint="eastAsia"/>
                      <w:sz w:val="21"/>
                      <w:szCs w:val="21"/>
                    </w:rPr>
                    <w:t>9</w:t>
                  </w:r>
                </w:p>
              </w:tc>
              <w:tc>
                <w:tcPr>
                  <w:tcW w:w="0" w:type="auto"/>
                  <w:vAlign w:val="center"/>
                </w:tcPr>
                <w:p w14:paraId="5029C359">
                  <w:pPr>
                    <w:adjustRightInd w:val="0"/>
                    <w:snapToGrid w:val="0"/>
                    <w:spacing w:line="240" w:lineRule="auto"/>
                    <w:ind w:firstLine="0" w:firstLineChars="0"/>
                    <w:jc w:val="center"/>
                    <w:rPr>
                      <w:sz w:val="21"/>
                      <w:szCs w:val="21"/>
                    </w:rPr>
                  </w:pPr>
                  <w:r>
                    <w:rPr>
                      <w:rFonts w:hint="eastAsia"/>
                      <w:sz w:val="21"/>
                      <w:szCs w:val="21"/>
                    </w:rPr>
                    <w:t>全自动水处理器</w:t>
                  </w:r>
                </w:p>
              </w:tc>
              <w:tc>
                <w:tcPr>
                  <w:tcW w:w="0" w:type="auto"/>
                  <w:vAlign w:val="center"/>
                </w:tcPr>
                <w:p w14:paraId="6D380213">
                  <w:pPr>
                    <w:adjustRightInd w:val="0"/>
                    <w:snapToGrid w:val="0"/>
                    <w:spacing w:line="240" w:lineRule="auto"/>
                    <w:ind w:firstLine="0" w:firstLineChars="0"/>
                    <w:jc w:val="center"/>
                    <w:rPr>
                      <w:sz w:val="21"/>
                      <w:szCs w:val="21"/>
                    </w:rPr>
                  </w:pPr>
                  <w:r>
                    <w:rPr>
                      <w:rFonts w:hint="eastAsia"/>
                      <w:sz w:val="21"/>
                      <w:szCs w:val="21"/>
                    </w:rPr>
                    <w:t>2套</w:t>
                  </w:r>
                </w:p>
              </w:tc>
              <w:tc>
                <w:tcPr>
                  <w:tcW w:w="0" w:type="auto"/>
                  <w:vAlign w:val="center"/>
                </w:tcPr>
                <w:p w14:paraId="18B47D74">
                  <w:pPr>
                    <w:pStyle w:val="58"/>
                    <w:jc w:val="center"/>
                    <w:rPr>
                      <w:b w:val="0"/>
                      <w:bCs w:val="0"/>
                    </w:rPr>
                  </w:pPr>
                  <w:r>
                    <w:rPr>
                      <w:rFonts w:hint="eastAsia"/>
                      <w:b w:val="0"/>
                      <w:bCs w:val="0"/>
                    </w:rPr>
                    <w:t>30t/h</w:t>
                  </w:r>
                </w:p>
              </w:tc>
              <w:tc>
                <w:tcPr>
                  <w:tcW w:w="0" w:type="auto"/>
                  <w:vAlign w:val="center"/>
                </w:tcPr>
                <w:p w14:paraId="5F3D8A01">
                  <w:pPr>
                    <w:pStyle w:val="58"/>
                    <w:jc w:val="center"/>
                    <w:rPr>
                      <w:b w:val="0"/>
                      <w:bCs w:val="0"/>
                    </w:rPr>
                  </w:pPr>
                  <w:r>
                    <w:rPr>
                      <w:rFonts w:hint="eastAsia"/>
                      <w:b w:val="0"/>
                      <w:bCs w:val="0"/>
                    </w:rPr>
                    <w:t>为锅炉提供软水</w:t>
                  </w:r>
                </w:p>
              </w:tc>
              <w:tc>
                <w:tcPr>
                  <w:tcW w:w="0" w:type="auto"/>
                  <w:vMerge w:val="continue"/>
                  <w:vAlign w:val="center"/>
                </w:tcPr>
                <w:p w14:paraId="56E43169">
                  <w:pPr>
                    <w:pStyle w:val="58"/>
                    <w:jc w:val="center"/>
                  </w:pPr>
                </w:p>
              </w:tc>
            </w:tr>
            <w:tr w14:paraId="573033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76D5C381">
                  <w:pPr>
                    <w:adjustRightInd w:val="0"/>
                    <w:snapToGrid w:val="0"/>
                    <w:spacing w:line="240" w:lineRule="auto"/>
                    <w:ind w:firstLine="0" w:firstLineChars="0"/>
                    <w:jc w:val="center"/>
                    <w:rPr>
                      <w:sz w:val="21"/>
                      <w:szCs w:val="21"/>
                    </w:rPr>
                  </w:pPr>
                  <w:r>
                    <w:rPr>
                      <w:rFonts w:hint="eastAsia"/>
                      <w:sz w:val="21"/>
                      <w:szCs w:val="21"/>
                    </w:rPr>
                    <w:t>10</w:t>
                  </w:r>
                </w:p>
              </w:tc>
              <w:tc>
                <w:tcPr>
                  <w:tcW w:w="0" w:type="auto"/>
                  <w:vAlign w:val="center"/>
                </w:tcPr>
                <w:p w14:paraId="01BA1FC8">
                  <w:pPr>
                    <w:adjustRightInd w:val="0"/>
                    <w:snapToGrid w:val="0"/>
                    <w:spacing w:line="240" w:lineRule="auto"/>
                    <w:ind w:firstLine="0" w:firstLineChars="0"/>
                    <w:jc w:val="center"/>
                    <w:rPr>
                      <w:sz w:val="21"/>
                      <w:szCs w:val="21"/>
                    </w:rPr>
                  </w:pPr>
                  <w:r>
                    <w:rPr>
                      <w:rFonts w:hint="eastAsia"/>
                      <w:sz w:val="21"/>
                      <w:szCs w:val="21"/>
                    </w:rPr>
                    <w:t>省煤器</w:t>
                  </w:r>
                </w:p>
              </w:tc>
              <w:tc>
                <w:tcPr>
                  <w:tcW w:w="0" w:type="auto"/>
                  <w:vAlign w:val="center"/>
                </w:tcPr>
                <w:p w14:paraId="5C61EF21">
                  <w:pPr>
                    <w:adjustRightInd w:val="0"/>
                    <w:snapToGrid w:val="0"/>
                    <w:spacing w:line="240" w:lineRule="auto"/>
                    <w:ind w:firstLine="0" w:firstLineChars="0"/>
                    <w:jc w:val="center"/>
                    <w:rPr>
                      <w:sz w:val="21"/>
                      <w:szCs w:val="21"/>
                    </w:rPr>
                  </w:pPr>
                  <w:r>
                    <w:rPr>
                      <w:rFonts w:hint="eastAsia"/>
                      <w:sz w:val="21"/>
                      <w:szCs w:val="21"/>
                    </w:rPr>
                    <w:t>4台</w:t>
                  </w:r>
                </w:p>
              </w:tc>
              <w:tc>
                <w:tcPr>
                  <w:tcW w:w="0" w:type="auto"/>
                  <w:vAlign w:val="center"/>
                </w:tcPr>
                <w:p w14:paraId="341FBD07">
                  <w:pPr>
                    <w:pStyle w:val="58"/>
                    <w:jc w:val="center"/>
                    <w:rPr>
                      <w:b w:val="0"/>
                      <w:bCs w:val="0"/>
                    </w:rPr>
                  </w:pPr>
                  <w:r>
                    <w:rPr>
                      <w:rFonts w:hint="eastAsia"/>
                      <w:b w:val="0"/>
                      <w:bCs w:val="0"/>
                    </w:rPr>
                    <w:t>铸铁鳍片式</w:t>
                  </w:r>
                </w:p>
              </w:tc>
              <w:tc>
                <w:tcPr>
                  <w:tcW w:w="0" w:type="auto"/>
                  <w:vAlign w:val="center"/>
                </w:tcPr>
                <w:p w14:paraId="40A37F93">
                  <w:pPr>
                    <w:pStyle w:val="58"/>
                    <w:jc w:val="center"/>
                    <w:rPr>
                      <w:b w:val="0"/>
                      <w:bCs w:val="0"/>
                    </w:rPr>
                  </w:pPr>
                  <w:r>
                    <w:rPr>
                      <w:rFonts w:hint="eastAsia"/>
                      <w:b w:val="0"/>
                      <w:bCs w:val="0"/>
                    </w:rPr>
                    <w:t>吸收烟气余热，提高锅炉效率</w:t>
                  </w:r>
                </w:p>
              </w:tc>
              <w:tc>
                <w:tcPr>
                  <w:tcW w:w="0" w:type="auto"/>
                  <w:vMerge w:val="continue"/>
                  <w:vAlign w:val="center"/>
                </w:tcPr>
                <w:p w14:paraId="5B61EF8F">
                  <w:pPr>
                    <w:pStyle w:val="58"/>
                    <w:jc w:val="center"/>
                  </w:pPr>
                </w:p>
              </w:tc>
            </w:tr>
            <w:tr w14:paraId="2E36D3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6F437DBA">
                  <w:pPr>
                    <w:adjustRightInd w:val="0"/>
                    <w:snapToGrid w:val="0"/>
                    <w:spacing w:line="240" w:lineRule="auto"/>
                    <w:ind w:firstLine="0" w:firstLineChars="0"/>
                    <w:jc w:val="center"/>
                    <w:rPr>
                      <w:sz w:val="21"/>
                      <w:szCs w:val="21"/>
                    </w:rPr>
                  </w:pPr>
                  <w:r>
                    <w:rPr>
                      <w:rFonts w:hint="eastAsia"/>
                      <w:sz w:val="21"/>
                      <w:szCs w:val="21"/>
                    </w:rPr>
                    <w:t>11</w:t>
                  </w:r>
                </w:p>
              </w:tc>
              <w:tc>
                <w:tcPr>
                  <w:tcW w:w="0" w:type="auto"/>
                  <w:vAlign w:val="center"/>
                </w:tcPr>
                <w:p w14:paraId="0B3B48DA">
                  <w:pPr>
                    <w:adjustRightInd w:val="0"/>
                    <w:snapToGrid w:val="0"/>
                    <w:spacing w:line="240" w:lineRule="auto"/>
                    <w:ind w:firstLine="0" w:firstLineChars="0"/>
                    <w:jc w:val="center"/>
                    <w:rPr>
                      <w:sz w:val="21"/>
                      <w:szCs w:val="21"/>
                    </w:rPr>
                  </w:pPr>
                  <w:r>
                    <w:rPr>
                      <w:rFonts w:hint="eastAsia"/>
                      <w:sz w:val="21"/>
                      <w:szCs w:val="21"/>
                    </w:rPr>
                    <w:t>除氧器</w:t>
                  </w:r>
                </w:p>
              </w:tc>
              <w:tc>
                <w:tcPr>
                  <w:tcW w:w="0" w:type="auto"/>
                  <w:vAlign w:val="center"/>
                </w:tcPr>
                <w:p w14:paraId="7C668578">
                  <w:pPr>
                    <w:adjustRightInd w:val="0"/>
                    <w:snapToGrid w:val="0"/>
                    <w:spacing w:line="240" w:lineRule="auto"/>
                    <w:ind w:firstLine="0" w:firstLineChars="0"/>
                    <w:jc w:val="center"/>
                    <w:rPr>
                      <w:sz w:val="21"/>
                      <w:szCs w:val="21"/>
                    </w:rPr>
                  </w:pPr>
                  <w:r>
                    <w:rPr>
                      <w:rFonts w:hint="eastAsia"/>
                      <w:sz w:val="21"/>
                      <w:szCs w:val="21"/>
                    </w:rPr>
                    <w:t>2台</w:t>
                  </w:r>
                </w:p>
              </w:tc>
              <w:tc>
                <w:tcPr>
                  <w:tcW w:w="0" w:type="auto"/>
                  <w:vAlign w:val="center"/>
                </w:tcPr>
                <w:p w14:paraId="041B483B">
                  <w:pPr>
                    <w:pStyle w:val="58"/>
                    <w:jc w:val="center"/>
                    <w:rPr>
                      <w:b w:val="0"/>
                      <w:bCs w:val="0"/>
                    </w:rPr>
                  </w:pPr>
                  <w:r>
                    <w:rPr>
                      <w:rFonts w:hint="eastAsia"/>
                      <w:b w:val="0"/>
                      <w:bCs w:val="0"/>
                    </w:rPr>
                    <w:t>热力式30型</w:t>
                  </w:r>
                </w:p>
              </w:tc>
              <w:tc>
                <w:tcPr>
                  <w:tcW w:w="0" w:type="auto"/>
                  <w:vAlign w:val="center"/>
                </w:tcPr>
                <w:p w14:paraId="25AEA7D2">
                  <w:pPr>
                    <w:pStyle w:val="58"/>
                    <w:jc w:val="center"/>
                    <w:rPr>
                      <w:b w:val="0"/>
                      <w:bCs w:val="0"/>
                    </w:rPr>
                  </w:pPr>
                  <w:r>
                    <w:rPr>
                      <w:rFonts w:hint="eastAsia"/>
                      <w:b w:val="0"/>
                      <w:bCs w:val="0"/>
                    </w:rPr>
                    <w:t>除去给水含氧量，防止辐射受热面氧腐蚀</w:t>
                  </w:r>
                </w:p>
              </w:tc>
              <w:tc>
                <w:tcPr>
                  <w:tcW w:w="0" w:type="auto"/>
                  <w:vMerge w:val="continue"/>
                  <w:vAlign w:val="center"/>
                </w:tcPr>
                <w:p w14:paraId="3868F975">
                  <w:pPr>
                    <w:pStyle w:val="58"/>
                    <w:jc w:val="center"/>
                  </w:pPr>
                </w:p>
              </w:tc>
            </w:tr>
            <w:tr w14:paraId="02939B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gridSpan w:val="6"/>
                  <w:vAlign w:val="center"/>
                </w:tcPr>
                <w:p w14:paraId="08496425">
                  <w:pPr>
                    <w:pStyle w:val="58"/>
                  </w:pPr>
                  <w:r>
                    <w:rPr>
                      <w:rFonts w:hint="eastAsia"/>
                    </w:rPr>
                    <w:t>三、尾气处理环保设备</w:t>
                  </w:r>
                </w:p>
              </w:tc>
            </w:tr>
            <w:tr w14:paraId="7C9FAD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73BA048E">
                  <w:pPr>
                    <w:adjustRightInd w:val="0"/>
                    <w:snapToGrid w:val="0"/>
                    <w:spacing w:line="240" w:lineRule="auto"/>
                    <w:ind w:firstLine="0" w:firstLineChars="0"/>
                    <w:jc w:val="center"/>
                    <w:rPr>
                      <w:sz w:val="21"/>
                      <w:szCs w:val="21"/>
                    </w:rPr>
                  </w:pPr>
                  <w:r>
                    <w:rPr>
                      <w:rFonts w:hint="eastAsia"/>
                      <w:sz w:val="21"/>
                      <w:szCs w:val="21"/>
                    </w:rPr>
                    <w:t>1</w:t>
                  </w:r>
                </w:p>
              </w:tc>
              <w:tc>
                <w:tcPr>
                  <w:tcW w:w="0" w:type="auto"/>
                  <w:vAlign w:val="center"/>
                </w:tcPr>
                <w:p w14:paraId="424DBA24">
                  <w:pPr>
                    <w:adjustRightInd w:val="0"/>
                    <w:snapToGrid w:val="0"/>
                    <w:spacing w:line="240" w:lineRule="auto"/>
                    <w:ind w:firstLine="0" w:firstLineChars="0"/>
                    <w:jc w:val="center"/>
                    <w:rPr>
                      <w:sz w:val="21"/>
                      <w:szCs w:val="21"/>
                    </w:rPr>
                  </w:pPr>
                  <w:r>
                    <w:rPr>
                      <w:rFonts w:hint="eastAsia"/>
                      <w:sz w:val="21"/>
                      <w:szCs w:val="21"/>
                    </w:rPr>
                    <w:t>SCR脱硝装置</w:t>
                  </w:r>
                </w:p>
              </w:tc>
              <w:tc>
                <w:tcPr>
                  <w:tcW w:w="0" w:type="auto"/>
                  <w:vAlign w:val="center"/>
                </w:tcPr>
                <w:p w14:paraId="3AEADFE7">
                  <w:pPr>
                    <w:adjustRightInd w:val="0"/>
                    <w:snapToGrid w:val="0"/>
                    <w:spacing w:line="240" w:lineRule="auto"/>
                    <w:ind w:firstLine="0" w:firstLineChars="0"/>
                    <w:jc w:val="center"/>
                    <w:rPr>
                      <w:sz w:val="21"/>
                      <w:szCs w:val="21"/>
                    </w:rPr>
                  </w:pPr>
                  <w:r>
                    <w:rPr>
                      <w:rFonts w:hint="eastAsia"/>
                      <w:sz w:val="21"/>
                      <w:szCs w:val="21"/>
                    </w:rPr>
                    <w:t>4套</w:t>
                  </w:r>
                </w:p>
              </w:tc>
              <w:tc>
                <w:tcPr>
                  <w:tcW w:w="0" w:type="auto"/>
                  <w:vAlign w:val="center"/>
                </w:tcPr>
                <w:p w14:paraId="5F9C7F2D">
                  <w:pPr>
                    <w:pStyle w:val="58"/>
                    <w:jc w:val="center"/>
                    <w:rPr>
                      <w:b w:val="0"/>
                      <w:bCs w:val="0"/>
                    </w:rPr>
                  </w:pPr>
                  <w:r>
                    <w:rPr>
                      <w:rFonts w:hint="eastAsia"/>
                      <w:b w:val="0"/>
                      <w:bCs w:val="0"/>
                    </w:rPr>
                    <w:t>GTTN-25</w:t>
                  </w:r>
                </w:p>
              </w:tc>
              <w:tc>
                <w:tcPr>
                  <w:tcW w:w="0" w:type="auto"/>
                  <w:vAlign w:val="center"/>
                </w:tcPr>
                <w:p w14:paraId="11C7CE85">
                  <w:pPr>
                    <w:pStyle w:val="58"/>
                    <w:jc w:val="center"/>
                    <w:rPr>
                      <w:b w:val="0"/>
                      <w:bCs w:val="0"/>
                    </w:rPr>
                  </w:pPr>
                  <w:r>
                    <w:rPr>
                      <w:rFonts w:hint="eastAsia"/>
                      <w:b w:val="0"/>
                      <w:bCs w:val="0"/>
                    </w:rPr>
                    <w:t>脱除烟气中的氮氧化物</w:t>
                  </w:r>
                </w:p>
              </w:tc>
              <w:tc>
                <w:tcPr>
                  <w:tcW w:w="0" w:type="auto"/>
                  <w:vAlign w:val="center"/>
                </w:tcPr>
                <w:p w14:paraId="394A90BE">
                  <w:pPr>
                    <w:pStyle w:val="58"/>
                    <w:jc w:val="center"/>
                  </w:pPr>
                  <w:r>
                    <w:rPr>
                      <w:rFonts w:hint="eastAsia"/>
                    </w:rPr>
                    <w:t>/</w:t>
                  </w:r>
                </w:p>
              </w:tc>
            </w:tr>
            <w:tr w14:paraId="4729D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14CA37DB">
                  <w:pPr>
                    <w:adjustRightInd w:val="0"/>
                    <w:snapToGrid w:val="0"/>
                    <w:spacing w:line="240" w:lineRule="auto"/>
                    <w:ind w:firstLine="0" w:firstLineChars="0"/>
                    <w:jc w:val="center"/>
                    <w:rPr>
                      <w:sz w:val="21"/>
                      <w:szCs w:val="21"/>
                    </w:rPr>
                  </w:pPr>
                  <w:r>
                    <w:rPr>
                      <w:rFonts w:hint="eastAsia"/>
                      <w:sz w:val="21"/>
                      <w:szCs w:val="21"/>
                    </w:rPr>
                    <w:t>2</w:t>
                  </w:r>
                </w:p>
              </w:tc>
              <w:tc>
                <w:tcPr>
                  <w:tcW w:w="0" w:type="auto"/>
                  <w:vAlign w:val="center"/>
                </w:tcPr>
                <w:p w14:paraId="2CCD7E3D">
                  <w:pPr>
                    <w:adjustRightInd w:val="0"/>
                    <w:snapToGrid w:val="0"/>
                    <w:spacing w:line="240" w:lineRule="auto"/>
                    <w:ind w:firstLine="0" w:firstLineChars="0"/>
                    <w:jc w:val="center"/>
                    <w:rPr>
                      <w:sz w:val="21"/>
                      <w:szCs w:val="21"/>
                    </w:rPr>
                  </w:pPr>
                  <w:r>
                    <w:rPr>
                      <w:rFonts w:hint="eastAsia"/>
                      <w:sz w:val="21"/>
                      <w:szCs w:val="21"/>
                    </w:rPr>
                    <w:t>喷淋式水膜除尘器</w:t>
                  </w:r>
                </w:p>
              </w:tc>
              <w:tc>
                <w:tcPr>
                  <w:tcW w:w="0" w:type="auto"/>
                  <w:vAlign w:val="center"/>
                </w:tcPr>
                <w:p w14:paraId="6270AE0B">
                  <w:pPr>
                    <w:adjustRightInd w:val="0"/>
                    <w:snapToGrid w:val="0"/>
                    <w:spacing w:line="240" w:lineRule="auto"/>
                    <w:ind w:firstLine="0" w:firstLineChars="0"/>
                    <w:jc w:val="center"/>
                    <w:rPr>
                      <w:sz w:val="21"/>
                      <w:szCs w:val="21"/>
                    </w:rPr>
                  </w:pPr>
                  <w:r>
                    <w:rPr>
                      <w:rFonts w:hint="eastAsia"/>
                      <w:sz w:val="21"/>
                      <w:szCs w:val="21"/>
                    </w:rPr>
                    <w:t>4套</w:t>
                  </w:r>
                </w:p>
              </w:tc>
              <w:tc>
                <w:tcPr>
                  <w:tcW w:w="0" w:type="auto"/>
                  <w:vAlign w:val="center"/>
                </w:tcPr>
                <w:p w14:paraId="17D1CB91">
                  <w:pPr>
                    <w:pStyle w:val="58"/>
                    <w:jc w:val="center"/>
                    <w:rPr>
                      <w:b w:val="0"/>
                      <w:bCs w:val="0"/>
                    </w:rPr>
                  </w:pPr>
                  <w:r>
                    <w:rPr>
                      <w:rFonts w:hint="eastAsia"/>
                      <w:b w:val="0"/>
                      <w:bCs w:val="0"/>
                    </w:rPr>
                    <w:t>GTSM-2600</w:t>
                  </w:r>
                </w:p>
              </w:tc>
              <w:tc>
                <w:tcPr>
                  <w:tcW w:w="0" w:type="auto"/>
                  <w:vAlign w:val="center"/>
                </w:tcPr>
                <w:p w14:paraId="667B3EE8">
                  <w:pPr>
                    <w:pStyle w:val="58"/>
                    <w:jc w:val="center"/>
                    <w:rPr>
                      <w:b w:val="0"/>
                      <w:bCs w:val="0"/>
                    </w:rPr>
                  </w:pPr>
                  <w:r>
                    <w:rPr>
                      <w:rFonts w:hint="eastAsia"/>
                      <w:b w:val="0"/>
                      <w:bCs w:val="0"/>
                    </w:rPr>
                    <w:t>去除烟气中的颗粒物达标排放</w:t>
                  </w:r>
                </w:p>
              </w:tc>
              <w:tc>
                <w:tcPr>
                  <w:tcW w:w="0" w:type="auto"/>
                  <w:vAlign w:val="center"/>
                </w:tcPr>
                <w:p w14:paraId="21294431">
                  <w:pPr>
                    <w:pStyle w:val="58"/>
                    <w:jc w:val="center"/>
                  </w:pPr>
                  <w:r>
                    <w:rPr>
                      <w:rFonts w:hint="eastAsia"/>
                    </w:rPr>
                    <w:t>/</w:t>
                  </w:r>
                </w:p>
              </w:tc>
            </w:tr>
            <w:tr w14:paraId="0A7BD5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2AA6D56B">
                  <w:pPr>
                    <w:adjustRightInd w:val="0"/>
                    <w:snapToGrid w:val="0"/>
                    <w:spacing w:line="240" w:lineRule="auto"/>
                    <w:ind w:firstLine="0" w:firstLineChars="0"/>
                    <w:jc w:val="center"/>
                    <w:rPr>
                      <w:sz w:val="21"/>
                      <w:szCs w:val="21"/>
                    </w:rPr>
                  </w:pPr>
                  <w:r>
                    <w:rPr>
                      <w:rFonts w:hint="eastAsia"/>
                      <w:sz w:val="21"/>
                      <w:szCs w:val="21"/>
                    </w:rPr>
                    <w:t>3</w:t>
                  </w:r>
                </w:p>
              </w:tc>
              <w:tc>
                <w:tcPr>
                  <w:tcW w:w="0" w:type="auto"/>
                  <w:vAlign w:val="center"/>
                </w:tcPr>
                <w:p w14:paraId="5D563EFD">
                  <w:pPr>
                    <w:adjustRightInd w:val="0"/>
                    <w:snapToGrid w:val="0"/>
                    <w:spacing w:line="240" w:lineRule="auto"/>
                    <w:ind w:firstLine="0" w:firstLineChars="0"/>
                    <w:jc w:val="center"/>
                    <w:rPr>
                      <w:sz w:val="21"/>
                      <w:szCs w:val="21"/>
                    </w:rPr>
                  </w:pPr>
                  <w:r>
                    <w:rPr>
                      <w:rFonts w:hint="eastAsia"/>
                      <w:sz w:val="21"/>
                      <w:szCs w:val="21"/>
                    </w:rPr>
                    <w:t>烟囱</w:t>
                  </w:r>
                </w:p>
              </w:tc>
              <w:tc>
                <w:tcPr>
                  <w:tcW w:w="0" w:type="auto"/>
                  <w:vAlign w:val="center"/>
                </w:tcPr>
                <w:p w14:paraId="50BB56F0">
                  <w:pPr>
                    <w:adjustRightInd w:val="0"/>
                    <w:snapToGrid w:val="0"/>
                    <w:spacing w:line="240" w:lineRule="auto"/>
                    <w:ind w:firstLine="0" w:firstLineChars="0"/>
                    <w:jc w:val="center"/>
                    <w:rPr>
                      <w:sz w:val="21"/>
                      <w:szCs w:val="21"/>
                    </w:rPr>
                  </w:pPr>
                  <w:r>
                    <w:rPr>
                      <w:rFonts w:hint="eastAsia"/>
                      <w:sz w:val="21"/>
                      <w:szCs w:val="21"/>
                    </w:rPr>
                    <w:t>2座</w:t>
                  </w:r>
                </w:p>
              </w:tc>
              <w:tc>
                <w:tcPr>
                  <w:tcW w:w="0" w:type="auto"/>
                  <w:vAlign w:val="center"/>
                </w:tcPr>
                <w:p w14:paraId="3E0305A9">
                  <w:pPr>
                    <w:pStyle w:val="58"/>
                    <w:jc w:val="center"/>
                    <w:rPr>
                      <w:b w:val="0"/>
                      <w:bCs w:val="0"/>
                    </w:rPr>
                  </w:pPr>
                  <w:r>
                    <w:rPr>
                      <w:rFonts w:hint="eastAsia"/>
                      <w:b w:val="0"/>
                      <w:bCs w:val="0"/>
                    </w:rPr>
                    <w:t>/</w:t>
                  </w:r>
                </w:p>
              </w:tc>
              <w:tc>
                <w:tcPr>
                  <w:tcW w:w="0" w:type="auto"/>
                  <w:vAlign w:val="center"/>
                </w:tcPr>
                <w:p w14:paraId="14FD0162">
                  <w:pPr>
                    <w:pStyle w:val="58"/>
                    <w:jc w:val="center"/>
                    <w:rPr>
                      <w:b w:val="0"/>
                      <w:bCs w:val="0"/>
                    </w:rPr>
                  </w:pPr>
                  <w:r>
                    <w:rPr>
                      <w:rFonts w:hint="eastAsia"/>
                      <w:b w:val="0"/>
                      <w:bCs w:val="0"/>
                    </w:rPr>
                    <w:t>高点达标排放</w:t>
                  </w:r>
                </w:p>
              </w:tc>
              <w:tc>
                <w:tcPr>
                  <w:tcW w:w="0" w:type="auto"/>
                  <w:vAlign w:val="center"/>
                </w:tcPr>
                <w:p w14:paraId="492AD009">
                  <w:pPr>
                    <w:pStyle w:val="58"/>
                    <w:jc w:val="center"/>
                  </w:pPr>
                  <w:r>
                    <w:rPr>
                      <w:rFonts w:hint="eastAsia"/>
                    </w:rPr>
                    <w:t>/</w:t>
                  </w:r>
                </w:p>
              </w:tc>
            </w:tr>
            <w:tr w14:paraId="6A840D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4BB63B4A">
                  <w:pPr>
                    <w:adjustRightInd w:val="0"/>
                    <w:snapToGrid w:val="0"/>
                    <w:spacing w:line="240" w:lineRule="auto"/>
                    <w:ind w:firstLine="0" w:firstLineChars="0"/>
                    <w:jc w:val="center"/>
                    <w:rPr>
                      <w:sz w:val="21"/>
                      <w:szCs w:val="21"/>
                    </w:rPr>
                  </w:pPr>
                  <w:r>
                    <w:rPr>
                      <w:rFonts w:hint="eastAsia"/>
                      <w:sz w:val="21"/>
                      <w:szCs w:val="21"/>
                    </w:rPr>
                    <w:t>4</w:t>
                  </w:r>
                </w:p>
              </w:tc>
              <w:tc>
                <w:tcPr>
                  <w:tcW w:w="0" w:type="auto"/>
                  <w:vAlign w:val="center"/>
                </w:tcPr>
                <w:p w14:paraId="290D572F">
                  <w:pPr>
                    <w:adjustRightInd w:val="0"/>
                    <w:snapToGrid w:val="0"/>
                    <w:spacing w:line="240" w:lineRule="auto"/>
                    <w:ind w:firstLine="0" w:firstLineChars="0"/>
                    <w:jc w:val="center"/>
                    <w:rPr>
                      <w:sz w:val="21"/>
                      <w:szCs w:val="21"/>
                    </w:rPr>
                  </w:pPr>
                  <w:r>
                    <w:rPr>
                      <w:rFonts w:hint="eastAsia"/>
                      <w:sz w:val="21"/>
                      <w:szCs w:val="21"/>
                    </w:rPr>
                    <w:t>烟气环保在线监测装置</w:t>
                  </w:r>
                </w:p>
              </w:tc>
              <w:tc>
                <w:tcPr>
                  <w:tcW w:w="0" w:type="auto"/>
                  <w:vAlign w:val="center"/>
                </w:tcPr>
                <w:p w14:paraId="7FD65C9E">
                  <w:pPr>
                    <w:adjustRightInd w:val="0"/>
                    <w:snapToGrid w:val="0"/>
                    <w:spacing w:line="240" w:lineRule="auto"/>
                    <w:ind w:firstLine="0" w:firstLineChars="0"/>
                    <w:jc w:val="center"/>
                    <w:rPr>
                      <w:sz w:val="21"/>
                      <w:szCs w:val="21"/>
                    </w:rPr>
                  </w:pPr>
                  <w:r>
                    <w:rPr>
                      <w:rFonts w:hint="eastAsia"/>
                      <w:sz w:val="21"/>
                      <w:szCs w:val="21"/>
                    </w:rPr>
                    <w:t>2套</w:t>
                  </w:r>
                </w:p>
              </w:tc>
              <w:tc>
                <w:tcPr>
                  <w:tcW w:w="0" w:type="auto"/>
                  <w:vAlign w:val="center"/>
                </w:tcPr>
                <w:p w14:paraId="5DAC2297">
                  <w:pPr>
                    <w:pStyle w:val="58"/>
                    <w:jc w:val="center"/>
                    <w:rPr>
                      <w:b w:val="0"/>
                      <w:bCs w:val="0"/>
                    </w:rPr>
                  </w:pPr>
                  <w:r>
                    <w:rPr>
                      <w:rFonts w:hint="eastAsia"/>
                      <w:b w:val="0"/>
                      <w:bCs w:val="0"/>
                    </w:rPr>
                    <w:t>/</w:t>
                  </w:r>
                </w:p>
              </w:tc>
              <w:tc>
                <w:tcPr>
                  <w:tcW w:w="0" w:type="auto"/>
                  <w:vAlign w:val="center"/>
                </w:tcPr>
                <w:p w14:paraId="2FB7EB2D">
                  <w:pPr>
                    <w:pStyle w:val="58"/>
                    <w:jc w:val="center"/>
                    <w:rPr>
                      <w:b w:val="0"/>
                      <w:bCs w:val="0"/>
                    </w:rPr>
                  </w:pPr>
                  <w:r>
                    <w:rPr>
                      <w:rFonts w:hint="eastAsia"/>
                      <w:b w:val="0"/>
                      <w:bCs w:val="0"/>
                    </w:rPr>
                    <w:t>环保达标排放监控</w:t>
                  </w:r>
                </w:p>
              </w:tc>
              <w:tc>
                <w:tcPr>
                  <w:tcW w:w="0" w:type="auto"/>
                  <w:vAlign w:val="center"/>
                </w:tcPr>
                <w:p w14:paraId="3DC5DB8A">
                  <w:pPr>
                    <w:pStyle w:val="58"/>
                    <w:jc w:val="center"/>
                  </w:pPr>
                  <w:r>
                    <w:rPr>
                      <w:rFonts w:hint="eastAsia"/>
                    </w:rPr>
                    <w:t>/</w:t>
                  </w:r>
                </w:p>
              </w:tc>
            </w:tr>
            <w:tr w14:paraId="6FB8F4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gridSpan w:val="6"/>
                  <w:vAlign w:val="center"/>
                </w:tcPr>
                <w:p w14:paraId="67136FE8">
                  <w:pPr>
                    <w:pStyle w:val="58"/>
                  </w:pPr>
                  <w:r>
                    <w:rPr>
                      <w:rFonts w:hint="eastAsia"/>
                    </w:rPr>
                    <w:t>四、其他设备</w:t>
                  </w:r>
                </w:p>
              </w:tc>
            </w:tr>
            <w:tr w14:paraId="40C178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2590FDBA">
                  <w:pPr>
                    <w:adjustRightInd w:val="0"/>
                    <w:snapToGrid w:val="0"/>
                    <w:spacing w:line="240" w:lineRule="auto"/>
                    <w:ind w:firstLine="0" w:firstLineChars="0"/>
                    <w:jc w:val="center"/>
                    <w:rPr>
                      <w:sz w:val="21"/>
                      <w:szCs w:val="21"/>
                    </w:rPr>
                  </w:pPr>
                  <w:r>
                    <w:rPr>
                      <w:rFonts w:hint="eastAsia"/>
                      <w:sz w:val="21"/>
                      <w:szCs w:val="21"/>
                    </w:rPr>
                    <w:t>1</w:t>
                  </w:r>
                </w:p>
              </w:tc>
              <w:tc>
                <w:tcPr>
                  <w:tcW w:w="0" w:type="auto"/>
                  <w:vAlign w:val="center"/>
                </w:tcPr>
                <w:p w14:paraId="46629C1E">
                  <w:pPr>
                    <w:adjustRightInd w:val="0"/>
                    <w:snapToGrid w:val="0"/>
                    <w:spacing w:line="240" w:lineRule="auto"/>
                    <w:ind w:firstLine="0" w:firstLineChars="0"/>
                    <w:jc w:val="center"/>
                    <w:rPr>
                      <w:sz w:val="21"/>
                      <w:szCs w:val="21"/>
                    </w:rPr>
                  </w:pPr>
                  <w:r>
                    <w:rPr>
                      <w:rFonts w:hint="eastAsia"/>
                      <w:sz w:val="21"/>
                      <w:szCs w:val="21"/>
                    </w:rPr>
                    <w:t>板框压滤机</w:t>
                  </w:r>
                </w:p>
              </w:tc>
              <w:tc>
                <w:tcPr>
                  <w:tcW w:w="0" w:type="auto"/>
                  <w:vAlign w:val="center"/>
                </w:tcPr>
                <w:p w14:paraId="500BF2AE">
                  <w:pPr>
                    <w:adjustRightInd w:val="0"/>
                    <w:snapToGrid w:val="0"/>
                    <w:spacing w:line="240" w:lineRule="auto"/>
                    <w:ind w:firstLine="0" w:firstLineChars="0"/>
                    <w:jc w:val="center"/>
                    <w:rPr>
                      <w:sz w:val="21"/>
                      <w:szCs w:val="21"/>
                    </w:rPr>
                  </w:pPr>
                  <w:r>
                    <w:rPr>
                      <w:rFonts w:hint="eastAsia"/>
                      <w:sz w:val="21"/>
                      <w:szCs w:val="21"/>
                    </w:rPr>
                    <w:t>2台</w:t>
                  </w:r>
                </w:p>
              </w:tc>
              <w:tc>
                <w:tcPr>
                  <w:tcW w:w="0" w:type="auto"/>
                  <w:vAlign w:val="center"/>
                </w:tcPr>
                <w:p w14:paraId="7569D77F">
                  <w:pPr>
                    <w:pStyle w:val="58"/>
                    <w:jc w:val="center"/>
                  </w:pPr>
                  <w:r>
                    <w:rPr>
                      <w:rFonts w:hint="eastAsia"/>
                    </w:rPr>
                    <w:t>/</w:t>
                  </w:r>
                </w:p>
              </w:tc>
              <w:tc>
                <w:tcPr>
                  <w:tcW w:w="0" w:type="auto"/>
                  <w:vAlign w:val="center"/>
                </w:tcPr>
                <w:p w14:paraId="787D1E9E">
                  <w:pPr>
                    <w:pStyle w:val="58"/>
                    <w:jc w:val="center"/>
                    <w:rPr>
                      <w:b w:val="0"/>
                      <w:bCs w:val="0"/>
                    </w:rPr>
                  </w:pPr>
                  <w:r>
                    <w:rPr>
                      <w:rFonts w:hint="eastAsia"/>
                      <w:b w:val="0"/>
                      <w:bCs w:val="0"/>
                    </w:rPr>
                    <w:t>压滤水膜除尘器收集的粉尘</w:t>
                  </w:r>
                </w:p>
              </w:tc>
              <w:tc>
                <w:tcPr>
                  <w:tcW w:w="0" w:type="auto"/>
                  <w:vAlign w:val="center"/>
                </w:tcPr>
                <w:p w14:paraId="730C7A6C">
                  <w:pPr>
                    <w:pStyle w:val="58"/>
                    <w:jc w:val="center"/>
                    <w:rPr>
                      <w:b w:val="0"/>
                      <w:bCs w:val="0"/>
                    </w:rPr>
                  </w:pPr>
                  <w:r>
                    <w:rPr>
                      <w:rFonts w:hint="eastAsia"/>
                      <w:b w:val="0"/>
                      <w:bCs w:val="0"/>
                    </w:rPr>
                    <w:t>/</w:t>
                  </w:r>
                </w:p>
              </w:tc>
            </w:tr>
            <w:tr w14:paraId="283E5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592B0778">
                  <w:pPr>
                    <w:adjustRightInd w:val="0"/>
                    <w:snapToGrid w:val="0"/>
                    <w:spacing w:line="240" w:lineRule="auto"/>
                    <w:ind w:firstLine="0" w:firstLineChars="0"/>
                    <w:jc w:val="center"/>
                    <w:rPr>
                      <w:sz w:val="21"/>
                      <w:szCs w:val="21"/>
                    </w:rPr>
                  </w:pPr>
                  <w:r>
                    <w:rPr>
                      <w:rFonts w:hint="eastAsia"/>
                      <w:sz w:val="21"/>
                      <w:szCs w:val="21"/>
                    </w:rPr>
                    <w:t>2</w:t>
                  </w:r>
                </w:p>
              </w:tc>
              <w:tc>
                <w:tcPr>
                  <w:tcW w:w="0" w:type="auto"/>
                  <w:vAlign w:val="center"/>
                </w:tcPr>
                <w:p w14:paraId="62CA733D">
                  <w:pPr>
                    <w:adjustRightInd w:val="0"/>
                    <w:snapToGrid w:val="0"/>
                    <w:spacing w:line="240" w:lineRule="auto"/>
                    <w:ind w:firstLine="0" w:firstLineChars="0"/>
                    <w:jc w:val="center"/>
                    <w:rPr>
                      <w:sz w:val="21"/>
                      <w:szCs w:val="21"/>
                    </w:rPr>
                  </w:pPr>
                  <w:r>
                    <w:rPr>
                      <w:rFonts w:hint="eastAsia"/>
                      <w:sz w:val="21"/>
                      <w:szCs w:val="21"/>
                    </w:rPr>
                    <w:t>装载机</w:t>
                  </w:r>
                </w:p>
              </w:tc>
              <w:tc>
                <w:tcPr>
                  <w:tcW w:w="0" w:type="auto"/>
                  <w:vAlign w:val="center"/>
                </w:tcPr>
                <w:p w14:paraId="0BB3D38A">
                  <w:pPr>
                    <w:adjustRightInd w:val="0"/>
                    <w:snapToGrid w:val="0"/>
                    <w:spacing w:line="240" w:lineRule="auto"/>
                    <w:ind w:firstLine="0" w:firstLineChars="0"/>
                    <w:jc w:val="center"/>
                    <w:rPr>
                      <w:sz w:val="21"/>
                      <w:szCs w:val="21"/>
                    </w:rPr>
                  </w:pPr>
                  <w:r>
                    <w:rPr>
                      <w:rFonts w:hint="eastAsia"/>
                      <w:sz w:val="21"/>
                      <w:szCs w:val="21"/>
                    </w:rPr>
                    <w:t>4台</w:t>
                  </w:r>
                </w:p>
              </w:tc>
              <w:tc>
                <w:tcPr>
                  <w:tcW w:w="0" w:type="auto"/>
                  <w:vAlign w:val="center"/>
                </w:tcPr>
                <w:p w14:paraId="0CC70996">
                  <w:pPr>
                    <w:pStyle w:val="58"/>
                    <w:jc w:val="center"/>
                  </w:pPr>
                  <w:r>
                    <w:rPr>
                      <w:rFonts w:hint="eastAsia"/>
                    </w:rPr>
                    <w:t>/</w:t>
                  </w:r>
                </w:p>
              </w:tc>
              <w:tc>
                <w:tcPr>
                  <w:tcW w:w="0" w:type="auto"/>
                  <w:vAlign w:val="center"/>
                </w:tcPr>
                <w:p w14:paraId="4AC778AA">
                  <w:pPr>
                    <w:pStyle w:val="58"/>
                    <w:jc w:val="center"/>
                    <w:rPr>
                      <w:b w:val="0"/>
                      <w:bCs w:val="0"/>
                    </w:rPr>
                  </w:pPr>
                  <w:r>
                    <w:rPr>
                      <w:rFonts w:hint="eastAsia"/>
                      <w:b w:val="0"/>
                      <w:bCs w:val="0"/>
                    </w:rPr>
                    <w:t>运输原料</w:t>
                  </w:r>
                </w:p>
              </w:tc>
              <w:tc>
                <w:tcPr>
                  <w:tcW w:w="0" w:type="auto"/>
                  <w:vAlign w:val="center"/>
                </w:tcPr>
                <w:p w14:paraId="616CDBEF">
                  <w:pPr>
                    <w:pStyle w:val="58"/>
                    <w:jc w:val="center"/>
                    <w:rPr>
                      <w:b w:val="0"/>
                      <w:bCs w:val="0"/>
                    </w:rPr>
                  </w:pPr>
                  <w:r>
                    <w:rPr>
                      <w:rFonts w:hint="eastAsia"/>
                      <w:b w:val="0"/>
                      <w:bCs w:val="0"/>
                    </w:rPr>
                    <w:t>/</w:t>
                  </w:r>
                </w:p>
              </w:tc>
            </w:tr>
            <w:tr w14:paraId="2FA053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7AF409DA">
                  <w:pPr>
                    <w:adjustRightInd w:val="0"/>
                    <w:snapToGrid w:val="0"/>
                    <w:spacing w:line="240" w:lineRule="auto"/>
                    <w:ind w:firstLine="0" w:firstLineChars="0"/>
                    <w:jc w:val="center"/>
                    <w:rPr>
                      <w:sz w:val="21"/>
                      <w:szCs w:val="21"/>
                    </w:rPr>
                  </w:pPr>
                  <w:r>
                    <w:rPr>
                      <w:rFonts w:hint="eastAsia"/>
                      <w:sz w:val="21"/>
                      <w:szCs w:val="21"/>
                    </w:rPr>
                    <w:t>3</w:t>
                  </w:r>
                </w:p>
              </w:tc>
              <w:tc>
                <w:tcPr>
                  <w:tcW w:w="0" w:type="auto"/>
                  <w:vAlign w:val="center"/>
                </w:tcPr>
                <w:p w14:paraId="7F2AE335">
                  <w:pPr>
                    <w:adjustRightInd w:val="0"/>
                    <w:snapToGrid w:val="0"/>
                    <w:spacing w:line="240" w:lineRule="auto"/>
                    <w:ind w:firstLine="0" w:firstLineChars="0"/>
                    <w:jc w:val="center"/>
                    <w:rPr>
                      <w:sz w:val="21"/>
                      <w:szCs w:val="21"/>
                    </w:rPr>
                  </w:pPr>
                  <w:r>
                    <w:rPr>
                      <w:rFonts w:hint="eastAsia"/>
                      <w:sz w:val="21"/>
                      <w:szCs w:val="21"/>
                    </w:rPr>
                    <w:t>氨水储罐</w:t>
                  </w:r>
                </w:p>
              </w:tc>
              <w:tc>
                <w:tcPr>
                  <w:tcW w:w="0" w:type="auto"/>
                  <w:vAlign w:val="center"/>
                </w:tcPr>
                <w:p w14:paraId="2B5B6190">
                  <w:pPr>
                    <w:adjustRightInd w:val="0"/>
                    <w:snapToGrid w:val="0"/>
                    <w:spacing w:line="240" w:lineRule="auto"/>
                    <w:ind w:firstLine="0" w:firstLineChars="0"/>
                    <w:jc w:val="center"/>
                    <w:rPr>
                      <w:sz w:val="21"/>
                      <w:szCs w:val="21"/>
                    </w:rPr>
                  </w:pPr>
                  <w:r>
                    <w:rPr>
                      <w:rFonts w:hint="eastAsia"/>
                      <w:sz w:val="21"/>
                      <w:szCs w:val="21"/>
                    </w:rPr>
                    <w:t>2个</w:t>
                  </w:r>
                </w:p>
              </w:tc>
              <w:tc>
                <w:tcPr>
                  <w:tcW w:w="0" w:type="auto"/>
                  <w:vAlign w:val="center"/>
                </w:tcPr>
                <w:p w14:paraId="6BBAAE25">
                  <w:pPr>
                    <w:pStyle w:val="58"/>
                    <w:jc w:val="center"/>
                    <w:rPr>
                      <w:b w:val="0"/>
                      <w:bCs w:val="0"/>
                    </w:rPr>
                  </w:pPr>
                  <w:r>
                    <w:rPr>
                      <w:rFonts w:hint="eastAsia"/>
                      <w:b w:val="0"/>
                      <w:bCs w:val="0"/>
                    </w:rPr>
                    <w:t>圆柱形立式储罐，容积</w:t>
                  </w:r>
                  <w:r>
                    <w:rPr>
                      <w:b w:val="0"/>
                      <w:bCs w:val="0"/>
                    </w:rPr>
                    <w:t>40m</w:t>
                  </w:r>
                  <w:r>
                    <w:rPr>
                      <w:b w:val="0"/>
                      <w:bCs w:val="0"/>
                      <w:vertAlign w:val="superscript"/>
                    </w:rPr>
                    <w:t>3</w:t>
                  </w:r>
                </w:p>
              </w:tc>
              <w:tc>
                <w:tcPr>
                  <w:tcW w:w="0" w:type="auto"/>
                  <w:vAlign w:val="center"/>
                </w:tcPr>
                <w:p w14:paraId="73B7C3AA">
                  <w:pPr>
                    <w:pStyle w:val="58"/>
                    <w:jc w:val="center"/>
                    <w:rPr>
                      <w:b w:val="0"/>
                      <w:bCs w:val="0"/>
                    </w:rPr>
                  </w:pPr>
                  <w:r>
                    <w:rPr>
                      <w:rFonts w:hint="eastAsia"/>
                      <w:b w:val="0"/>
                      <w:bCs w:val="0"/>
                    </w:rPr>
                    <w:t>储存氨水</w:t>
                  </w:r>
                </w:p>
              </w:tc>
              <w:tc>
                <w:tcPr>
                  <w:tcW w:w="0" w:type="auto"/>
                  <w:vAlign w:val="center"/>
                </w:tcPr>
                <w:p w14:paraId="6BDA4545">
                  <w:pPr>
                    <w:pStyle w:val="58"/>
                    <w:jc w:val="center"/>
                    <w:rPr>
                      <w:b w:val="0"/>
                      <w:bCs w:val="0"/>
                    </w:rPr>
                  </w:pPr>
                  <w:r>
                    <w:rPr>
                      <w:rFonts w:hint="eastAsia"/>
                      <w:b w:val="0"/>
                      <w:bCs w:val="0"/>
                    </w:rPr>
                    <w:t>/</w:t>
                  </w:r>
                </w:p>
              </w:tc>
            </w:tr>
          </w:tbl>
          <w:p w14:paraId="34A81507">
            <w:pPr>
              <w:ind w:firstLine="480"/>
              <w:rPr>
                <w:b/>
                <w:bCs/>
              </w:rPr>
            </w:pPr>
            <w:r>
              <w:rPr>
                <w:rFonts w:cs="Times New Roman"/>
              </w:rPr>
              <w:t>本项目选用SHS</w:t>
            </w:r>
            <w:r>
              <w:rPr>
                <w:rFonts w:hint="eastAsia" w:cs="Times New Roman"/>
              </w:rPr>
              <w:t>35</w:t>
            </w:r>
            <w:r>
              <w:rPr>
                <w:rFonts w:cs="Times New Roman"/>
              </w:rPr>
              <w:t>-2.45-Q</w:t>
            </w:r>
            <w:r>
              <w:rPr>
                <w:rFonts w:hint="eastAsia" w:cs="Times New Roman"/>
              </w:rPr>
              <w:t>生物质燃气锅炉</w:t>
            </w:r>
            <w:r>
              <w:rPr>
                <w:rFonts w:cs="Times New Roman"/>
              </w:rPr>
              <w:t>，其主要技术参数如下。</w:t>
            </w:r>
          </w:p>
          <w:p w14:paraId="2F3B6A89">
            <w:pPr>
              <w:pStyle w:val="29"/>
            </w:pPr>
            <w:r>
              <w:rPr>
                <w:rFonts w:hint="eastAsia"/>
              </w:rPr>
              <w:t>锅炉技术参数</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80"/>
              <w:gridCol w:w="3497"/>
              <w:gridCol w:w="3232"/>
            </w:tblGrid>
            <w:tr w14:paraId="78C25E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1265" w:type="dxa"/>
                  <w:tcBorders>
                    <w:tl2br w:val="nil"/>
                    <w:tr2bl w:val="nil"/>
                  </w:tcBorders>
                  <w:vAlign w:val="center"/>
                </w:tcPr>
                <w:p w14:paraId="1572DE11">
                  <w:pPr>
                    <w:pStyle w:val="31"/>
                    <w:rPr>
                      <w:rStyle w:val="89"/>
                      <w:b/>
                      <w:bCs/>
                      <w:szCs w:val="21"/>
                      <w:lang w:val="zh-CN"/>
                    </w:rPr>
                  </w:pPr>
                  <w:r>
                    <w:rPr>
                      <w:rStyle w:val="89"/>
                      <w:b/>
                      <w:bCs/>
                      <w:szCs w:val="21"/>
                      <w:lang w:val="zh-CN"/>
                    </w:rPr>
                    <w:t>序号</w:t>
                  </w:r>
                </w:p>
              </w:tc>
              <w:tc>
                <w:tcPr>
                  <w:tcW w:w="3457" w:type="dxa"/>
                  <w:tcBorders>
                    <w:tl2br w:val="nil"/>
                    <w:tr2bl w:val="nil"/>
                  </w:tcBorders>
                  <w:vAlign w:val="center"/>
                </w:tcPr>
                <w:p w14:paraId="72BDF2E9">
                  <w:pPr>
                    <w:pStyle w:val="31"/>
                    <w:rPr>
                      <w:rStyle w:val="89"/>
                      <w:b/>
                      <w:bCs/>
                      <w:szCs w:val="21"/>
                      <w:lang w:val="zh-CN"/>
                    </w:rPr>
                  </w:pPr>
                  <w:r>
                    <w:rPr>
                      <w:rStyle w:val="89"/>
                      <w:rFonts w:hint="eastAsia"/>
                      <w:b/>
                      <w:bCs/>
                      <w:szCs w:val="21"/>
                      <w:lang w:val="zh-CN"/>
                    </w:rPr>
                    <w:t>锅炉型号</w:t>
                  </w:r>
                </w:p>
              </w:tc>
              <w:tc>
                <w:tcPr>
                  <w:tcW w:w="3195" w:type="dxa"/>
                  <w:tcBorders>
                    <w:tl2br w:val="nil"/>
                    <w:tr2bl w:val="nil"/>
                  </w:tcBorders>
                  <w:vAlign w:val="center"/>
                </w:tcPr>
                <w:p w14:paraId="7C1CD272">
                  <w:pPr>
                    <w:pStyle w:val="31"/>
                    <w:rPr>
                      <w:rStyle w:val="89"/>
                      <w:b/>
                      <w:bCs/>
                      <w:szCs w:val="21"/>
                      <w:lang w:val="zh-CN"/>
                    </w:rPr>
                  </w:pPr>
                  <w:r>
                    <w:rPr>
                      <w:rFonts w:cs="Times New Roman"/>
                      <w:b/>
                      <w:bCs/>
                    </w:rPr>
                    <w:t>SHS</w:t>
                  </w:r>
                  <w:r>
                    <w:rPr>
                      <w:rFonts w:hint="eastAsia" w:cs="Times New Roman"/>
                      <w:b/>
                      <w:bCs/>
                    </w:rPr>
                    <w:t>35</w:t>
                  </w:r>
                  <w:r>
                    <w:rPr>
                      <w:rFonts w:cs="Times New Roman"/>
                      <w:b/>
                      <w:bCs/>
                    </w:rPr>
                    <w:t>-2.45-Q</w:t>
                  </w:r>
                </w:p>
              </w:tc>
            </w:tr>
            <w:tr w14:paraId="20459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0" w:hRule="atLeast"/>
                <w:jc w:val="center"/>
              </w:trPr>
              <w:tc>
                <w:tcPr>
                  <w:tcW w:w="1265" w:type="dxa"/>
                  <w:tcBorders>
                    <w:tl2br w:val="nil"/>
                    <w:tr2bl w:val="nil"/>
                  </w:tcBorders>
                  <w:vAlign w:val="center"/>
                </w:tcPr>
                <w:p w14:paraId="53B883B2">
                  <w:pPr>
                    <w:pStyle w:val="31"/>
                    <w:rPr>
                      <w:rStyle w:val="89"/>
                      <w:szCs w:val="21"/>
                      <w:lang w:val="zh-CN"/>
                    </w:rPr>
                  </w:pPr>
                  <w:r>
                    <w:rPr>
                      <w:rStyle w:val="89"/>
                      <w:szCs w:val="21"/>
                      <w:lang w:val="zh-CN"/>
                    </w:rPr>
                    <w:t>1</w:t>
                  </w:r>
                </w:p>
              </w:tc>
              <w:tc>
                <w:tcPr>
                  <w:tcW w:w="3457" w:type="dxa"/>
                  <w:tcBorders>
                    <w:tl2br w:val="nil"/>
                    <w:tr2bl w:val="nil"/>
                  </w:tcBorders>
                  <w:vAlign w:val="center"/>
                </w:tcPr>
                <w:p w14:paraId="68A12F2F">
                  <w:pPr>
                    <w:pStyle w:val="31"/>
                    <w:rPr>
                      <w:rStyle w:val="89"/>
                      <w:szCs w:val="21"/>
                    </w:rPr>
                  </w:pPr>
                  <w:r>
                    <w:rPr>
                      <w:rStyle w:val="89"/>
                      <w:rFonts w:hint="eastAsia"/>
                      <w:szCs w:val="21"/>
                    </w:rPr>
                    <w:t>额定蒸汽量</w:t>
                  </w:r>
                </w:p>
              </w:tc>
              <w:tc>
                <w:tcPr>
                  <w:tcW w:w="3195" w:type="dxa"/>
                  <w:tcBorders>
                    <w:tl2br w:val="nil"/>
                    <w:tr2bl w:val="nil"/>
                  </w:tcBorders>
                  <w:vAlign w:val="center"/>
                </w:tcPr>
                <w:p w14:paraId="0A9C1105">
                  <w:pPr>
                    <w:pStyle w:val="31"/>
                    <w:rPr>
                      <w:rStyle w:val="89"/>
                      <w:szCs w:val="21"/>
                    </w:rPr>
                  </w:pPr>
                  <w:r>
                    <w:rPr>
                      <w:rStyle w:val="89"/>
                      <w:rFonts w:hint="eastAsia"/>
                      <w:szCs w:val="21"/>
                    </w:rPr>
                    <w:t>35t/h</w:t>
                  </w:r>
                </w:p>
              </w:tc>
            </w:tr>
            <w:tr w14:paraId="62ADDE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265" w:type="dxa"/>
                  <w:tcBorders>
                    <w:tl2br w:val="nil"/>
                    <w:tr2bl w:val="nil"/>
                  </w:tcBorders>
                  <w:vAlign w:val="center"/>
                </w:tcPr>
                <w:p w14:paraId="280C86F9">
                  <w:pPr>
                    <w:pStyle w:val="31"/>
                    <w:rPr>
                      <w:rStyle w:val="89"/>
                      <w:szCs w:val="21"/>
                    </w:rPr>
                  </w:pPr>
                  <w:r>
                    <w:rPr>
                      <w:rStyle w:val="89"/>
                      <w:szCs w:val="21"/>
                    </w:rPr>
                    <w:t>2</w:t>
                  </w:r>
                </w:p>
              </w:tc>
              <w:tc>
                <w:tcPr>
                  <w:tcW w:w="3457" w:type="dxa"/>
                  <w:tcBorders>
                    <w:tl2br w:val="nil"/>
                    <w:tr2bl w:val="nil"/>
                  </w:tcBorders>
                  <w:vAlign w:val="center"/>
                </w:tcPr>
                <w:p w14:paraId="03A2D71A">
                  <w:pPr>
                    <w:pStyle w:val="31"/>
                    <w:rPr>
                      <w:rStyle w:val="89"/>
                      <w:szCs w:val="21"/>
                      <w:lang w:val="zh-CN"/>
                    </w:rPr>
                  </w:pPr>
                  <w:r>
                    <w:rPr>
                      <w:rStyle w:val="89"/>
                      <w:rFonts w:hint="eastAsia"/>
                      <w:szCs w:val="21"/>
                      <w:lang w:val="zh-CN"/>
                    </w:rPr>
                    <w:t>额定工作压力</w:t>
                  </w:r>
                </w:p>
              </w:tc>
              <w:tc>
                <w:tcPr>
                  <w:tcW w:w="3195" w:type="dxa"/>
                  <w:tcBorders>
                    <w:tl2br w:val="nil"/>
                    <w:tr2bl w:val="nil"/>
                  </w:tcBorders>
                  <w:vAlign w:val="center"/>
                </w:tcPr>
                <w:p w14:paraId="1922AF5A">
                  <w:pPr>
                    <w:pStyle w:val="31"/>
                    <w:rPr>
                      <w:rStyle w:val="89"/>
                      <w:szCs w:val="21"/>
                    </w:rPr>
                  </w:pPr>
                  <w:r>
                    <w:rPr>
                      <w:rStyle w:val="89"/>
                      <w:rFonts w:hint="eastAsia"/>
                      <w:szCs w:val="21"/>
                    </w:rPr>
                    <w:t>2.45Mpa</w:t>
                  </w:r>
                </w:p>
              </w:tc>
            </w:tr>
            <w:tr w14:paraId="14A7E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1265" w:type="dxa"/>
                  <w:tcBorders>
                    <w:tl2br w:val="nil"/>
                    <w:tr2bl w:val="nil"/>
                  </w:tcBorders>
                  <w:vAlign w:val="center"/>
                </w:tcPr>
                <w:p w14:paraId="4335D1D7">
                  <w:pPr>
                    <w:pStyle w:val="31"/>
                    <w:rPr>
                      <w:rStyle w:val="89"/>
                      <w:szCs w:val="21"/>
                    </w:rPr>
                  </w:pPr>
                  <w:r>
                    <w:rPr>
                      <w:rStyle w:val="89"/>
                      <w:szCs w:val="21"/>
                    </w:rPr>
                    <w:t>3</w:t>
                  </w:r>
                </w:p>
              </w:tc>
              <w:tc>
                <w:tcPr>
                  <w:tcW w:w="3457" w:type="dxa"/>
                  <w:tcBorders>
                    <w:tl2br w:val="nil"/>
                    <w:tr2bl w:val="nil"/>
                  </w:tcBorders>
                  <w:vAlign w:val="center"/>
                </w:tcPr>
                <w:p w14:paraId="02C002D8">
                  <w:pPr>
                    <w:pStyle w:val="31"/>
                    <w:rPr>
                      <w:rStyle w:val="89"/>
                      <w:szCs w:val="21"/>
                      <w:lang w:val="zh-CN"/>
                    </w:rPr>
                  </w:pPr>
                  <w:r>
                    <w:rPr>
                      <w:rStyle w:val="89"/>
                      <w:rFonts w:hint="eastAsia"/>
                      <w:szCs w:val="21"/>
                      <w:lang w:val="zh-CN"/>
                    </w:rPr>
                    <w:t>给水温度</w:t>
                  </w:r>
                </w:p>
              </w:tc>
              <w:tc>
                <w:tcPr>
                  <w:tcW w:w="3195" w:type="dxa"/>
                  <w:tcBorders>
                    <w:tl2br w:val="nil"/>
                    <w:tr2bl w:val="nil"/>
                  </w:tcBorders>
                  <w:vAlign w:val="center"/>
                </w:tcPr>
                <w:p w14:paraId="1B39D4DD">
                  <w:pPr>
                    <w:pStyle w:val="31"/>
                    <w:rPr>
                      <w:rStyle w:val="89"/>
                      <w:szCs w:val="21"/>
                    </w:rPr>
                  </w:pPr>
                  <w:r>
                    <w:rPr>
                      <w:rStyle w:val="89"/>
                      <w:rFonts w:hint="eastAsia"/>
                      <w:szCs w:val="21"/>
                    </w:rPr>
                    <w:t>104℃</w:t>
                  </w:r>
                </w:p>
              </w:tc>
            </w:tr>
            <w:tr w14:paraId="302CC4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5" w:hRule="atLeast"/>
                <w:jc w:val="center"/>
              </w:trPr>
              <w:tc>
                <w:tcPr>
                  <w:tcW w:w="1265" w:type="dxa"/>
                  <w:tcBorders>
                    <w:tl2br w:val="nil"/>
                    <w:tr2bl w:val="nil"/>
                  </w:tcBorders>
                  <w:vAlign w:val="center"/>
                </w:tcPr>
                <w:p w14:paraId="0810A7E1">
                  <w:pPr>
                    <w:pStyle w:val="31"/>
                    <w:rPr>
                      <w:rStyle w:val="89"/>
                      <w:szCs w:val="21"/>
                    </w:rPr>
                  </w:pPr>
                  <w:r>
                    <w:rPr>
                      <w:rStyle w:val="89"/>
                      <w:rFonts w:hint="eastAsia"/>
                      <w:szCs w:val="21"/>
                    </w:rPr>
                    <w:t>4</w:t>
                  </w:r>
                </w:p>
              </w:tc>
              <w:tc>
                <w:tcPr>
                  <w:tcW w:w="3457" w:type="dxa"/>
                  <w:tcBorders>
                    <w:tl2br w:val="nil"/>
                    <w:tr2bl w:val="nil"/>
                  </w:tcBorders>
                  <w:vAlign w:val="center"/>
                </w:tcPr>
                <w:p w14:paraId="020507C2">
                  <w:pPr>
                    <w:pStyle w:val="31"/>
                    <w:rPr>
                      <w:rStyle w:val="89"/>
                      <w:szCs w:val="21"/>
                      <w:lang w:val="zh-CN"/>
                    </w:rPr>
                  </w:pPr>
                  <w:r>
                    <w:rPr>
                      <w:rStyle w:val="89"/>
                      <w:rFonts w:hint="eastAsia"/>
                      <w:szCs w:val="21"/>
                      <w:lang w:val="zh-CN"/>
                    </w:rPr>
                    <w:t>出口蒸汽温度</w:t>
                  </w:r>
                </w:p>
              </w:tc>
              <w:tc>
                <w:tcPr>
                  <w:tcW w:w="3195" w:type="dxa"/>
                  <w:tcBorders>
                    <w:tl2br w:val="nil"/>
                    <w:tr2bl w:val="nil"/>
                  </w:tcBorders>
                  <w:vAlign w:val="center"/>
                </w:tcPr>
                <w:p w14:paraId="1607469D">
                  <w:pPr>
                    <w:pStyle w:val="31"/>
                    <w:rPr>
                      <w:rStyle w:val="89"/>
                      <w:szCs w:val="21"/>
                    </w:rPr>
                  </w:pPr>
                  <w:r>
                    <w:rPr>
                      <w:rStyle w:val="89"/>
                      <w:rFonts w:hint="eastAsia"/>
                      <w:szCs w:val="21"/>
                    </w:rPr>
                    <w:t>260℃</w:t>
                  </w:r>
                </w:p>
              </w:tc>
            </w:tr>
            <w:tr w14:paraId="08D13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1265" w:type="dxa"/>
                  <w:tcBorders>
                    <w:tl2br w:val="nil"/>
                    <w:tr2bl w:val="nil"/>
                  </w:tcBorders>
                  <w:vAlign w:val="center"/>
                </w:tcPr>
                <w:p w14:paraId="406E428B">
                  <w:pPr>
                    <w:pStyle w:val="31"/>
                    <w:rPr>
                      <w:rStyle w:val="89"/>
                      <w:szCs w:val="21"/>
                    </w:rPr>
                  </w:pPr>
                  <w:r>
                    <w:rPr>
                      <w:rStyle w:val="89"/>
                      <w:szCs w:val="21"/>
                    </w:rPr>
                    <w:t>5</w:t>
                  </w:r>
                </w:p>
              </w:tc>
              <w:tc>
                <w:tcPr>
                  <w:tcW w:w="3457" w:type="dxa"/>
                  <w:tcBorders>
                    <w:tl2br w:val="nil"/>
                    <w:tr2bl w:val="nil"/>
                  </w:tcBorders>
                  <w:vAlign w:val="center"/>
                </w:tcPr>
                <w:p w14:paraId="60FBACAE">
                  <w:pPr>
                    <w:pStyle w:val="31"/>
                    <w:rPr>
                      <w:rStyle w:val="89"/>
                      <w:szCs w:val="21"/>
                      <w:lang w:val="zh-CN"/>
                    </w:rPr>
                  </w:pPr>
                  <w:r>
                    <w:rPr>
                      <w:rStyle w:val="89"/>
                      <w:rFonts w:hint="eastAsia"/>
                      <w:szCs w:val="21"/>
                      <w:lang w:val="zh-CN"/>
                    </w:rPr>
                    <w:t>水压试验</w:t>
                  </w:r>
                </w:p>
              </w:tc>
              <w:tc>
                <w:tcPr>
                  <w:tcW w:w="3195" w:type="dxa"/>
                  <w:tcBorders>
                    <w:tl2br w:val="nil"/>
                    <w:tr2bl w:val="nil"/>
                  </w:tcBorders>
                  <w:vAlign w:val="center"/>
                </w:tcPr>
                <w:p w14:paraId="321C756A">
                  <w:pPr>
                    <w:pStyle w:val="31"/>
                    <w:rPr>
                      <w:rStyle w:val="89"/>
                      <w:szCs w:val="21"/>
                    </w:rPr>
                  </w:pPr>
                  <w:r>
                    <w:rPr>
                      <w:rStyle w:val="89"/>
                      <w:rFonts w:hint="eastAsia"/>
                      <w:szCs w:val="21"/>
                    </w:rPr>
                    <w:t>2.45a</w:t>
                  </w:r>
                </w:p>
              </w:tc>
            </w:tr>
            <w:tr w14:paraId="7C8DE1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0" w:hRule="atLeast"/>
                <w:jc w:val="center"/>
              </w:trPr>
              <w:tc>
                <w:tcPr>
                  <w:tcW w:w="1265" w:type="dxa"/>
                  <w:tcBorders>
                    <w:tl2br w:val="nil"/>
                    <w:tr2bl w:val="nil"/>
                  </w:tcBorders>
                  <w:vAlign w:val="center"/>
                </w:tcPr>
                <w:p w14:paraId="5CC6E10A">
                  <w:pPr>
                    <w:pStyle w:val="31"/>
                    <w:rPr>
                      <w:rStyle w:val="89"/>
                      <w:szCs w:val="21"/>
                    </w:rPr>
                  </w:pPr>
                  <w:r>
                    <w:rPr>
                      <w:rStyle w:val="89"/>
                      <w:rFonts w:hint="eastAsia"/>
                      <w:szCs w:val="21"/>
                    </w:rPr>
                    <w:t>6</w:t>
                  </w:r>
                </w:p>
              </w:tc>
              <w:tc>
                <w:tcPr>
                  <w:tcW w:w="3457" w:type="dxa"/>
                  <w:tcBorders>
                    <w:tl2br w:val="nil"/>
                    <w:tr2bl w:val="nil"/>
                  </w:tcBorders>
                  <w:vAlign w:val="center"/>
                </w:tcPr>
                <w:p w14:paraId="54B4224F">
                  <w:pPr>
                    <w:pStyle w:val="31"/>
                    <w:rPr>
                      <w:rStyle w:val="89"/>
                      <w:szCs w:val="21"/>
                      <w:lang w:val="zh-CN"/>
                    </w:rPr>
                  </w:pPr>
                  <w:r>
                    <w:rPr>
                      <w:rStyle w:val="89"/>
                      <w:rFonts w:hint="eastAsia"/>
                      <w:szCs w:val="21"/>
                      <w:lang w:val="zh-CN"/>
                    </w:rPr>
                    <w:t>锅炉水容量</w:t>
                  </w:r>
                </w:p>
              </w:tc>
              <w:tc>
                <w:tcPr>
                  <w:tcW w:w="3195" w:type="dxa"/>
                  <w:tcBorders>
                    <w:tl2br w:val="nil"/>
                    <w:tr2bl w:val="nil"/>
                  </w:tcBorders>
                  <w:vAlign w:val="center"/>
                </w:tcPr>
                <w:p w14:paraId="1D951D33">
                  <w:pPr>
                    <w:pStyle w:val="31"/>
                    <w:rPr>
                      <w:rStyle w:val="89"/>
                      <w:szCs w:val="21"/>
                    </w:rPr>
                  </w:pPr>
                  <w:r>
                    <w:rPr>
                      <w:rStyle w:val="89"/>
                      <w:rFonts w:hint="eastAsia"/>
                      <w:szCs w:val="21"/>
                    </w:rPr>
                    <w:t>16t</w:t>
                  </w:r>
                </w:p>
              </w:tc>
            </w:tr>
            <w:tr w14:paraId="2FE3F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1265" w:type="dxa"/>
                  <w:tcBorders>
                    <w:tl2br w:val="nil"/>
                    <w:tr2bl w:val="nil"/>
                  </w:tcBorders>
                  <w:vAlign w:val="center"/>
                </w:tcPr>
                <w:p w14:paraId="6A14B400">
                  <w:pPr>
                    <w:pStyle w:val="31"/>
                    <w:rPr>
                      <w:rStyle w:val="89"/>
                      <w:szCs w:val="21"/>
                    </w:rPr>
                  </w:pPr>
                  <w:r>
                    <w:rPr>
                      <w:rStyle w:val="89"/>
                      <w:rFonts w:hint="eastAsia"/>
                      <w:szCs w:val="21"/>
                    </w:rPr>
                    <w:t>7</w:t>
                  </w:r>
                </w:p>
              </w:tc>
              <w:tc>
                <w:tcPr>
                  <w:tcW w:w="3457" w:type="dxa"/>
                  <w:tcBorders>
                    <w:tl2br w:val="nil"/>
                    <w:tr2bl w:val="nil"/>
                  </w:tcBorders>
                  <w:vAlign w:val="center"/>
                </w:tcPr>
                <w:p w14:paraId="374A42EF">
                  <w:pPr>
                    <w:pStyle w:val="31"/>
                    <w:rPr>
                      <w:rStyle w:val="89"/>
                      <w:szCs w:val="21"/>
                      <w:lang w:val="zh-CN"/>
                    </w:rPr>
                  </w:pPr>
                  <w:r>
                    <w:rPr>
                      <w:rStyle w:val="89"/>
                      <w:rFonts w:hint="eastAsia"/>
                      <w:szCs w:val="21"/>
                      <w:lang w:val="zh-CN"/>
                    </w:rPr>
                    <w:t>满负荷烟尘初始排放浓度</w:t>
                  </w:r>
                </w:p>
              </w:tc>
              <w:tc>
                <w:tcPr>
                  <w:tcW w:w="3195" w:type="dxa"/>
                  <w:tcBorders>
                    <w:tl2br w:val="nil"/>
                    <w:tr2bl w:val="nil"/>
                  </w:tcBorders>
                  <w:vAlign w:val="center"/>
                </w:tcPr>
                <w:p w14:paraId="36F6A9FC">
                  <w:pPr>
                    <w:pStyle w:val="31"/>
                    <w:rPr>
                      <w:rStyle w:val="89"/>
                      <w:szCs w:val="21"/>
                    </w:rPr>
                  </w:pPr>
                  <w:r>
                    <w:rPr>
                      <w:rStyle w:val="89"/>
                      <w:rFonts w:hint="eastAsia"/>
                      <w:szCs w:val="21"/>
                    </w:rPr>
                    <w:t>50mg-100mg</w:t>
                  </w:r>
                </w:p>
              </w:tc>
            </w:tr>
            <w:tr w14:paraId="0A87CC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1265" w:type="dxa"/>
                  <w:tcBorders>
                    <w:tl2br w:val="nil"/>
                    <w:tr2bl w:val="nil"/>
                  </w:tcBorders>
                  <w:vAlign w:val="center"/>
                </w:tcPr>
                <w:p w14:paraId="576AB696">
                  <w:pPr>
                    <w:pStyle w:val="31"/>
                    <w:rPr>
                      <w:rStyle w:val="89"/>
                      <w:szCs w:val="21"/>
                    </w:rPr>
                  </w:pPr>
                  <w:r>
                    <w:rPr>
                      <w:rStyle w:val="89"/>
                      <w:rFonts w:hint="eastAsia"/>
                      <w:szCs w:val="21"/>
                    </w:rPr>
                    <w:t>8</w:t>
                  </w:r>
                </w:p>
              </w:tc>
              <w:tc>
                <w:tcPr>
                  <w:tcW w:w="3457" w:type="dxa"/>
                  <w:tcBorders>
                    <w:tl2br w:val="nil"/>
                    <w:tr2bl w:val="nil"/>
                  </w:tcBorders>
                  <w:vAlign w:val="center"/>
                </w:tcPr>
                <w:p w14:paraId="33EB8151">
                  <w:pPr>
                    <w:pStyle w:val="31"/>
                    <w:rPr>
                      <w:rStyle w:val="89"/>
                      <w:szCs w:val="21"/>
                      <w:lang w:val="zh-CN"/>
                    </w:rPr>
                  </w:pPr>
                  <w:r>
                    <w:rPr>
                      <w:rStyle w:val="89"/>
                      <w:rFonts w:hint="eastAsia"/>
                      <w:szCs w:val="21"/>
                      <w:lang w:val="zh-CN"/>
                    </w:rPr>
                    <w:t>设计氮氧化物初始排放浓度</w:t>
                  </w:r>
                </w:p>
              </w:tc>
              <w:tc>
                <w:tcPr>
                  <w:tcW w:w="3195" w:type="dxa"/>
                  <w:tcBorders>
                    <w:tl2br w:val="nil"/>
                    <w:tr2bl w:val="nil"/>
                  </w:tcBorders>
                  <w:vAlign w:val="center"/>
                </w:tcPr>
                <w:p w14:paraId="6CCCDEAF">
                  <w:pPr>
                    <w:pStyle w:val="31"/>
                    <w:rPr>
                      <w:rStyle w:val="89"/>
                      <w:szCs w:val="21"/>
                    </w:rPr>
                  </w:pPr>
                  <w:r>
                    <w:rPr>
                      <w:rStyle w:val="89"/>
                      <w:szCs w:val="21"/>
                    </w:rPr>
                    <w:t>3</w:t>
                  </w:r>
                  <w:r>
                    <w:rPr>
                      <w:rStyle w:val="89"/>
                    </w:rPr>
                    <w:t>00mg/m</w:t>
                  </w:r>
                  <w:r>
                    <w:rPr>
                      <w:rStyle w:val="89"/>
                      <w:vertAlign w:val="superscript"/>
                    </w:rPr>
                    <w:t>3</w:t>
                  </w:r>
                </w:p>
              </w:tc>
            </w:tr>
            <w:tr w14:paraId="5861B1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1265" w:type="dxa"/>
                  <w:tcBorders>
                    <w:tl2br w:val="nil"/>
                    <w:tr2bl w:val="nil"/>
                  </w:tcBorders>
                  <w:vAlign w:val="center"/>
                </w:tcPr>
                <w:p w14:paraId="16C687E4">
                  <w:pPr>
                    <w:pStyle w:val="31"/>
                    <w:rPr>
                      <w:rStyle w:val="89"/>
                      <w:szCs w:val="21"/>
                    </w:rPr>
                  </w:pPr>
                  <w:r>
                    <w:rPr>
                      <w:rStyle w:val="89"/>
                      <w:rFonts w:hint="eastAsia"/>
                      <w:szCs w:val="21"/>
                    </w:rPr>
                    <w:t>9</w:t>
                  </w:r>
                </w:p>
              </w:tc>
              <w:tc>
                <w:tcPr>
                  <w:tcW w:w="3457" w:type="dxa"/>
                  <w:tcBorders>
                    <w:tl2br w:val="nil"/>
                    <w:tr2bl w:val="nil"/>
                  </w:tcBorders>
                </w:tcPr>
                <w:p w14:paraId="5957FAC3">
                  <w:pPr>
                    <w:pStyle w:val="31"/>
                    <w:rPr>
                      <w:rStyle w:val="89"/>
                      <w:szCs w:val="21"/>
                      <w:lang w:val="zh-CN"/>
                    </w:rPr>
                  </w:pPr>
                  <w:r>
                    <w:rPr>
                      <w:rStyle w:val="89"/>
                      <w:rFonts w:hint="eastAsia"/>
                      <w:szCs w:val="21"/>
                      <w:lang w:val="zh-CN"/>
                    </w:rPr>
                    <w:t>设计颗粒物初始排放浓度</w:t>
                  </w:r>
                </w:p>
              </w:tc>
              <w:tc>
                <w:tcPr>
                  <w:tcW w:w="3195" w:type="dxa"/>
                  <w:tcBorders>
                    <w:tl2br w:val="nil"/>
                    <w:tr2bl w:val="nil"/>
                  </w:tcBorders>
                  <w:vAlign w:val="center"/>
                </w:tcPr>
                <w:p w14:paraId="1F3BE8E1">
                  <w:pPr>
                    <w:pStyle w:val="31"/>
                    <w:rPr>
                      <w:rStyle w:val="89"/>
                      <w:szCs w:val="21"/>
                    </w:rPr>
                  </w:pPr>
                  <w:r>
                    <w:rPr>
                      <w:rStyle w:val="89"/>
                      <w:szCs w:val="21"/>
                    </w:rPr>
                    <w:t>5</w:t>
                  </w:r>
                  <w:r>
                    <w:rPr>
                      <w:rStyle w:val="89"/>
                    </w:rPr>
                    <w:t>0mg/m</w:t>
                  </w:r>
                  <w:r>
                    <w:rPr>
                      <w:rStyle w:val="89"/>
                      <w:vertAlign w:val="superscript"/>
                    </w:rPr>
                    <w:t>3</w:t>
                  </w:r>
                </w:p>
              </w:tc>
            </w:tr>
            <w:tr w14:paraId="36611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1265" w:type="dxa"/>
                  <w:tcBorders>
                    <w:tl2br w:val="nil"/>
                    <w:tr2bl w:val="nil"/>
                  </w:tcBorders>
                  <w:vAlign w:val="center"/>
                </w:tcPr>
                <w:p w14:paraId="36E8B95E">
                  <w:pPr>
                    <w:pStyle w:val="31"/>
                    <w:rPr>
                      <w:rStyle w:val="89"/>
                      <w:szCs w:val="21"/>
                    </w:rPr>
                  </w:pPr>
                  <w:r>
                    <w:rPr>
                      <w:rStyle w:val="89"/>
                      <w:rFonts w:hint="eastAsia"/>
                      <w:szCs w:val="21"/>
                    </w:rPr>
                    <w:t>10</w:t>
                  </w:r>
                </w:p>
              </w:tc>
              <w:tc>
                <w:tcPr>
                  <w:tcW w:w="3457" w:type="dxa"/>
                  <w:tcBorders>
                    <w:tl2br w:val="nil"/>
                    <w:tr2bl w:val="nil"/>
                  </w:tcBorders>
                </w:tcPr>
                <w:p w14:paraId="191C2E5B">
                  <w:pPr>
                    <w:pStyle w:val="31"/>
                    <w:rPr>
                      <w:rStyle w:val="89"/>
                      <w:szCs w:val="21"/>
                      <w:lang w:val="zh-CN"/>
                    </w:rPr>
                  </w:pPr>
                  <w:r>
                    <w:rPr>
                      <w:rStyle w:val="89"/>
                      <w:rFonts w:hint="eastAsia"/>
                      <w:szCs w:val="21"/>
                      <w:lang w:val="zh-CN"/>
                    </w:rPr>
                    <w:t>设计二氧化硫初始排放浓度</w:t>
                  </w:r>
                </w:p>
              </w:tc>
              <w:tc>
                <w:tcPr>
                  <w:tcW w:w="3195" w:type="dxa"/>
                  <w:tcBorders>
                    <w:tl2br w:val="nil"/>
                    <w:tr2bl w:val="nil"/>
                  </w:tcBorders>
                  <w:vAlign w:val="center"/>
                </w:tcPr>
                <w:p w14:paraId="692B1F6A">
                  <w:pPr>
                    <w:pStyle w:val="31"/>
                    <w:rPr>
                      <w:rStyle w:val="89"/>
                      <w:szCs w:val="21"/>
                    </w:rPr>
                  </w:pPr>
                  <w:r>
                    <w:rPr>
                      <w:rStyle w:val="89"/>
                    </w:rPr>
                    <w:t>20mg/m</w:t>
                  </w:r>
                  <w:r>
                    <w:rPr>
                      <w:rStyle w:val="89"/>
                      <w:vertAlign w:val="superscript"/>
                    </w:rPr>
                    <w:t>3</w:t>
                  </w:r>
                </w:p>
              </w:tc>
            </w:tr>
            <w:tr w14:paraId="6A330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0" w:hRule="atLeast"/>
                <w:jc w:val="center"/>
              </w:trPr>
              <w:tc>
                <w:tcPr>
                  <w:tcW w:w="1265" w:type="dxa"/>
                  <w:tcBorders>
                    <w:tl2br w:val="nil"/>
                    <w:tr2bl w:val="nil"/>
                  </w:tcBorders>
                  <w:vAlign w:val="center"/>
                </w:tcPr>
                <w:p w14:paraId="4569C5E3">
                  <w:pPr>
                    <w:pStyle w:val="31"/>
                    <w:rPr>
                      <w:rStyle w:val="89"/>
                      <w:szCs w:val="21"/>
                    </w:rPr>
                  </w:pPr>
                  <w:r>
                    <w:rPr>
                      <w:rStyle w:val="89"/>
                      <w:rFonts w:hint="eastAsia"/>
                      <w:szCs w:val="21"/>
                    </w:rPr>
                    <w:t>1</w:t>
                  </w:r>
                  <w:r>
                    <w:rPr>
                      <w:rStyle w:val="89"/>
                      <w:rFonts w:hint="eastAsia"/>
                    </w:rPr>
                    <w:t>1</w:t>
                  </w:r>
                </w:p>
              </w:tc>
              <w:tc>
                <w:tcPr>
                  <w:tcW w:w="3457" w:type="dxa"/>
                  <w:tcBorders>
                    <w:tl2br w:val="nil"/>
                    <w:tr2bl w:val="nil"/>
                  </w:tcBorders>
                  <w:vAlign w:val="center"/>
                </w:tcPr>
                <w:p w14:paraId="05D97560">
                  <w:pPr>
                    <w:pStyle w:val="31"/>
                    <w:rPr>
                      <w:rStyle w:val="89"/>
                      <w:szCs w:val="21"/>
                      <w:lang w:val="zh-CN"/>
                    </w:rPr>
                  </w:pPr>
                  <w:r>
                    <w:rPr>
                      <w:rStyle w:val="89"/>
                      <w:rFonts w:hint="eastAsia"/>
                      <w:szCs w:val="21"/>
                      <w:lang w:val="zh-CN"/>
                    </w:rPr>
                    <w:t>烟气黑度</w:t>
                  </w:r>
                </w:p>
              </w:tc>
              <w:tc>
                <w:tcPr>
                  <w:tcW w:w="3195" w:type="dxa"/>
                  <w:tcBorders>
                    <w:tl2br w:val="nil"/>
                    <w:tr2bl w:val="nil"/>
                  </w:tcBorders>
                  <w:vAlign w:val="center"/>
                </w:tcPr>
                <w:p w14:paraId="0278AA89">
                  <w:pPr>
                    <w:pStyle w:val="31"/>
                    <w:rPr>
                      <w:rStyle w:val="89"/>
                      <w:szCs w:val="21"/>
                    </w:rPr>
                  </w:pPr>
                  <w:r>
                    <w:rPr>
                      <w:rStyle w:val="89"/>
                      <w:rFonts w:hint="eastAsia"/>
                      <w:szCs w:val="21"/>
                    </w:rPr>
                    <w:t>0.101</w:t>
                  </w:r>
                </w:p>
              </w:tc>
            </w:tr>
            <w:tr w14:paraId="14060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1265" w:type="dxa"/>
                  <w:tcBorders>
                    <w:tl2br w:val="nil"/>
                    <w:tr2bl w:val="nil"/>
                  </w:tcBorders>
                  <w:vAlign w:val="center"/>
                </w:tcPr>
                <w:p w14:paraId="42D0B88D">
                  <w:pPr>
                    <w:pStyle w:val="31"/>
                    <w:rPr>
                      <w:rStyle w:val="89"/>
                      <w:szCs w:val="21"/>
                    </w:rPr>
                  </w:pPr>
                  <w:r>
                    <w:rPr>
                      <w:rStyle w:val="89"/>
                      <w:rFonts w:hint="eastAsia"/>
                      <w:szCs w:val="21"/>
                    </w:rPr>
                    <w:t>1</w:t>
                  </w:r>
                  <w:r>
                    <w:rPr>
                      <w:rStyle w:val="89"/>
                      <w:rFonts w:hint="eastAsia"/>
                    </w:rPr>
                    <w:t>2</w:t>
                  </w:r>
                </w:p>
              </w:tc>
              <w:tc>
                <w:tcPr>
                  <w:tcW w:w="3457" w:type="dxa"/>
                  <w:tcBorders>
                    <w:tl2br w:val="nil"/>
                    <w:tr2bl w:val="nil"/>
                  </w:tcBorders>
                  <w:vAlign w:val="center"/>
                </w:tcPr>
                <w:p w14:paraId="5C44CB45">
                  <w:pPr>
                    <w:pStyle w:val="31"/>
                    <w:rPr>
                      <w:rStyle w:val="89"/>
                      <w:szCs w:val="21"/>
                      <w:lang w:val="zh-CN"/>
                    </w:rPr>
                  </w:pPr>
                  <w:r>
                    <w:rPr>
                      <w:rStyle w:val="89"/>
                      <w:rFonts w:hint="eastAsia"/>
                      <w:szCs w:val="21"/>
                      <w:lang w:val="zh-CN"/>
                    </w:rPr>
                    <w:t>设计燃料</w:t>
                  </w:r>
                </w:p>
              </w:tc>
              <w:tc>
                <w:tcPr>
                  <w:tcW w:w="3195" w:type="dxa"/>
                  <w:tcBorders>
                    <w:tl2br w:val="nil"/>
                    <w:tr2bl w:val="nil"/>
                  </w:tcBorders>
                  <w:vAlign w:val="center"/>
                </w:tcPr>
                <w:p w14:paraId="5636EBEF">
                  <w:pPr>
                    <w:pStyle w:val="31"/>
                    <w:rPr>
                      <w:rStyle w:val="89"/>
                      <w:szCs w:val="21"/>
                    </w:rPr>
                  </w:pPr>
                  <w:r>
                    <w:rPr>
                      <w:rStyle w:val="89"/>
                      <w:rFonts w:hint="eastAsia"/>
                      <w:szCs w:val="21"/>
                    </w:rPr>
                    <w:t>生物质气化气</w:t>
                  </w:r>
                </w:p>
              </w:tc>
            </w:tr>
            <w:tr w14:paraId="00EA94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5" w:hRule="atLeast"/>
                <w:jc w:val="center"/>
              </w:trPr>
              <w:tc>
                <w:tcPr>
                  <w:tcW w:w="1265" w:type="dxa"/>
                  <w:tcBorders>
                    <w:tl2br w:val="nil"/>
                    <w:tr2bl w:val="nil"/>
                  </w:tcBorders>
                  <w:vAlign w:val="center"/>
                </w:tcPr>
                <w:p w14:paraId="479945D3">
                  <w:pPr>
                    <w:pStyle w:val="31"/>
                    <w:rPr>
                      <w:rStyle w:val="89"/>
                      <w:szCs w:val="21"/>
                    </w:rPr>
                  </w:pPr>
                  <w:r>
                    <w:rPr>
                      <w:rStyle w:val="89"/>
                      <w:rFonts w:hint="eastAsia"/>
                      <w:szCs w:val="21"/>
                    </w:rPr>
                    <w:t>1</w:t>
                  </w:r>
                  <w:r>
                    <w:rPr>
                      <w:rStyle w:val="89"/>
                      <w:rFonts w:hint="eastAsia"/>
                    </w:rPr>
                    <w:t>3</w:t>
                  </w:r>
                </w:p>
              </w:tc>
              <w:tc>
                <w:tcPr>
                  <w:tcW w:w="3457" w:type="dxa"/>
                  <w:tcBorders>
                    <w:tl2br w:val="nil"/>
                    <w:tr2bl w:val="nil"/>
                  </w:tcBorders>
                  <w:vAlign w:val="center"/>
                </w:tcPr>
                <w:p w14:paraId="5E189062">
                  <w:pPr>
                    <w:pStyle w:val="31"/>
                    <w:rPr>
                      <w:rStyle w:val="89"/>
                      <w:szCs w:val="21"/>
                      <w:lang w:val="zh-CN"/>
                    </w:rPr>
                  </w:pPr>
                  <w:r>
                    <w:rPr>
                      <w:rStyle w:val="89"/>
                      <w:rFonts w:hint="eastAsia"/>
                      <w:szCs w:val="21"/>
                      <w:lang w:val="zh-CN"/>
                    </w:rPr>
                    <w:t>燃料额定耗量</w:t>
                  </w:r>
                </w:p>
              </w:tc>
              <w:tc>
                <w:tcPr>
                  <w:tcW w:w="3195" w:type="dxa"/>
                  <w:tcBorders>
                    <w:tl2br w:val="nil"/>
                    <w:tr2bl w:val="nil"/>
                  </w:tcBorders>
                  <w:vAlign w:val="center"/>
                </w:tcPr>
                <w:p w14:paraId="6F67EC8B">
                  <w:pPr>
                    <w:pStyle w:val="31"/>
                    <w:rPr>
                      <w:rStyle w:val="89"/>
                      <w:szCs w:val="21"/>
                    </w:rPr>
                  </w:pPr>
                  <w:r>
                    <w:rPr>
                      <w:rStyle w:val="89"/>
                      <w:rFonts w:hint="eastAsia"/>
                      <w:szCs w:val="21"/>
                    </w:rPr>
                    <w:t>7500m</w:t>
                  </w:r>
                  <w:r>
                    <w:rPr>
                      <w:rStyle w:val="89"/>
                      <w:rFonts w:hint="eastAsia"/>
                      <w:szCs w:val="21"/>
                      <w:vertAlign w:val="superscript"/>
                    </w:rPr>
                    <w:t>3</w:t>
                  </w:r>
                  <w:r>
                    <w:rPr>
                      <w:rStyle w:val="89"/>
                      <w:rFonts w:hint="eastAsia"/>
                      <w:szCs w:val="21"/>
                    </w:rPr>
                    <w:t>/h</w:t>
                  </w:r>
                </w:p>
              </w:tc>
            </w:tr>
          </w:tbl>
          <w:p w14:paraId="42592DCA">
            <w:pPr>
              <w:pStyle w:val="29"/>
            </w:pPr>
            <w:r>
              <w:rPr>
                <w:rFonts w:hint="eastAsia"/>
              </w:rPr>
              <w:t>气化技术参数</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65"/>
              <w:gridCol w:w="3448"/>
              <w:gridCol w:w="3296"/>
            </w:tblGrid>
            <w:tr w14:paraId="79B99C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8" w:hRule="atLeast"/>
                <w:jc w:val="center"/>
              </w:trPr>
              <w:tc>
                <w:tcPr>
                  <w:tcW w:w="1333" w:type="dxa"/>
                  <w:tcBorders>
                    <w:tl2br w:val="nil"/>
                    <w:tr2bl w:val="nil"/>
                  </w:tcBorders>
                  <w:vAlign w:val="center"/>
                </w:tcPr>
                <w:p w14:paraId="723E8662">
                  <w:pPr>
                    <w:pStyle w:val="31"/>
                    <w:rPr>
                      <w:rStyle w:val="89"/>
                      <w:b/>
                      <w:bCs/>
                      <w:szCs w:val="21"/>
                      <w:lang w:val="zh-CN"/>
                    </w:rPr>
                  </w:pPr>
                  <w:r>
                    <w:rPr>
                      <w:rStyle w:val="89"/>
                      <w:b/>
                      <w:bCs/>
                      <w:szCs w:val="21"/>
                      <w:lang w:val="zh-CN"/>
                    </w:rPr>
                    <w:t>序号</w:t>
                  </w:r>
                </w:p>
              </w:tc>
              <w:tc>
                <w:tcPr>
                  <w:tcW w:w="3666" w:type="dxa"/>
                  <w:tcBorders>
                    <w:tl2br w:val="nil"/>
                    <w:tr2bl w:val="nil"/>
                  </w:tcBorders>
                  <w:vAlign w:val="center"/>
                </w:tcPr>
                <w:p w14:paraId="63B64766">
                  <w:pPr>
                    <w:pStyle w:val="31"/>
                    <w:rPr>
                      <w:rStyle w:val="89"/>
                      <w:b/>
                      <w:bCs/>
                      <w:szCs w:val="21"/>
                      <w:lang w:val="zh-CN"/>
                    </w:rPr>
                  </w:pPr>
                  <w:r>
                    <w:rPr>
                      <w:rStyle w:val="89"/>
                      <w:rFonts w:hint="eastAsia"/>
                      <w:b/>
                      <w:bCs/>
                      <w:szCs w:val="21"/>
                    </w:rPr>
                    <w:t>气化炉</w:t>
                  </w:r>
                  <w:r>
                    <w:rPr>
                      <w:rStyle w:val="89"/>
                      <w:rFonts w:hint="eastAsia"/>
                      <w:b/>
                      <w:bCs/>
                      <w:szCs w:val="21"/>
                      <w:lang w:val="zh-CN"/>
                    </w:rPr>
                    <w:t>型号</w:t>
                  </w:r>
                </w:p>
              </w:tc>
              <w:tc>
                <w:tcPr>
                  <w:tcW w:w="3390" w:type="dxa"/>
                  <w:tcBorders>
                    <w:tl2br w:val="nil"/>
                    <w:tr2bl w:val="nil"/>
                  </w:tcBorders>
                  <w:vAlign w:val="center"/>
                </w:tcPr>
                <w:p w14:paraId="62DE002D">
                  <w:pPr>
                    <w:pStyle w:val="31"/>
                    <w:rPr>
                      <w:rStyle w:val="89"/>
                      <w:b/>
                      <w:bCs/>
                      <w:szCs w:val="21"/>
                      <w:lang w:val="zh-CN"/>
                    </w:rPr>
                  </w:pPr>
                  <w:r>
                    <w:rPr>
                      <w:rStyle w:val="89"/>
                      <w:b/>
                      <w:bCs/>
                      <w:szCs w:val="21"/>
                    </w:rPr>
                    <w:t>LX1Q6250-BPF-</w:t>
                  </w:r>
                  <w:r>
                    <w:rPr>
                      <w:rStyle w:val="89"/>
                      <w:rFonts w:hint="eastAsia"/>
                      <w:b/>
                      <w:bCs/>
                      <w:szCs w:val="21"/>
                    </w:rPr>
                    <w:t>3</w:t>
                  </w:r>
                  <w:r>
                    <w:rPr>
                      <w:rStyle w:val="89"/>
                      <w:b/>
                      <w:bCs/>
                      <w:szCs w:val="21"/>
                    </w:rPr>
                    <w:t>5T</w:t>
                  </w:r>
                </w:p>
              </w:tc>
            </w:tr>
            <w:tr w14:paraId="25E98D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0" w:hRule="atLeast"/>
                <w:jc w:val="center"/>
              </w:trPr>
              <w:tc>
                <w:tcPr>
                  <w:tcW w:w="1333" w:type="dxa"/>
                  <w:tcBorders>
                    <w:tl2br w:val="nil"/>
                    <w:tr2bl w:val="nil"/>
                  </w:tcBorders>
                  <w:vAlign w:val="center"/>
                </w:tcPr>
                <w:p w14:paraId="60AE53FF">
                  <w:pPr>
                    <w:pStyle w:val="31"/>
                    <w:rPr>
                      <w:rStyle w:val="89"/>
                      <w:szCs w:val="21"/>
                      <w:lang w:val="zh-CN"/>
                    </w:rPr>
                  </w:pPr>
                  <w:r>
                    <w:rPr>
                      <w:rStyle w:val="89"/>
                      <w:szCs w:val="21"/>
                      <w:lang w:val="zh-CN"/>
                    </w:rPr>
                    <w:t>1</w:t>
                  </w:r>
                </w:p>
              </w:tc>
              <w:tc>
                <w:tcPr>
                  <w:tcW w:w="3666" w:type="dxa"/>
                  <w:tcBorders>
                    <w:tl2br w:val="nil"/>
                    <w:tr2bl w:val="nil"/>
                  </w:tcBorders>
                  <w:vAlign w:val="center"/>
                </w:tcPr>
                <w:p w14:paraId="1AD93AA0">
                  <w:pPr>
                    <w:pStyle w:val="31"/>
                    <w:rPr>
                      <w:rStyle w:val="89"/>
                      <w:szCs w:val="21"/>
                    </w:rPr>
                  </w:pPr>
                  <w:r>
                    <w:rPr>
                      <w:rStyle w:val="89"/>
                      <w:rFonts w:hint="eastAsia"/>
                      <w:szCs w:val="21"/>
                    </w:rPr>
                    <w:t>生物质燃料消耗量</w:t>
                  </w:r>
                </w:p>
              </w:tc>
              <w:tc>
                <w:tcPr>
                  <w:tcW w:w="3390" w:type="dxa"/>
                  <w:tcBorders>
                    <w:tl2br w:val="nil"/>
                    <w:tr2bl w:val="nil"/>
                  </w:tcBorders>
                  <w:vAlign w:val="center"/>
                </w:tcPr>
                <w:p w14:paraId="1AAACF90">
                  <w:pPr>
                    <w:pStyle w:val="31"/>
                    <w:rPr>
                      <w:rStyle w:val="89"/>
                      <w:szCs w:val="21"/>
                    </w:rPr>
                  </w:pPr>
                  <w:r>
                    <w:rPr>
                      <w:rStyle w:val="89"/>
                      <w:rFonts w:hint="eastAsia"/>
                      <w:szCs w:val="21"/>
                    </w:rPr>
                    <w:t>6250kg/h</w:t>
                  </w:r>
                </w:p>
              </w:tc>
            </w:tr>
            <w:tr w14:paraId="03E61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jc w:val="center"/>
              </w:trPr>
              <w:tc>
                <w:tcPr>
                  <w:tcW w:w="1333" w:type="dxa"/>
                  <w:tcBorders>
                    <w:tl2br w:val="nil"/>
                    <w:tr2bl w:val="nil"/>
                  </w:tcBorders>
                  <w:vAlign w:val="center"/>
                </w:tcPr>
                <w:p w14:paraId="0BD5C981">
                  <w:pPr>
                    <w:pStyle w:val="31"/>
                    <w:rPr>
                      <w:rStyle w:val="89"/>
                      <w:szCs w:val="21"/>
                    </w:rPr>
                  </w:pPr>
                  <w:r>
                    <w:rPr>
                      <w:rStyle w:val="89"/>
                      <w:szCs w:val="21"/>
                    </w:rPr>
                    <w:t>2</w:t>
                  </w:r>
                </w:p>
              </w:tc>
              <w:tc>
                <w:tcPr>
                  <w:tcW w:w="3666" w:type="dxa"/>
                  <w:tcBorders>
                    <w:tl2br w:val="nil"/>
                    <w:tr2bl w:val="nil"/>
                  </w:tcBorders>
                  <w:vAlign w:val="center"/>
                </w:tcPr>
                <w:p w14:paraId="23A004CD">
                  <w:pPr>
                    <w:pStyle w:val="31"/>
                    <w:rPr>
                      <w:rStyle w:val="89"/>
                      <w:szCs w:val="21"/>
                    </w:rPr>
                  </w:pPr>
                  <w:r>
                    <w:rPr>
                      <w:rStyle w:val="89"/>
                      <w:rFonts w:hint="eastAsia"/>
                      <w:szCs w:val="21"/>
                    </w:rPr>
                    <w:t>气化强度</w:t>
                  </w:r>
                </w:p>
              </w:tc>
              <w:tc>
                <w:tcPr>
                  <w:tcW w:w="3390" w:type="dxa"/>
                  <w:tcBorders>
                    <w:tl2br w:val="nil"/>
                    <w:tr2bl w:val="nil"/>
                  </w:tcBorders>
                  <w:vAlign w:val="center"/>
                </w:tcPr>
                <w:p w14:paraId="4CE4E305">
                  <w:pPr>
                    <w:pStyle w:val="31"/>
                    <w:rPr>
                      <w:rStyle w:val="89"/>
                      <w:szCs w:val="21"/>
                    </w:rPr>
                  </w:pPr>
                  <w:r>
                    <w:rPr>
                      <w:rStyle w:val="89"/>
                      <w:rFonts w:hint="eastAsia"/>
                      <w:szCs w:val="21"/>
                    </w:rPr>
                    <w:t>510kg/（m</w:t>
                  </w:r>
                  <w:r>
                    <w:rPr>
                      <w:rStyle w:val="89"/>
                      <w:rFonts w:hint="eastAsia"/>
                      <w:szCs w:val="21"/>
                      <w:vertAlign w:val="superscript"/>
                    </w:rPr>
                    <w:t>2</w:t>
                  </w:r>
                  <w:r>
                    <w:rPr>
                      <w:rStyle w:val="89"/>
                      <w:rFonts w:hint="eastAsia"/>
                      <w:szCs w:val="21"/>
                    </w:rPr>
                    <w:t>.h）</w:t>
                  </w:r>
                </w:p>
              </w:tc>
            </w:tr>
            <w:tr w14:paraId="244074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0" w:hRule="atLeast"/>
                <w:jc w:val="center"/>
              </w:trPr>
              <w:tc>
                <w:tcPr>
                  <w:tcW w:w="1333" w:type="dxa"/>
                  <w:tcBorders>
                    <w:tl2br w:val="nil"/>
                    <w:tr2bl w:val="nil"/>
                  </w:tcBorders>
                  <w:vAlign w:val="center"/>
                </w:tcPr>
                <w:p w14:paraId="2D72BF2F">
                  <w:pPr>
                    <w:pStyle w:val="31"/>
                    <w:rPr>
                      <w:rStyle w:val="89"/>
                      <w:szCs w:val="21"/>
                    </w:rPr>
                  </w:pPr>
                  <w:r>
                    <w:rPr>
                      <w:rStyle w:val="89"/>
                      <w:szCs w:val="21"/>
                    </w:rPr>
                    <w:t>3</w:t>
                  </w:r>
                </w:p>
              </w:tc>
              <w:tc>
                <w:tcPr>
                  <w:tcW w:w="3666" w:type="dxa"/>
                  <w:tcBorders>
                    <w:tl2br w:val="nil"/>
                    <w:tr2bl w:val="nil"/>
                  </w:tcBorders>
                  <w:vAlign w:val="center"/>
                </w:tcPr>
                <w:p w14:paraId="261D4BA9">
                  <w:pPr>
                    <w:pStyle w:val="31"/>
                    <w:rPr>
                      <w:rStyle w:val="89"/>
                      <w:szCs w:val="21"/>
                    </w:rPr>
                  </w:pPr>
                  <w:r>
                    <w:rPr>
                      <w:rStyle w:val="89"/>
                      <w:rFonts w:hint="eastAsia"/>
                      <w:szCs w:val="21"/>
                    </w:rPr>
                    <w:t>产气量输出功率</w:t>
                  </w:r>
                </w:p>
              </w:tc>
              <w:tc>
                <w:tcPr>
                  <w:tcW w:w="3390" w:type="dxa"/>
                  <w:tcBorders>
                    <w:tl2br w:val="nil"/>
                    <w:tr2bl w:val="nil"/>
                  </w:tcBorders>
                  <w:vAlign w:val="center"/>
                </w:tcPr>
                <w:p w14:paraId="4CEC6737">
                  <w:pPr>
                    <w:pStyle w:val="31"/>
                    <w:rPr>
                      <w:rStyle w:val="89"/>
                      <w:szCs w:val="21"/>
                    </w:rPr>
                  </w:pPr>
                  <w:r>
                    <w:rPr>
                      <w:rStyle w:val="89"/>
                      <w:rFonts w:hint="eastAsia"/>
                      <w:szCs w:val="21"/>
                    </w:rPr>
                    <w:t>1630X10</w:t>
                  </w:r>
                  <w:r>
                    <w:rPr>
                      <w:rStyle w:val="89"/>
                      <w:rFonts w:hint="eastAsia"/>
                      <w:szCs w:val="21"/>
                      <w:vertAlign w:val="superscript"/>
                    </w:rPr>
                    <w:t>4</w:t>
                  </w:r>
                  <w:r>
                    <w:rPr>
                      <w:rStyle w:val="89"/>
                      <w:rFonts w:hint="eastAsia"/>
                      <w:szCs w:val="21"/>
                    </w:rPr>
                    <w:t>kcal/h</w:t>
                  </w:r>
                </w:p>
              </w:tc>
            </w:tr>
            <w:tr w14:paraId="0DBCB5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5" w:hRule="atLeast"/>
                <w:jc w:val="center"/>
              </w:trPr>
              <w:tc>
                <w:tcPr>
                  <w:tcW w:w="1333" w:type="dxa"/>
                  <w:tcBorders>
                    <w:tl2br w:val="nil"/>
                    <w:tr2bl w:val="nil"/>
                  </w:tcBorders>
                  <w:vAlign w:val="center"/>
                </w:tcPr>
                <w:p w14:paraId="57B41D4F">
                  <w:pPr>
                    <w:pStyle w:val="31"/>
                    <w:rPr>
                      <w:rStyle w:val="89"/>
                      <w:szCs w:val="21"/>
                    </w:rPr>
                  </w:pPr>
                  <w:r>
                    <w:rPr>
                      <w:rStyle w:val="89"/>
                      <w:rFonts w:hint="eastAsia"/>
                      <w:szCs w:val="21"/>
                    </w:rPr>
                    <w:t>4</w:t>
                  </w:r>
                </w:p>
              </w:tc>
              <w:tc>
                <w:tcPr>
                  <w:tcW w:w="3666" w:type="dxa"/>
                  <w:tcBorders>
                    <w:tl2br w:val="nil"/>
                    <w:tr2bl w:val="nil"/>
                  </w:tcBorders>
                  <w:vAlign w:val="center"/>
                </w:tcPr>
                <w:p w14:paraId="33D53B30">
                  <w:pPr>
                    <w:pStyle w:val="31"/>
                    <w:rPr>
                      <w:rStyle w:val="89"/>
                      <w:szCs w:val="21"/>
                    </w:rPr>
                  </w:pPr>
                  <w:r>
                    <w:rPr>
                      <w:rStyle w:val="89"/>
                      <w:rFonts w:hint="eastAsia"/>
                      <w:szCs w:val="21"/>
                    </w:rPr>
                    <w:t>额定产气量</w:t>
                  </w:r>
                </w:p>
              </w:tc>
              <w:tc>
                <w:tcPr>
                  <w:tcW w:w="3390" w:type="dxa"/>
                  <w:tcBorders>
                    <w:tl2br w:val="nil"/>
                    <w:tr2bl w:val="nil"/>
                  </w:tcBorders>
                  <w:vAlign w:val="center"/>
                </w:tcPr>
                <w:p w14:paraId="164C71F6">
                  <w:pPr>
                    <w:pStyle w:val="31"/>
                    <w:rPr>
                      <w:rStyle w:val="89"/>
                      <w:szCs w:val="21"/>
                    </w:rPr>
                  </w:pPr>
                  <w:r>
                    <w:rPr>
                      <w:rStyle w:val="89"/>
                      <w:rFonts w:hint="eastAsia"/>
                      <w:szCs w:val="21"/>
                    </w:rPr>
                    <w:t>12500m</w:t>
                  </w:r>
                  <w:r>
                    <w:rPr>
                      <w:rStyle w:val="89"/>
                      <w:rFonts w:hint="eastAsia"/>
                      <w:szCs w:val="21"/>
                      <w:vertAlign w:val="superscript"/>
                    </w:rPr>
                    <w:t>3</w:t>
                  </w:r>
                  <w:r>
                    <w:rPr>
                      <w:rStyle w:val="89"/>
                      <w:rFonts w:hint="eastAsia"/>
                      <w:szCs w:val="21"/>
                    </w:rPr>
                    <w:t>/h</w:t>
                  </w:r>
                </w:p>
              </w:tc>
            </w:tr>
            <w:tr w14:paraId="6AE04A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0" w:hRule="atLeast"/>
                <w:jc w:val="center"/>
              </w:trPr>
              <w:tc>
                <w:tcPr>
                  <w:tcW w:w="1333" w:type="dxa"/>
                  <w:tcBorders>
                    <w:tl2br w:val="nil"/>
                    <w:tr2bl w:val="nil"/>
                  </w:tcBorders>
                  <w:vAlign w:val="center"/>
                </w:tcPr>
                <w:p w14:paraId="1B980FC2">
                  <w:pPr>
                    <w:pStyle w:val="31"/>
                    <w:rPr>
                      <w:rStyle w:val="89"/>
                      <w:szCs w:val="21"/>
                    </w:rPr>
                  </w:pPr>
                  <w:r>
                    <w:rPr>
                      <w:rStyle w:val="89"/>
                      <w:szCs w:val="21"/>
                    </w:rPr>
                    <w:t>5</w:t>
                  </w:r>
                </w:p>
              </w:tc>
              <w:tc>
                <w:tcPr>
                  <w:tcW w:w="3666" w:type="dxa"/>
                  <w:tcBorders>
                    <w:tl2br w:val="nil"/>
                    <w:tr2bl w:val="nil"/>
                  </w:tcBorders>
                  <w:vAlign w:val="center"/>
                </w:tcPr>
                <w:p w14:paraId="33A1507B">
                  <w:pPr>
                    <w:pStyle w:val="31"/>
                    <w:rPr>
                      <w:rStyle w:val="89"/>
                      <w:szCs w:val="21"/>
                    </w:rPr>
                  </w:pPr>
                  <w:r>
                    <w:rPr>
                      <w:rStyle w:val="89"/>
                      <w:rFonts w:hint="eastAsia"/>
                      <w:szCs w:val="21"/>
                    </w:rPr>
                    <w:t>气化效率</w:t>
                  </w:r>
                </w:p>
              </w:tc>
              <w:tc>
                <w:tcPr>
                  <w:tcW w:w="3390" w:type="dxa"/>
                  <w:tcBorders>
                    <w:tl2br w:val="nil"/>
                    <w:tr2bl w:val="nil"/>
                  </w:tcBorders>
                  <w:vAlign w:val="center"/>
                </w:tcPr>
                <w:p w14:paraId="4E9951B4">
                  <w:pPr>
                    <w:pStyle w:val="31"/>
                    <w:rPr>
                      <w:rStyle w:val="89"/>
                      <w:szCs w:val="21"/>
                    </w:rPr>
                  </w:pPr>
                  <w:r>
                    <w:rPr>
                      <w:rStyle w:val="89"/>
                      <w:rFonts w:hint="eastAsia"/>
                      <w:szCs w:val="21"/>
                    </w:rPr>
                    <w:t>≥72%</w:t>
                  </w:r>
                </w:p>
              </w:tc>
            </w:tr>
            <w:tr w14:paraId="0F9C5C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0" w:hRule="atLeast"/>
                <w:jc w:val="center"/>
              </w:trPr>
              <w:tc>
                <w:tcPr>
                  <w:tcW w:w="1333" w:type="dxa"/>
                  <w:tcBorders>
                    <w:tl2br w:val="nil"/>
                    <w:tr2bl w:val="nil"/>
                  </w:tcBorders>
                  <w:vAlign w:val="center"/>
                </w:tcPr>
                <w:p w14:paraId="39885809">
                  <w:pPr>
                    <w:pStyle w:val="31"/>
                    <w:rPr>
                      <w:rStyle w:val="89"/>
                      <w:szCs w:val="21"/>
                    </w:rPr>
                  </w:pPr>
                  <w:r>
                    <w:rPr>
                      <w:rStyle w:val="89"/>
                      <w:rFonts w:hint="eastAsia"/>
                      <w:szCs w:val="21"/>
                    </w:rPr>
                    <w:t>6</w:t>
                  </w:r>
                </w:p>
              </w:tc>
              <w:tc>
                <w:tcPr>
                  <w:tcW w:w="3666" w:type="dxa"/>
                  <w:tcBorders>
                    <w:tl2br w:val="nil"/>
                    <w:tr2bl w:val="nil"/>
                  </w:tcBorders>
                  <w:vAlign w:val="center"/>
                </w:tcPr>
                <w:p w14:paraId="3EA623EA">
                  <w:pPr>
                    <w:pStyle w:val="31"/>
                    <w:rPr>
                      <w:rStyle w:val="89"/>
                      <w:szCs w:val="21"/>
                    </w:rPr>
                  </w:pPr>
                  <w:r>
                    <w:rPr>
                      <w:rStyle w:val="89"/>
                      <w:rFonts w:hint="eastAsia"/>
                      <w:szCs w:val="21"/>
                    </w:rPr>
                    <w:t>生物质燃料水分要求</w:t>
                  </w:r>
                </w:p>
              </w:tc>
              <w:tc>
                <w:tcPr>
                  <w:tcW w:w="3390" w:type="dxa"/>
                  <w:tcBorders>
                    <w:tl2br w:val="nil"/>
                    <w:tr2bl w:val="nil"/>
                  </w:tcBorders>
                  <w:vAlign w:val="center"/>
                </w:tcPr>
                <w:p w14:paraId="06BCAF43">
                  <w:pPr>
                    <w:pStyle w:val="31"/>
                    <w:rPr>
                      <w:rStyle w:val="89"/>
                      <w:szCs w:val="21"/>
                    </w:rPr>
                  </w:pPr>
                  <w:r>
                    <w:rPr>
                      <w:rStyle w:val="89"/>
                      <w:rFonts w:hint="eastAsia"/>
                      <w:szCs w:val="21"/>
                    </w:rPr>
                    <w:t>≤30</w:t>
                  </w:r>
                </w:p>
              </w:tc>
            </w:tr>
            <w:tr w14:paraId="5ADACF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1333" w:type="dxa"/>
                  <w:tcBorders>
                    <w:tl2br w:val="nil"/>
                    <w:tr2bl w:val="nil"/>
                  </w:tcBorders>
                  <w:vAlign w:val="center"/>
                </w:tcPr>
                <w:p w14:paraId="7C8FDFAE">
                  <w:pPr>
                    <w:pStyle w:val="31"/>
                    <w:rPr>
                      <w:rStyle w:val="89"/>
                      <w:szCs w:val="21"/>
                    </w:rPr>
                  </w:pPr>
                  <w:r>
                    <w:rPr>
                      <w:rStyle w:val="89"/>
                      <w:rFonts w:hint="eastAsia"/>
                      <w:szCs w:val="21"/>
                    </w:rPr>
                    <w:t>7</w:t>
                  </w:r>
                </w:p>
              </w:tc>
              <w:tc>
                <w:tcPr>
                  <w:tcW w:w="3666" w:type="dxa"/>
                  <w:tcBorders>
                    <w:tl2br w:val="nil"/>
                    <w:tr2bl w:val="nil"/>
                  </w:tcBorders>
                  <w:vAlign w:val="center"/>
                </w:tcPr>
                <w:p w14:paraId="36850122">
                  <w:pPr>
                    <w:pStyle w:val="31"/>
                    <w:rPr>
                      <w:rStyle w:val="89"/>
                      <w:szCs w:val="21"/>
                    </w:rPr>
                  </w:pPr>
                  <w:r>
                    <w:rPr>
                      <w:rStyle w:val="89"/>
                      <w:rFonts w:hint="eastAsia"/>
                      <w:szCs w:val="21"/>
                    </w:rPr>
                    <w:t>生物质燃料粒度要求</w:t>
                  </w:r>
                </w:p>
              </w:tc>
              <w:tc>
                <w:tcPr>
                  <w:tcW w:w="3390" w:type="dxa"/>
                  <w:tcBorders>
                    <w:tl2br w:val="nil"/>
                    <w:tr2bl w:val="nil"/>
                  </w:tcBorders>
                  <w:vAlign w:val="center"/>
                </w:tcPr>
                <w:p w14:paraId="278956FC">
                  <w:pPr>
                    <w:pStyle w:val="31"/>
                    <w:rPr>
                      <w:rStyle w:val="89"/>
                      <w:szCs w:val="21"/>
                    </w:rPr>
                  </w:pPr>
                  <w:r>
                    <w:rPr>
                      <w:rStyle w:val="89"/>
                      <w:szCs w:val="21"/>
                    </w:rPr>
                    <w:t>30-150mm</w:t>
                  </w:r>
                </w:p>
              </w:tc>
            </w:tr>
            <w:tr w14:paraId="7B7B6F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65" w:hRule="atLeast"/>
                <w:jc w:val="center"/>
              </w:trPr>
              <w:tc>
                <w:tcPr>
                  <w:tcW w:w="1333" w:type="dxa"/>
                  <w:tcBorders>
                    <w:tl2br w:val="nil"/>
                    <w:tr2bl w:val="nil"/>
                  </w:tcBorders>
                  <w:vAlign w:val="center"/>
                </w:tcPr>
                <w:p w14:paraId="1744EBFA">
                  <w:pPr>
                    <w:pStyle w:val="31"/>
                    <w:rPr>
                      <w:rStyle w:val="89"/>
                      <w:szCs w:val="21"/>
                    </w:rPr>
                  </w:pPr>
                  <w:r>
                    <w:rPr>
                      <w:rStyle w:val="89"/>
                      <w:rFonts w:hint="eastAsia"/>
                      <w:szCs w:val="21"/>
                    </w:rPr>
                    <w:t>8</w:t>
                  </w:r>
                </w:p>
              </w:tc>
              <w:tc>
                <w:tcPr>
                  <w:tcW w:w="3666" w:type="dxa"/>
                  <w:tcBorders>
                    <w:tl2br w:val="nil"/>
                    <w:tr2bl w:val="nil"/>
                  </w:tcBorders>
                  <w:vAlign w:val="center"/>
                </w:tcPr>
                <w:p w14:paraId="4A1DA4A5">
                  <w:pPr>
                    <w:pStyle w:val="31"/>
                    <w:rPr>
                      <w:rStyle w:val="89"/>
                      <w:szCs w:val="21"/>
                    </w:rPr>
                  </w:pPr>
                  <w:r>
                    <w:rPr>
                      <w:rStyle w:val="89"/>
                      <w:rFonts w:hint="eastAsia"/>
                      <w:szCs w:val="21"/>
                    </w:rPr>
                    <w:t>设备占地面积</w:t>
                  </w:r>
                </w:p>
              </w:tc>
              <w:tc>
                <w:tcPr>
                  <w:tcW w:w="3390" w:type="dxa"/>
                  <w:tcBorders>
                    <w:tl2br w:val="nil"/>
                    <w:tr2bl w:val="nil"/>
                  </w:tcBorders>
                  <w:vAlign w:val="center"/>
                </w:tcPr>
                <w:p w14:paraId="6E422B13">
                  <w:pPr>
                    <w:pStyle w:val="31"/>
                    <w:rPr>
                      <w:rStyle w:val="89"/>
                      <w:szCs w:val="21"/>
                    </w:rPr>
                  </w:pPr>
                  <w:r>
                    <w:rPr>
                      <w:rStyle w:val="89"/>
                      <w:rFonts w:hint="eastAsia"/>
                      <w:szCs w:val="21"/>
                    </w:rPr>
                    <w:t>200m</w:t>
                  </w:r>
                  <w:r>
                    <w:rPr>
                      <w:rStyle w:val="89"/>
                      <w:rFonts w:hint="eastAsia"/>
                      <w:szCs w:val="21"/>
                      <w:vertAlign w:val="superscript"/>
                    </w:rPr>
                    <w:t>2</w:t>
                  </w:r>
                </w:p>
              </w:tc>
            </w:tr>
            <w:tr w14:paraId="3E3433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5" w:hRule="atLeast"/>
                <w:jc w:val="center"/>
              </w:trPr>
              <w:tc>
                <w:tcPr>
                  <w:tcW w:w="1333" w:type="dxa"/>
                  <w:tcBorders>
                    <w:tl2br w:val="nil"/>
                    <w:tr2bl w:val="nil"/>
                  </w:tcBorders>
                  <w:vAlign w:val="center"/>
                </w:tcPr>
                <w:p w14:paraId="4976A43E">
                  <w:pPr>
                    <w:pStyle w:val="31"/>
                    <w:rPr>
                      <w:rStyle w:val="89"/>
                      <w:szCs w:val="21"/>
                    </w:rPr>
                  </w:pPr>
                  <w:r>
                    <w:rPr>
                      <w:rStyle w:val="89"/>
                      <w:rFonts w:hint="eastAsia"/>
                      <w:szCs w:val="21"/>
                    </w:rPr>
                    <w:t>9</w:t>
                  </w:r>
                </w:p>
              </w:tc>
              <w:tc>
                <w:tcPr>
                  <w:tcW w:w="3666" w:type="dxa"/>
                  <w:tcBorders>
                    <w:tl2br w:val="nil"/>
                    <w:tr2bl w:val="nil"/>
                  </w:tcBorders>
                  <w:vAlign w:val="center"/>
                </w:tcPr>
                <w:p w14:paraId="6787CB3E">
                  <w:pPr>
                    <w:pStyle w:val="31"/>
                    <w:rPr>
                      <w:rStyle w:val="89"/>
                      <w:szCs w:val="21"/>
                    </w:rPr>
                  </w:pPr>
                  <w:r>
                    <w:rPr>
                      <w:rStyle w:val="89"/>
                      <w:rFonts w:hint="eastAsia"/>
                      <w:szCs w:val="21"/>
                    </w:rPr>
                    <w:t>设备耗电功率</w:t>
                  </w:r>
                </w:p>
              </w:tc>
              <w:tc>
                <w:tcPr>
                  <w:tcW w:w="3390" w:type="dxa"/>
                  <w:tcBorders>
                    <w:tl2br w:val="nil"/>
                    <w:tr2bl w:val="nil"/>
                  </w:tcBorders>
                  <w:vAlign w:val="center"/>
                </w:tcPr>
                <w:p w14:paraId="5F8CF8DE">
                  <w:pPr>
                    <w:pStyle w:val="31"/>
                    <w:rPr>
                      <w:rStyle w:val="89"/>
                      <w:szCs w:val="21"/>
                    </w:rPr>
                  </w:pPr>
                  <w:r>
                    <w:rPr>
                      <w:rStyle w:val="89"/>
                      <w:rFonts w:hint="eastAsia"/>
                      <w:szCs w:val="21"/>
                    </w:rPr>
                    <w:t>单套185KW/H实际为60%</w:t>
                  </w:r>
                </w:p>
              </w:tc>
            </w:tr>
          </w:tbl>
          <w:p w14:paraId="73A27083">
            <w:pPr>
              <w:ind w:firstLine="482"/>
              <w:rPr>
                <w:b/>
                <w:bCs/>
              </w:rPr>
            </w:pPr>
            <w:r>
              <w:rPr>
                <w:rFonts w:hint="eastAsia"/>
                <w:b/>
                <w:bCs/>
              </w:rPr>
              <w:t>五、劳动定员及工作制度</w:t>
            </w:r>
          </w:p>
          <w:p w14:paraId="39C33E9C">
            <w:pPr>
              <w:ind w:firstLine="480"/>
            </w:pPr>
            <w:r>
              <w:rPr>
                <w:rFonts w:hint="eastAsia"/>
              </w:rPr>
              <w:t>工作制度：全年330天，实行三班制，每班8h工作制。</w:t>
            </w:r>
          </w:p>
          <w:p w14:paraId="1245CB9A">
            <w:pPr>
              <w:ind w:firstLine="480"/>
            </w:pPr>
            <w:r>
              <w:rPr>
                <w:rFonts w:hint="eastAsia"/>
              </w:rPr>
              <w:t>劳动定员：项目定员12人。</w:t>
            </w:r>
          </w:p>
          <w:p w14:paraId="1AA0A020">
            <w:pPr>
              <w:ind w:firstLine="480"/>
            </w:pPr>
            <w:r>
              <w:rPr>
                <w:rFonts w:hint="eastAsia"/>
              </w:rPr>
              <w:t>本项目不涉及食宿。</w:t>
            </w:r>
          </w:p>
          <w:p w14:paraId="1F2BA28D">
            <w:pPr>
              <w:ind w:firstLine="482"/>
              <w:rPr>
                <w:b/>
                <w:bCs/>
              </w:rPr>
            </w:pPr>
            <w:r>
              <w:rPr>
                <w:rFonts w:hint="eastAsia"/>
                <w:b/>
                <w:bCs/>
              </w:rPr>
              <w:t>六、公用工程</w:t>
            </w:r>
          </w:p>
          <w:p w14:paraId="6807B42B">
            <w:pPr>
              <w:ind w:firstLine="480"/>
            </w:pPr>
            <w:bookmarkStart w:id="8" w:name="_Hlk182989286"/>
            <w:r>
              <w:rPr>
                <w:rFonts w:hint="eastAsia"/>
              </w:rPr>
              <w:t>（1）给水</w:t>
            </w:r>
          </w:p>
          <w:p w14:paraId="0A97B143">
            <w:pPr>
              <w:widowControl/>
              <w:adjustRightInd w:val="0"/>
              <w:snapToGrid w:val="0"/>
              <w:ind w:firstLine="480"/>
              <w:jc w:val="left"/>
              <w:rPr>
                <w:rFonts w:cs="Times New Roman"/>
                <w:kern w:val="0"/>
                <w:lang w:bidi="ar"/>
              </w:rPr>
            </w:pPr>
            <w:r>
              <w:rPr>
                <w:rFonts w:hint="eastAsia" w:cs="Times New Roman"/>
                <w:kern w:val="0"/>
                <w:lang w:bidi="ar"/>
              </w:rPr>
              <w:t>市政水管网供水。</w:t>
            </w:r>
          </w:p>
          <w:p w14:paraId="7878106F">
            <w:pPr>
              <w:ind w:firstLine="480"/>
            </w:pPr>
            <w:r>
              <w:rPr>
                <w:rFonts w:hint="eastAsia"/>
              </w:rPr>
              <w:t>（2）排水</w:t>
            </w:r>
          </w:p>
          <w:p w14:paraId="311B5BE6">
            <w:pPr>
              <w:ind w:firstLine="480"/>
            </w:pPr>
            <w:r>
              <w:rPr>
                <w:rFonts w:hint="eastAsia"/>
              </w:rPr>
              <w:t>排水系统采用雨、污分流制。</w:t>
            </w:r>
          </w:p>
          <w:bookmarkEnd w:id="8"/>
          <w:p w14:paraId="01A15DDA">
            <w:pPr>
              <w:ind w:firstLine="480"/>
            </w:pPr>
            <w:r>
              <w:rPr>
                <w:rFonts w:hint="eastAsia"/>
              </w:rPr>
              <w:t>（3）水平衡</w:t>
            </w:r>
          </w:p>
          <w:p w14:paraId="269A18C3">
            <w:pPr>
              <w:ind w:firstLine="480"/>
            </w:pPr>
            <w:r>
              <w:rPr>
                <w:rFonts w:hint="eastAsia"/>
              </w:rPr>
              <w:t>本项目年新增用水情况如下表所示。</w:t>
            </w:r>
          </w:p>
          <w:p w14:paraId="00B4BCE6">
            <w:pPr>
              <w:pStyle w:val="29"/>
            </w:pPr>
            <w:r>
              <w:rPr>
                <w:rFonts w:hint="eastAsia"/>
              </w:rPr>
              <w:t>本项目年新增用水情况一览表  单位：m</w:t>
            </w:r>
            <w:r>
              <w:rPr>
                <w:rFonts w:hint="eastAsia"/>
                <w:vertAlign w:val="superscript"/>
              </w:rPr>
              <w:t>3</w:t>
            </w:r>
            <w:r>
              <w:rPr>
                <w:rFonts w:hint="eastAsia"/>
              </w:rPr>
              <w:t>/a</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95"/>
              <w:gridCol w:w="834"/>
              <w:gridCol w:w="1237"/>
              <w:gridCol w:w="1086"/>
              <w:gridCol w:w="1091"/>
              <w:gridCol w:w="641"/>
              <w:gridCol w:w="551"/>
              <w:gridCol w:w="1136"/>
              <w:gridCol w:w="1038"/>
            </w:tblGrid>
            <w:tr w14:paraId="51C6E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7" w:type="pct"/>
                  <w:vAlign w:val="center"/>
                </w:tcPr>
                <w:p w14:paraId="30BF6A2E">
                  <w:pPr>
                    <w:pStyle w:val="31"/>
                    <w:rPr>
                      <w:b/>
                      <w:bCs/>
                    </w:rPr>
                  </w:pPr>
                  <w:r>
                    <w:rPr>
                      <w:rFonts w:hint="eastAsia"/>
                      <w:b/>
                      <w:bCs/>
                    </w:rPr>
                    <w:t>序号</w:t>
                  </w:r>
                </w:p>
              </w:tc>
              <w:tc>
                <w:tcPr>
                  <w:tcW w:w="521" w:type="pct"/>
                  <w:vAlign w:val="center"/>
                </w:tcPr>
                <w:p w14:paraId="3A5945C2">
                  <w:pPr>
                    <w:pStyle w:val="31"/>
                    <w:rPr>
                      <w:b/>
                      <w:bCs/>
                    </w:rPr>
                  </w:pPr>
                  <w:r>
                    <w:rPr>
                      <w:rFonts w:hint="eastAsia"/>
                      <w:b/>
                      <w:bCs/>
                    </w:rPr>
                    <w:t>用水项目</w:t>
                  </w:r>
                </w:p>
              </w:tc>
              <w:tc>
                <w:tcPr>
                  <w:tcW w:w="772" w:type="pct"/>
                  <w:vAlign w:val="center"/>
                </w:tcPr>
                <w:p w14:paraId="0DD60569">
                  <w:pPr>
                    <w:pStyle w:val="31"/>
                    <w:rPr>
                      <w:b/>
                      <w:bCs/>
                    </w:rPr>
                  </w:pPr>
                  <w:r>
                    <w:rPr>
                      <w:rFonts w:hint="eastAsia"/>
                      <w:b/>
                      <w:bCs/>
                    </w:rPr>
                    <w:t>用水标准</w:t>
                  </w:r>
                </w:p>
              </w:tc>
              <w:tc>
                <w:tcPr>
                  <w:tcW w:w="678" w:type="pct"/>
                  <w:vAlign w:val="center"/>
                </w:tcPr>
                <w:p w14:paraId="669A5021">
                  <w:pPr>
                    <w:pStyle w:val="31"/>
                    <w:rPr>
                      <w:b/>
                      <w:bCs/>
                    </w:rPr>
                  </w:pPr>
                  <w:r>
                    <w:rPr>
                      <w:rFonts w:hint="eastAsia"/>
                      <w:b/>
                      <w:bCs/>
                    </w:rPr>
                    <w:t>规模</w:t>
                  </w:r>
                </w:p>
              </w:tc>
              <w:tc>
                <w:tcPr>
                  <w:tcW w:w="681" w:type="pct"/>
                  <w:vAlign w:val="center"/>
                </w:tcPr>
                <w:p w14:paraId="4900EAAA">
                  <w:pPr>
                    <w:pStyle w:val="31"/>
                    <w:rPr>
                      <w:b/>
                      <w:bCs/>
                    </w:rPr>
                  </w:pPr>
                  <w:r>
                    <w:rPr>
                      <w:rFonts w:hint="eastAsia"/>
                      <w:b/>
                      <w:bCs/>
                    </w:rPr>
                    <w:t>新鲜用水量</w:t>
                  </w:r>
                </w:p>
              </w:tc>
              <w:tc>
                <w:tcPr>
                  <w:tcW w:w="400" w:type="pct"/>
                  <w:vAlign w:val="center"/>
                </w:tcPr>
                <w:p w14:paraId="43374C15">
                  <w:pPr>
                    <w:pStyle w:val="31"/>
                    <w:rPr>
                      <w:b/>
                      <w:bCs/>
                    </w:rPr>
                  </w:pPr>
                  <w:r>
                    <w:rPr>
                      <w:rFonts w:hint="eastAsia"/>
                      <w:b/>
                      <w:bCs/>
                    </w:rPr>
                    <w:t>回用水量</w:t>
                  </w:r>
                </w:p>
              </w:tc>
              <w:tc>
                <w:tcPr>
                  <w:tcW w:w="344" w:type="pct"/>
                  <w:vAlign w:val="center"/>
                </w:tcPr>
                <w:p w14:paraId="3B6E90AE">
                  <w:pPr>
                    <w:pStyle w:val="31"/>
                    <w:rPr>
                      <w:b/>
                      <w:bCs/>
                    </w:rPr>
                  </w:pPr>
                  <w:r>
                    <w:rPr>
                      <w:rFonts w:hint="eastAsia"/>
                      <w:b/>
                      <w:bCs/>
                    </w:rPr>
                    <w:t>排水系数</w:t>
                  </w:r>
                </w:p>
              </w:tc>
              <w:tc>
                <w:tcPr>
                  <w:tcW w:w="709" w:type="pct"/>
                  <w:vAlign w:val="center"/>
                </w:tcPr>
                <w:p w14:paraId="1BB12EE4">
                  <w:pPr>
                    <w:pStyle w:val="31"/>
                    <w:rPr>
                      <w:b/>
                      <w:bCs/>
                    </w:rPr>
                  </w:pPr>
                  <w:r>
                    <w:rPr>
                      <w:rFonts w:hint="eastAsia"/>
                      <w:b/>
                      <w:bCs/>
                    </w:rPr>
                    <w:t>产生量</w:t>
                  </w:r>
                </w:p>
              </w:tc>
              <w:tc>
                <w:tcPr>
                  <w:tcW w:w="649" w:type="pct"/>
                  <w:vAlign w:val="center"/>
                </w:tcPr>
                <w:p w14:paraId="7760A5D6">
                  <w:pPr>
                    <w:pStyle w:val="31"/>
                    <w:rPr>
                      <w:b/>
                      <w:bCs/>
                    </w:rPr>
                  </w:pPr>
                  <w:r>
                    <w:rPr>
                      <w:rFonts w:hint="eastAsia"/>
                      <w:b/>
                      <w:bCs/>
                    </w:rPr>
                    <w:t>去向</w:t>
                  </w:r>
                </w:p>
              </w:tc>
            </w:tr>
            <w:tr w14:paraId="2ED39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7" w:type="pct"/>
                  <w:vAlign w:val="center"/>
                </w:tcPr>
                <w:p w14:paraId="56B55E88">
                  <w:pPr>
                    <w:pStyle w:val="31"/>
                  </w:pPr>
                  <w:r>
                    <w:rPr>
                      <w:rFonts w:hint="eastAsia"/>
                    </w:rPr>
                    <w:t>1</w:t>
                  </w:r>
                </w:p>
              </w:tc>
              <w:tc>
                <w:tcPr>
                  <w:tcW w:w="521" w:type="pct"/>
                  <w:vAlign w:val="center"/>
                </w:tcPr>
                <w:p w14:paraId="06F86093">
                  <w:pPr>
                    <w:pStyle w:val="31"/>
                  </w:pPr>
                  <w:r>
                    <w:rPr>
                      <w:rFonts w:hint="eastAsia"/>
                    </w:rPr>
                    <w:t>生活用水</w:t>
                  </w:r>
                </w:p>
              </w:tc>
              <w:tc>
                <w:tcPr>
                  <w:tcW w:w="772" w:type="pct"/>
                  <w:vAlign w:val="center"/>
                </w:tcPr>
                <w:p w14:paraId="019DA0BA">
                  <w:pPr>
                    <w:pStyle w:val="31"/>
                  </w:pPr>
                  <w:r>
                    <w:rPr>
                      <w:bCs/>
                    </w:rPr>
                    <w:t>50L/（人·d）</w:t>
                  </w:r>
                </w:p>
              </w:tc>
              <w:tc>
                <w:tcPr>
                  <w:tcW w:w="678" w:type="pct"/>
                  <w:vAlign w:val="center"/>
                </w:tcPr>
                <w:p w14:paraId="172BB153">
                  <w:pPr>
                    <w:pStyle w:val="31"/>
                  </w:pPr>
                  <w:r>
                    <w:rPr>
                      <w:rFonts w:hint="eastAsia"/>
                    </w:rPr>
                    <w:t>12人，330d</w:t>
                  </w:r>
                </w:p>
              </w:tc>
              <w:tc>
                <w:tcPr>
                  <w:tcW w:w="681" w:type="pct"/>
                  <w:vAlign w:val="center"/>
                </w:tcPr>
                <w:p w14:paraId="023E8803">
                  <w:pPr>
                    <w:pStyle w:val="31"/>
                  </w:pPr>
                  <w:r>
                    <w:rPr>
                      <w:rFonts w:hint="eastAsia"/>
                    </w:rPr>
                    <w:t>198</w:t>
                  </w:r>
                </w:p>
              </w:tc>
              <w:tc>
                <w:tcPr>
                  <w:tcW w:w="400" w:type="pct"/>
                  <w:vAlign w:val="center"/>
                </w:tcPr>
                <w:p w14:paraId="33F48550">
                  <w:pPr>
                    <w:pStyle w:val="31"/>
                  </w:pPr>
                  <w:r>
                    <w:rPr>
                      <w:rFonts w:hint="eastAsia"/>
                    </w:rPr>
                    <w:t>0</w:t>
                  </w:r>
                </w:p>
              </w:tc>
              <w:tc>
                <w:tcPr>
                  <w:tcW w:w="344" w:type="pct"/>
                  <w:vAlign w:val="center"/>
                </w:tcPr>
                <w:p w14:paraId="46AB2252">
                  <w:pPr>
                    <w:pStyle w:val="31"/>
                  </w:pPr>
                  <w:r>
                    <w:rPr>
                      <w:rFonts w:hint="eastAsia"/>
                    </w:rPr>
                    <w:t>0.85</w:t>
                  </w:r>
                </w:p>
              </w:tc>
              <w:tc>
                <w:tcPr>
                  <w:tcW w:w="709" w:type="pct"/>
                  <w:vAlign w:val="center"/>
                </w:tcPr>
                <w:p w14:paraId="2E508B3B">
                  <w:pPr>
                    <w:pStyle w:val="31"/>
                  </w:pPr>
                  <w:r>
                    <w:rPr>
                      <w:rFonts w:hint="eastAsia"/>
                    </w:rPr>
                    <w:t>168.3</w:t>
                  </w:r>
                </w:p>
              </w:tc>
              <w:tc>
                <w:tcPr>
                  <w:tcW w:w="649" w:type="pct"/>
                  <w:vAlign w:val="center"/>
                </w:tcPr>
                <w:p w14:paraId="62FA13B9">
                  <w:pPr>
                    <w:pStyle w:val="31"/>
                  </w:pPr>
                  <w:r>
                    <w:rPr>
                      <w:rFonts w:hint="eastAsia"/>
                    </w:rPr>
                    <w:t>预处理池+园区污水处理厂</w:t>
                  </w:r>
                </w:p>
              </w:tc>
            </w:tr>
            <w:tr w14:paraId="43859C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7" w:type="pct"/>
                  <w:vAlign w:val="center"/>
                </w:tcPr>
                <w:p w14:paraId="0556897F">
                  <w:pPr>
                    <w:pStyle w:val="31"/>
                  </w:pPr>
                  <w:r>
                    <w:rPr>
                      <w:rFonts w:hint="eastAsia"/>
                    </w:rPr>
                    <w:t>2</w:t>
                  </w:r>
                </w:p>
              </w:tc>
              <w:tc>
                <w:tcPr>
                  <w:tcW w:w="521" w:type="pct"/>
                  <w:vAlign w:val="center"/>
                </w:tcPr>
                <w:p w14:paraId="63E57FB6">
                  <w:pPr>
                    <w:pStyle w:val="31"/>
                  </w:pPr>
                  <w:r>
                    <w:rPr>
                      <w:rFonts w:hint="eastAsia"/>
                    </w:rPr>
                    <w:t>锅炉用水</w:t>
                  </w:r>
                </w:p>
              </w:tc>
              <w:tc>
                <w:tcPr>
                  <w:tcW w:w="772" w:type="pct"/>
                  <w:vAlign w:val="center"/>
                </w:tcPr>
                <w:p w14:paraId="76615A42">
                  <w:pPr>
                    <w:pStyle w:val="31"/>
                  </w:pPr>
                  <w:r>
                    <w:rPr>
                      <w:rFonts w:hint="eastAsia"/>
                    </w:rPr>
                    <w:t>80万t/a蒸汽+</w:t>
                  </w:r>
                  <w:r>
                    <w:rPr>
                      <w:rFonts w:hint="eastAsia" w:cs="Times New Roman"/>
                      <w:kern w:val="0"/>
                      <w:lang w:bidi="ar"/>
                    </w:rPr>
                    <w:t>0.356吨/吨-原料（锅炉排污水+软化处理废水）</w:t>
                  </w:r>
                </w:p>
              </w:tc>
              <w:tc>
                <w:tcPr>
                  <w:tcW w:w="678" w:type="pct"/>
                  <w:vAlign w:val="center"/>
                </w:tcPr>
                <w:p w14:paraId="0FD07A75">
                  <w:pPr>
                    <w:pStyle w:val="31"/>
                  </w:pPr>
                  <w:r>
                    <w:rPr>
                      <w:rFonts w:hint="eastAsia"/>
                    </w:rPr>
                    <w:t>80万t/a蒸汽+</w:t>
                  </w:r>
                  <w:r>
                    <w:rPr>
                      <w:rFonts w:hint="eastAsia" w:cs="Times New Roman"/>
                      <w:kern w:val="0"/>
                      <w:lang w:bidi="ar"/>
                    </w:rPr>
                    <w:t>生物质燃料用量为260</w:t>
                  </w:r>
                  <w:r>
                    <w:rPr>
                      <w:rFonts w:hint="eastAsia"/>
                      <w:szCs w:val="24"/>
                    </w:rPr>
                    <w:t>000t</w:t>
                  </w:r>
                </w:p>
              </w:tc>
              <w:tc>
                <w:tcPr>
                  <w:tcW w:w="681" w:type="pct"/>
                  <w:vAlign w:val="center"/>
                </w:tcPr>
                <w:p w14:paraId="4BF6A44F">
                  <w:pPr>
                    <w:pStyle w:val="31"/>
                  </w:pPr>
                  <w:r>
                    <w:rPr>
                      <w:rFonts w:hint="eastAsia"/>
                    </w:rPr>
                    <w:t>892560</w:t>
                  </w:r>
                </w:p>
              </w:tc>
              <w:tc>
                <w:tcPr>
                  <w:tcW w:w="400" w:type="pct"/>
                  <w:vAlign w:val="center"/>
                </w:tcPr>
                <w:p w14:paraId="500A4151">
                  <w:pPr>
                    <w:pStyle w:val="31"/>
                  </w:pPr>
                  <w:r>
                    <w:rPr>
                      <w:rFonts w:hint="eastAsia"/>
                    </w:rPr>
                    <w:t>0</w:t>
                  </w:r>
                </w:p>
              </w:tc>
              <w:tc>
                <w:tcPr>
                  <w:tcW w:w="344" w:type="pct"/>
                  <w:vAlign w:val="center"/>
                </w:tcPr>
                <w:p w14:paraId="3478995E">
                  <w:pPr>
                    <w:pStyle w:val="31"/>
                  </w:pPr>
                  <w:r>
                    <w:rPr>
                      <w:rFonts w:hint="eastAsia"/>
                    </w:rPr>
                    <w:t>/</w:t>
                  </w:r>
                </w:p>
              </w:tc>
              <w:tc>
                <w:tcPr>
                  <w:tcW w:w="709" w:type="pct"/>
                  <w:vAlign w:val="center"/>
                </w:tcPr>
                <w:p w14:paraId="11A075EE">
                  <w:pPr>
                    <w:pStyle w:val="31"/>
                  </w:pPr>
                  <w:r>
                    <w:rPr>
                      <w:rFonts w:hint="eastAsia"/>
                    </w:rPr>
                    <w:t>92560</w:t>
                  </w:r>
                </w:p>
              </w:tc>
              <w:tc>
                <w:tcPr>
                  <w:tcW w:w="649" w:type="pct"/>
                  <w:vAlign w:val="center"/>
                </w:tcPr>
                <w:p w14:paraId="53D8E993">
                  <w:pPr>
                    <w:pStyle w:val="31"/>
                  </w:pPr>
                  <w:r>
                    <w:rPr>
                      <w:rFonts w:hint="eastAsia"/>
                    </w:rPr>
                    <w:t>沉淀池+园区污水处理厂</w:t>
                  </w:r>
                </w:p>
              </w:tc>
            </w:tr>
            <w:tr w14:paraId="6455D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7" w:type="pct"/>
                  <w:vAlign w:val="center"/>
                </w:tcPr>
                <w:p w14:paraId="77D183C8">
                  <w:pPr>
                    <w:pStyle w:val="31"/>
                  </w:pPr>
                  <w:r>
                    <w:rPr>
                      <w:rFonts w:hint="eastAsia"/>
                    </w:rPr>
                    <w:t>3</w:t>
                  </w:r>
                </w:p>
              </w:tc>
              <w:tc>
                <w:tcPr>
                  <w:tcW w:w="521" w:type="pct"/>
                  <w:vAlign w:val="center"/>
                </w:tcPr>
                <w:p w14:paraId="3BB99315">
                  <w:pPr>
                    <w:pStyle w:val="31"/>
                  </w:pPr>
                  <w:r>
                    <w:rPr>
                      <w:rFonts w:hint="eastAsia"/>
                    </w:rPr>
                    <w:t>气化炉冷却用水</w:t>
                  </w:r>
                </w:p>
              </w:tc>
              <w:tc>
                <w:tcPr>
                  <w:tcW w:w="772" w:type="pct"/>
                  <w:vAlign w:val="center"/>
                </w:tcPr>
                <w:p w14:paraId="594C572E">
                  <w:pPr>
                    <w:pStyle w:val="31"/>
                  </w:pPr>
                  <w:r>
                    <w:rPr>
                      <w:rFonts w:hint="eastAsia"/>
                    </w:rPr>
                    <w:t>/</w:t>
                  </w:r>
                </w:p>
              </w:tc>
              <w:tc>
                <w:tcPr>
                  <w:tcW w:w="678" w:type="pct"/>
                  <w:vAlign w:val="center"/>
                </w:tcPr>
                <w:p w14:paraId="60B975A5">
                  <w:pPr>
                    <w:pStyle w:val="31"/>
                  </w:pPr>
                  <w:r>
                    <w:rPr>
                      <w:rFonts w:hint="eastAsia"/>
                    </w:rPr>
                    <w:t>/</w:t>
                  </w:r>
                </w:p>
              </w:tc>
              <w:tc>
                <w:tcPr>
                  <w:tcW w:w="681" w:type="pct"/>
                  <w:vAlign w:val="center"/>
                </w:tcPr>
                <w:p w14:paraId="45E33766">
                  <w:pPr>
                    <w:pStyle w:val="31"/>
                  </w:pPr>
                  <w:r>
                    <w:rPr>
                      <w:rFonts w:hint="eastAsia" w:cs="Times New Roman"/>
                      <w:kern w:val="0"/>
                      <w:lang w:bidi="ar"/>
                    </w:rPr>
                    <w:t>776.47</w:t>
                  </w:r>
                </w:p>
              </w:tc>
              <w:tc>
                <w:tcPr>
                  <w:tcW w:w="400" w:type="pct"/>
                  <w:vAlign w:val="center"/>
                </w:tcPr>
                <w:p w14:paraId="38D11295">
                  <w:pPr>
                    <w:pStyle w:val="31"/>
                  </w:pPr>
                  <w:r>
                    <w:rPr>
                      <w:rFonts w:hint="eastAsia"/>
                    </w:rPr>
                    <w:t>/</w:t>
                  </w:r>
                </w:p>
              </w:tc>
              <w:tc>
                <w:tcPr>
                  <w:tcW w:w="344" w:type="pct"/>
                  <w:vAlign w:val="center"/>
                </w:tcPr>
                <w:p w14:paraId="47C29F64">
                  <w:pPr>
                    <w:pStyle w:val="31"/>
                  </w:pPr>
                  <w:r>
                    <w:rPr>
                      <w:rFonts w:hint="eastAsia"/>
                    </w:rPr>
                    <w:t>/</w:t>
                  </w:r>
                </w:p>
              </w:tc>
              <w:tc>
                <w:tcPr>
                  <w:tcW w:w="709" w:type="pct"/>
                  <w:vAlign w:val="center"/>
                </w:tcPr>
                <w:p w14:paraId="1069A130">
                  <w:pPr>
                    <w:pStyle w:val="31"/>
                  </w:pPr>
                  <w:r>
                    <w:rPr>
                      <w:rFonts w:hint="eastAsia" w:cs="Times New Roman"/>
                      <w:kern w:val="0"/>
                      <w:lang w:bidi="ar"/>
                    </w:rPr>
                    <w:t>116.47</w:t>
                  </w:r>
                </w:p>
              </w:tc>
              <w:tc>
                <w:tcPr>
                  <w:tcW w:w="649" w:type="pct"/>
                  <w:vAlign w:val="center"/>
                </w:tcPr>
                <w:p w14:paraId="3F596A75">
                  <w:pPr>
                    <w:pStyle w:val="31"/>
                  </w:pPr>
                  <w:r>
                    <w:rPr>
                      <w:rFonts w:hint="eastAsia"/>
                    </w:rPr>
                    <w:t>沉淀池+园区污水处理厂</w:t>
                  </w:r>
                </w:p>
              </w:tc>
            </w:tr>
            <w:tr w14:paraId="4D30D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7" w:type="pct"/>
                  <w:vAlign w:val="center"/>
                </w:tcPr>
                <w:p w14:paraId="4B3D5723">
                  <w:pPr>
                    <w:pStyle w:val="31"/>
                  </w:pPr>
                  <w:r>
                    <w:rPr>
                      <w:rFonts w:hint="eastAsia"/>
                    </w:rPr>
                    <w:t>4</w:t>
                  </w:r>
                </w:p>
              </w:tc>
              <w:tc>
                <w:tcPr>
                  <w:tcW w:w="521" w:type="pct"/>
                  <w:vAlign w:val="center"/>
                </w:tcPr>
                <w:p w14:paraId="0B44AC4A">
                  <w:pPr>
                    <w:pStyle w:val="31"/>
                  </w:pPr>
                  <w:r>
                    <w:rPr>
                      <w:rFonts w:hint="eastAsia"/>
                    </w:rPr>
                    <w:t>除尘设备用水</w:t>
                  </w:r>
                </w:p>
              </w:tc>
              <w:tc>
                <w:tcPr>
                  <w:tcW w:w="772" w:type="pct"/>
                  <w:vAlign w:val="center"/>
                </w:tcPr>
                <w:p w14:paraId="64924CCD">
                  <w:pPr>
                    <w:pStyle w:val="31"/>
                  </w:pPr>
                  <w:r>
                    <w:rPr>
                      <w:rFonts w:hint="eastAsia"/>
                    </w:rPr>
                    <w:t>3m</w:t>
                  </w:r>
                  <w:r>
                    <w:rPr>
                      <w:rFonts w:hint="eastAsia"/>
                      <w:vertAlign w:val="superscript"/>
                    </w:rPr>
                    <w:t>3</w:t>
                  </w:r>
                  <w:r>
                    <w:rPr>
                      <w:rFonts w:hint="eastAsia"/>
                    </w:rPr>
                    <w:t>/h</w:t>
                  </w:r>
                </w:p>
              </w:tc>
              <w:tc>
                <w:tcPr>
                  <w:tcW w:w="678" w:type="pct"/>
                  <w:vAlign w:val="center"/>
                </w:tcPr>
                <w:p w14:paraId="5B993DF8">
                  <w:pPr>
                    <w:pStyle w:val="31"/>
                  </w:pPr>
                  <w:r>
                    <w:rPr>
                      <w:rFonts w:hint="eastAsia"/>
                    </w:rPr>
                    <w:t>24h，330d</w:t>
                  </w:r>
                </w:p>
              </w:tc>
              <w:tc>
                <w:tcPr>
                  <w:tcW w:w="681" w:type="pct"/>
                  <w:vAlign w:val="center"/>
                </w:tcPr>
                <w:p w14:paraId="20EB49B5">
                  <w:pPr>
                    <w:pStyle w:val="31"/>
                  </w:pPr>
                  <w:r>
                    <w:rPr>
                      <w:rFonts w:eastAsia="等线" w:cs="Times New Roman"/>
                      <w:szCs w:val="21"/>
                    </w:rPr>
                    <w:t>0</w:t>
                  </w:r>
                </w:p>
              </w:tc>
              <w:tc>
                <w:tcPr>
                  <w:tcW w:w="400" w:type="pct"/>
                  <w:vAlign w:val="center"/>
                </w:tcPr>
                <w:p w14:paraId="7D776CD5">
                  <w:pPr>
                    <w:pStyle w:val="31"/>
                  </w:pPr>
                  <w:r>
                    <w:rPr>
                      <w:rFonts w:eastAsia="等线" w:cs="Times New Roman"/>
                      <w:szCs w:val="21"/>
                    </w:rPr>
                    <w:t>33</w:t>
                  </w:r>
                </w:p>
              </w:tc>
              <w:tc>
                <w:tcPr>
                  <w:tcW w:w="344" w:type="pct"/>
                  <w:vAlign w:val="center"/>
                </w:tcPr>
                <w:p w14:paraId="69971D8A">
                  <w:pPr>
                    <w:pStyle w:val="31"/>
                  </w:pPr>
                  <w:r>
                    <w:rPr>
                      <w:rFonts w:hint="eastAsia"/>
                    </w:rPr>
                    <w:t>/</w:t>
                  </w:r>
                </w:p>
              </w:tc>
              <w:tc>
                <w:tcPr>
                  <w:tcW w:w="709" w:type="pct"/>
                  <w:vAlign w:val="center"/>
                </w:tcPr>
                <w:p w14:paraId="65552234">
                  <w:pPr>
                    <w:pStyle w:val="31"/>
                  </w:pPr>
                  <w:r>
                    <w:rPr>
                      <w:rFonts w:hint="eastAsia"/>
                    </w:rPr>
                    <w:t>0</w:t>
                  </w:r>
                </w:p>
              </w:tc>
              <w:tc>
                <w:tcPr>
                  <w:tcW w:w="649" w:type="pct"/>
                  <w:vAlign w:val="center"/>
                </w:tcPr>
                <w:p w14:paraId="0E0E1463">
                  <w:pPr>
                    <w:pStyle w:val="31"/>
                  </w:pPr>
                  <w:r>
                    <w:rPr>
                      <w:rFonts w:hint="eastAsia"/>
                    </w:rPr>
                    <w:t>循环使用</w:t>
                  </w:r>
                </w:p>
              </w:tc>
            </w:tr>
            <w:tr w14:paraId="68A613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7" w:type="pct"/>
                  <w:vAlign w:val="center"/>
                </w:tcPr>
                <w:p w14:paraId="65E42719">
                  <w:pPr>
                    <w:pStyle w:val="31"/>
                  </w:pPr>
                  <w:r>
                    <w:rPr>
                      <w:rFonts w:hint="eastAsia"/>
                    </w:rPr>
                    <w:t>5</w:t>
                  </w:r>
                </w:p>
              </w:tc>
              <w:tc>
                <w:tcPr>
                  <w:tcW w:w="521" w:type="pct"/>
                  <w:vAlign w:val="center"/>
                </w:tcPr>
                <w:p w14:paraId="7CBCD7D9">
                  <w:pPr>
                    <w:pStyle w:val="31"/>
                  </w:pPr>
                  <w:r>
                    <w:rPr>
                      <w:rFonts w:hint="eastAsia"/>
                    </w:rPr>
                    <w:t>绿化用水</w:t>
                  </w:r>
                </w:p>
              </w:tc>
              <w:tc>
                <w:tcPr>
                  <w:tcW w:w="772" w:type="pct"/>
                  <w:vAlign w:val="center"/>
                </w:tcPr>
                <w:p w14:paraId="73B1A401">
                  <w:pPr>
                    <w:pStyle w:val="31"/>
                  </w:pPr>
                  <w:r>
                    <w:rPr>
                      <w:lang w:bidi="ar"/>
                    </w:rPr>
                    <w:t>1.5L/m</w:t>
                  </w:r>
                  <w:r>
                    <w:rPr>
                      <w:vertAlign w:val="superscript"/>
                      <w:lang w:bidi="ar"/>
                    </w:rPr>
                    <w:t>2</w:t>
                  </w:r>
                  <w:r>
                    <w:rPr>
                      <w:lang w:bidi="ar"/>
                    </w:rPr>
                    <w:t>·d</w:t>
                  </w:r>
                </w:p>
              </w:tc>
              <w:tc>
                <w:tcPr>
                  <w:tcW w:w="678" w:type="pct"/>
                  <w:vAlign w:val="center"/>
                </w:tcPr>
                <w:p w14:paraId="00EDA417">
                  <w:pPr>
                    <w:pStyle w:val="31"/>
                  </w:pPr>
                  <w:r>
                    <w:rPr>
                      <w:rFonts w:hint="eastAsia"/>
                    </w:rPr>
                    <w:t>3082.70m</w:t>
                  </w:r>
                  <w:r>
                    <w:rPr>
                      <w:rFonts w:hint="eastAsia"/>
                      <w:vertAlign w:val="superscript"/>
                    </w:rPr>
                    <w:t>2</w:t>
                  </w:r>
                </w:p>
              </w:tc>
              <w:tc>
                <w:tcPr>
                  <w:tcW w:w="681" w:type="pct"/>
                  <w:vAlign w:val="center"/>
                </w:tcPr>
                <w:p w14:paraId="37BCC539">
                  <w:pPr>
                    <w:pStyle w:val="31"/>
                  </w:pPr>
                  <w:r>
                    <w:rPr>
                      <w:rFonts w:eastAsia="等线" w:cs="Times New Roman"/>
                      <w:szCs w:val="21"/>
                    </w:rPr>
                    <w:t>0</w:t>
                  </w:r>
                </w:p>
              </w:tc>
              <w:tc>
                <w:tcPr>
                  <w:tcW w:w="400" w:type="pct"/>
                  <w:vAlign w:val="center"/>
                </w:tcPr>
                <w:p w14:paraId="5FE6DE65">
                  <w:pPr>
                    <w:pStyle w:val="31"/>
                  </w:pPr>
                  <w:r>
                    <w:rPr>
                      <w:rFonts w:hint="eastAsia"/>
                      <w:lang w:bidi="ar"/>
                    </w:rPr>
                    <w:t>1524.6</w:t>
                  </w:r>
                </w:p>
              </w:tc>
              <w:tc>
                <w:tcPr>
                  <w:tcW w:w="344" w:type="pct"/>
                  <w:vAlign w:val="center"/>
                </w:tcPr>
                <w:p w14:paraId="36EEA0F5">
                  <w:pPr>
                    <w:pStyle w:val="31"/>
                  </w:pPr>
                  <w:r>
                    <w:rPr>
                      <w:rFonts w:hint="eastAsia"/>
                    </w:rPr>
                    <w:t>0</w:t>
                  </w:r>
                </w:p>
              </w:tc>
              <w:tc>
                <w:tcPr>
                  <w:tcW w:w="709" w:type="pct"/>
                  <w:vAlign w:val="center"/>
                </w:tcPr>
                <w:p w14:paraId="7BA1AFCA">
                  <w:pPr>
                    <w:pStyle w:val="31"/>
                  </w:pPr>
                  <w:r>
                    <w:rPr>
                      <w:rFonts w:hint="eastAsia"/>
                    </w:rPr>
                    <w:t>0</w:t>
                  </w:r>
                </w:p>
              </w:tc>
              <w:tc>
                <w:tcPr>
                  <w:tcW w:w="649" w:type="pct"/>
                  <w:vAlign w:val="center"/>
                </w:tcPr>
                <w:p w14:paraId="04E1E1F5">
                  <w:pPr>
                    <w:pStyle w:val="31"/>
                  </w:pPr>
                  <w:r>
                    <w:rPr>
                      <w:rFonts w:hint="eastAsia"/>
                    </w:rPr>
                    <w:t>全部蒸发</w:t>
                  </w:r>
                </w:p>
              </w:tc>
            </w:tr>
            <w:tr w14:paraId="5042FD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7" w:type="pct"/>
                  <w:vAlign w:val="center"/>
                </w:tcPr>
                <w:p w14:paraId="465A0CFB">
                  <w:pPr>
                    <w:pStyle w:val="31"/>
                  </w:pPr>
                  <w:r>
                    <w:rPr>
                      <w:rFonts w:hint="eastAsia"/>
                    </w:rPr>
                    <w:t>6</w:t>
                  </w:r>
                </w:p>
              </w:tc>
              <w:tc>
                <w:tcPr>
                  <w:tcW w:w="1971" w:type="pct"/>
                  <w:gridSpan w:val="3"/>
                  <w:vAlign w:val="center"/>
                </w:tcPr>
                <w:p w14:paraId="07B0CFE1">
                  <w:pPr>
                    <w:pStyle w:val="31"/>
                  </w:pPr>
                  <w:r>
                    <w:rPr>
                      <w:rFonts w:hint="eastAsia"/>
                    </w:rPr>
                    <w:t>合计</w:t>
                  </w:r>
                </w:p>
              </w:tc>
              <w:tc>
                <w:tcPr>
                  <w:tcW w:w="681" w:type="pct"/>
                  <w:vAlign w:val="center"/>
                </w:tcPr>
                <w:p w14:paraId="2523A449">
                  <w:pPr>
                    <w:pStyle w:val="31"/>
                  </w:pPr>
                  <w:r>
                    <w:rPr>
                      <w:rFonts w:eastAsia="等线" w:cs="Times New Roman"/>
                      <w:szCs w:val="21"/>
                    </w:rPr>
                    <w:t>893534.47</w:t>
                  </w:r>
                </w:p>
              </w:tc>
              <w:tc>
                <w:tcPr>
                  <w:tcW w:w="400" w:type="pct"/>
                  <w:vAlign w:val="center"/>
                </w:tcPr>
                <w:p w14:paraId="63624B2D">
                  <w:pPr>
                    <w:pStyle w:val="31"/>
                  </w:pPr>
                  <w:r>
                    <w:rPr>
                      <w:rFonts w:eastAsia="等线" w:cs="Times New Roman"/>
                      <w:szCs w:val="21"/>
                    </w:rPr>
                    <w:t>1557.6</w:t>
                  </w:r>
                </w:p>
              </w:tc>
              <w:tc>
                <w:tcPr>
                  <w:tcW w:w="344" w:type="pct"/>
                  <w:vAlign w:val="center"/>
                </w:tcPr>
                <w:p w14:paraId="4CEAE233">
                  <w:pPr>
                    <w:pStyle w:val="31"/>
                  </w:pPr>
                  <w:r>
                    <w:rPr>
                      <w:rFonts w:hint="eastAsia"/>
                    </w:rPr>
                    <w:t>/</w:t>
                  </w:r>
                </w:p>
              </w:tc>
              <w:tc>
                <w:tcPr>
                  <w:tcW w:w="709" w:type="pct"/>
                  <w:vAlign w:val="center"/>
                </w:tcPr>
                <w:p w14:paraId="69F4AB19">
                  <w:pPr>
                    <w:widowControl/>
                    <w:spacing w:line="240" w:lineRule="auto"/>
                    <w:ind w:firstLine="0" w:firstLineChars="0"/>
                    <w:jc w:val="center"/>
                    <w:rPr>
                      <w:rFonts w:eastAsia="等线" w:cs="Times New Roman"/>
                      <w:kern w:val="0"/>
                      <w:sz w:val="21"/>
                      <w:szCs w:val="21"/>
                    </w:rPr>
                  </w:pPr>
                  <w:r>
                    <w:rPr>
                      <w:rFonts w:eastAsia="等线" w:cs="Times New Roman"/>
                      <w:kern w:val="0"/>
                      <w:sz w:val="21"/>
                      <w:szCs w:val="21"/>
                    </w:rPr>
                    <w:t>92844.77</w:t>
                  </w:r>
                </w:p>
              </w:tc>
              <w:tc>
                <w:tcPr>
                  <w:tcW w:w="649" w:type="pct"/>
                  <w:vAlign w:val="center"/>
                </w:tcPr>
                <w:p w14:paraId="6A54BF7D">
                  <w:pPr>
                    <w:pStyle w:val="31"/>
                  </w:pPr>
                  <w:r>
                    <w:rPr>
                      <w:rFonts w:hint="eastAsia"/>
                    </w:rPr>
                    <w:t>/</w:t>
                  </w:r>
                </w:p>
              </w:tc>
            </w:tr>
            <w:tr w14:paraId="0E24D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9"/>
                  <w:vAlign w:val="center"/>
                </w:tcPr>
                <w:p w14:paraId="34FDF821">
                  <w:pPr>
                    <w:pStyle w:val="31"/>
                    <w:jc w:val="left"/>
                  </w:pPr>
                  <w:r>
                    <w:rPr>
                      <w:rFonts w:hint="eastAsia"/>
                    </w:rPr>
                    <w:t>注：锅炉和汽化炉产生废水中除尘器使用33m</w:t>
                  </w:r>
                  <w:r>
                    <w:rPr>
                      <w:vertAlign w:val="superscript"/>
                    </w:rPr>
                    <w:t>3</w:t>
                  </w:r>
                  <w:r>
                    <w:rPr>
                      <w:rFonts w:hint="eastAsia"/>
                    </w:rPr>
                    <w:t>/a，绿化使用1524.6m</w:t>
                  </w:r>
                  <w:r>
                    <w:rPr>
                      <w:vertAlign w:val="superscript"/>
                    </w:rPr>
                    <w:t>3</w:t>
                  </w:r>
                  <w:r>
                    <w:rPr>
                      <w:rFonts w:hint="eastAsia"/>
                    </w:rPr>
                    <w:t>/a，剩余的9</w:t>
                  </w:r>
                  <w:r>
                    <w:t>1118.87</w:t>
                  </w:r>
                  <w:r>
                    <w:rPr>
                      <w:rFonts w:hint="eastAsia"/>
                    </w:rPr>
                    <w:t>m</w:t>
                  </w:r>
                  <w:r>
                    <w:rPr>
                      <w:vertAlign w:val="superscript"/>
                    </w:rPr>
                    <w:t>3</w:t>
                  </w:r>
                  <w:r>
                    <w:rPr>
                      <w:rFonts w:hint="eastAsia"/>
                    </w:rPr>
                    <w:t>/a进入园区污水处理厂。</w:t>
                  </w:r>
                </w:p>
              </w:tc>
            </w:tr>
          </w:tbl>
          <w:p w14:paraId="367362A4">
            <w:pPr>
              <w:ind w:firstLine="480"/>
            </w:pPr>
            <w:r>
              <w:rPr>
                <w:rFonts w:hint="eastAsia"/>
              </w:rPr>
              <w:t>本项目水平衡如下图所示。</w:t>
            </w:r>
          </w:p>
          <w:p w14:paraId="039BF00B">
            <w:pPr>
              <w:pStyle w:val="29"/>
              <w:numPr>
                <w:ilvl w:val="0"/>
                <w:numId w:val="0"/>
              </w:numPr>
            </w:pPr>
            <w:r>
              <w:rPr>
                <w:rFonts w:hint="eastAsia"/>
              </w:rPr>
              <w:object>
                <v:shape id="_x0000_i1025" o:spt="75" type="#_x0000_t75" style="height:210pt;width:400.5pt;" o:ole="t" filled="f" o:preferrelative="t" stroked="f" coordsize="21600,21600">
                  <v:path/>
                  <v:fill on="f" focussize="0,0"/>
                  <v:stroke on="f" joinstyle="miter"/>
                  <v:imagedata r:id="rId17" o:title=""/>
                  <o:lock v:ext="edit" aspectratio="t"/>
                  <w10:wrap type="none"/>
                  <w10:anchorlock/>
                </v:shape>
                <o:OLEObject Type="Embed" ProgID="Visio.Drawing.15" ShapeID="_x0000_i1025" DrawAspect="Content" ObjectID="_1468075725" r:id="rId16">
                  <o:LockedField>false</o:LockedField>
                </o:OLEObject>
              </w:object>
            </w:r>
          </w:p>
          <w:p w14:paraId="10548DE5">
            <w:pPr>
              <w:pStyle w:val="83"/>
              <w:numPr>
                <w:ilvl w:val="0"/>
                <w:numId w:val="0"/>
              </w:numPr>
              <w:jc w:val="both"/>
              <w:rPr>
                <w:b w:val="0"/>
                <w:bCs/>
              </w:rPr>
            </w:pPr>
            <w:r>
              <w:rPr>
                <w:rFonts w:hint="eastAsia"/>
                <w:b w:val="0"/>
                <w:bCs/>
              </w:rPr>
              <w:t>注：供锅炉用水制备过程产生废水</w:t>
            </w:r>
            <w:r>
              <w:rPr>
                <w:b w:val="0"/>
                <w:bCs/>
              </w:rPr>
              <w:t>88888.8m</w:t>
            </w:r>
            <w:r>
              <w:rPr>
                <w:b w:val="0"/>
                <w:bCs/>
                <w:vertAlign w:val="superscript"/>
              </w:rPr>
              <w:t>3</w:t>
            </w:r>
            <w:r>
              <w:rPr>
                <w:b w:val="0"/>
                <w:bCs/>
              </w:rPr>
              <w:t>/a</w:t>
            </w:r>
            <w:r>
              <w:rPr>
                <w:rFonts w:hint="eastAsia"/>
                <w:b w:val="0"/>
                <w:bCs/>
              </w:rPr>
              <w:t>和冷却软水制备过程产生的废水</w:t>
            </w:r>
            <w:r>
              <w:rPr>
                <w:b w:val="0"/>
                <w:bCs/>
              </w:rPr>
              <w:t>116.47m</w:t>
            </w:r>
            <w:r>
              <w:rPr>
                <w:b w:val="0"/>
                <w:bCs/>
                <w:vertAlign w:val="superscript"/>
              </w:rPr>
              <w:t>3</w:t>
            </w:r>
            <w:r>
              <w:rPr>
                <w:b w:val="0"/>
                <w:bCs/>
              </w:rPr>
              <w:t>/a</w:t>
            </w:r>
            <w:r>
              <w:rPr>
                <w:rFonts w:hint="eastAsia"/>
                <w:b w:val="0"/>
                <w:bCs/>
              </w:rPr>
              <w:t>。</w:t>
            </w:r>
          </w:p>
          <w:p w14:paraId="16D45100">
            <w:pPr>
              <w:pStyle w:val="83"/>
            </w:pPr>
            <w:r>
              <w:rPr>
                <w:rFonts w:hint="eastAsia"/>
              </w:rPr>
              <w:t>本项目水平衡单位</w:t>
            </w:r>
            <w:r>
              <w:t>m</w:t>
            </w:r>
            <w:r>
              <w:rPr>
                <w:vertAlign w:val="superscript"/>
              </w:rPr>
              <w:t>3</w:t>
            </w:r>
            <w:r>
              <w:t>/a</w:t>
            </w:r>
          </w:p>
          <w:p w14:paraId="6A34396D">
            <w:pPr>
              <w:ind w:firstLine="480"/>
            </w:pPr>
            <w:r>
              <w:rPr>
                <w:rFonts w:hint="eastAsia"/>
              </w:rPr>
              <w:t>（4）供电</w:t>
            </w:r>
          </w:p>
          <w:p w14:paraId="708BEEED">
            <w:pPr>
              <w:ind w:firstLine="480"/>
            </w:pPr>
            <w:r>
              <w:rPr>
                <w:rFonts w:hint="eastAsia"/>
              </w:rPr>
              <w:t>由市政电网供电，采用双回路供电，不设置柴油发电机。</w:t>
            </w:r>
          </w:p>
          <w:p w14:paraId="4359DC41">
            <w:pPr>
              <w:ind w:firstLine="480"/>
            </w:pPr>
            <w:r>
              <w:rPr>
                <w:rFonts w:hint="eastAsia"/>
              </w:rPr>
              <w:t>（5）消防</w:t>
            </w:r>
          </w:p>
          <w:p w14:paraId="696381A7">
            <w:pPr>
              <w:tabs>
                <w:tab w:val="center" w:pos="4320"/>
                <w:tab w:val="right" w:pos="8640"/>
              </w:tabs>
              <w:adjustRightInd w:val="0"/>
              <w:ind w:firstLine="480"/>
              <w:textAlignment w:val="baseline"/>
              <w:rPr>
                <w:rFonts w:cs="Times New Roman"/>
              </w:rPr>
            </w:pPr>
            <w:r>
              <w:rPr>
                <w:rFonts w:hint="eastAsia" w:cs="Times New Roman"/>
              </w:rPr>
              <w:t>本项目建、构筑物总平面布置、防火间距、防火分区、疏散距离和安全疏散楼梯、出口均按《建筑设计防火规范》（GB50016-2014-建筑设计防火规范2018修订版）、《工业企业总平面设计规范》（GB50187-2012）等进行设计，满足规范要求。燃料堆存区域保持通风，电气室未设置在燃料区满足规范要求。在车间内一些重要的部位或易于着火的区域（如电气室）设置了火灾自动报警装置。室外消防设置环状管网，每120m设置室外消火栓1个。生产车间、办公楼等建筑根据《建筑灭火器配置设计规范》（GB50140-2005）要求均配有相应数量的手提式磷酸铵盐干粉、手提式ABC干粉灭火器。本项目灭火器型号、规格及设置数目如下表所示。</w:t>
            </w:r>
          </w:p>
          <w:p w14:paraId="2971CDEB">
            <w:pPr>
              <w:pStyle w:val="29"/>
              <w:rPr>
                <w:rFonts w:cs="Times New Roman"/>
              </w:rPr>
            </w:pPr>
            <w:r>
              <w:rPr>
                <w:rFonts w:hint="eastAsia"/>
                <w:snapToGrid w:val="0"/>
              </w:rPr>
              <w:t>灭火器型号、规格及设置数目一览表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85"/>
              <w:gridCol w:w="1932"/>
              <w:gridCol w:w="2262"/>
              <w:gridCol w:w="1235"/>
              <w:gridCol w:w="1195"/>
            </w:tblGrid>
            <w:tr w14:paraId="79328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75" w:hRule="atLeast"/>
                <w:tblHeader/>
                <w:jc w:val="center"/>
              </w:trPr>
              <w:tc>
                <w:tcPr>
                  <w:tcW w:w="865" w:type="pct"/>
                  <w:vAlign w:val="center"/>
                </w:tcPr>
                <w:p w14:paraId="0DF57994">
                  <w:pPr>
                    <w:pStyle w:val="31"/>
                  </w:pPr>
                  <w:r>
                    <w:rPr>
                      <w:rFonts w:hint="eastAsia"/>
                    </w:rPr>
                    <w:t>序号</w:t>
                  </w:r>
                </w:p>
              </w:tc>
              <w:tc>
                <w:tcPr>
                  <w:tcW w:w="1206" w:type="pct"/>
                  <w:vAlign w:val="center"/>
                </w:tcPr>
                <w:p w14:paraId="1D45E800">
                  <w:pPr>
                    <w:pStyle w:val="31"/>
                  </w:pPr>
                  <w:r>
                    <w:rPr>
                      <w:rFonts w:hint="eastAsia"/>
                    </w:rPr>
                    <w:t>所在位置</w:t>
                  </w:r>
                </w:p>
              </w:tc>
              <w:tc>
                <w:tcPr>
                  <w:tcW w:w="1412" w:type="pct"/>
                  <w:vAlign w:val="center"/>
                </w:tcPr>
                <w:p w14:paraId="1DE21B8C">
                  <w:pPr>
                    <w:pStyle w:val="31"/>
                  </w:pPr>
                  <w:r>
                    <w:rPr>
                      <w:rFonts w:hint="eastAsia"/>
                    </w:rPr>
                    <w:t>灭火器规格、型号</w:t>
                  </w:r>
                </w:p>
              </w:tc>
              <w:tc>
                <w:tcPr>
                  <w:tcW w:w="771" w:type="pct"/>
                  <w:vAlign w:val="center"/>
                </w:tcPr>
                <w:p w14:paraId="064791A5">
                  <w:pPr>
                    <w:pStyle w:val="31"/>
                  </w:pPr>
                  <w:r>
                    <w:rPr>
                      <w:rFonts w:hint="eastAsia"/>
                    </w:rPr>
                    <w:t>数量/具</w:t>
                  </w:r>
                </w:p>
              </w:tc>
              <w:tc>
                <w:tcPr>
                  <w:tcW w:w="746" w:type="pct"/>
                  <w:vAlign w:val="center"/>
                </w:tcPr>
                <w:p w14:paraId="02AB1ADF">
                  <w:pPr>
                    <w:pStyle w:val="31"/>
                  </w:pPr>
                  <w:r>
                    <w:rPr>
                      <w:rFonts w:hint="eastAsia"/>
                    </w:rPr>
                    <w:t>备注</w:t>
                  </w:r>
                </w:p>
              </w:tc>
            </w:tr>
            <w:tr w14:paraId="6CE0B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5" w:type="pct"/>
                  <w:vAlign w:val="center"/>
                </w:tcPr>
                <w:p w14:paraId="2328C53C">
                  <w:pPr>
                    <w:pStyle w:val="31"/>
                  </w:pPr>
                  <w:r>
                    <w:rPr>
                      <w:rFonts w:hint="eastAsia"/>
                    </w:rPr>
                    <w:t>1</w:t>
                  </w:r>
                </w:p>
              </w:tc>
              <w:tc>
                <w:tcPr>
                  <w:tcW w:w="1206" w:type="pct"/>
                  <w:vAlign w:val="center"/>
                </w:tcPr>
                <w:p w14:paraId="6E234FE8">
                  <w:pPr>
                    <w:pStyle w:val="31"/>
                  </w:pPr>
                  <w:r>
                    <w:rPr>
                      <w:rFonts w:hint="eastAsia"/>
                    </w:rPr>
                    <w:t>锅炉房</w:t>
                  </w:r>
                </w:p>
              </w:tc>
              <w:tc>
                <w:tcPr>
                  <w:tcW w:w="1412" w:type="pct"/>
                  <w:vAlign w:val="center"/>
                </w:tcPr>
                <w:p w14:paraId="5BBD7190">
                  <w:pPr>
                    <w:pStyle w:val="31"/>
                  </w:pPr>
                  <w:r>
                    <w:rPr>
                      <w:rFonts w:hint="eastAsia"/>
                    </w:rPr>
                    <w:t>MF/ABC2</w:t>
                  </w:r>
                </w:p>
              </w:tc>
              <w:tc>
                <w:tcPr>
                  <w:tcW w:w="771" w:type="pct"/>
                  <w:vAlign w:val="center"/>
                </w:tcPr>
                <w:p w14:paraId="0DBA8BF0">
                  <w:pPr>
                    <w:pStyle w:val="31"/>
                  </w:pPr>
                  <w:r>
                    <w:rPr>
                      <w:rFonts w:hint="eastAsia"/>
                    </w:rPr>
                    <w:t>4</w:t>
                  </w:r>
                </w:p>
              </w:tc>
              <w:tc>
                <w:tcPr>
                  <w:tcW w:w="746" w:type="pct"/>
                  <w:vAlign w:val="center"/>
                </w:tcPr>
                <w:p w14:paraId="48973BDF">
                  <w:pPr>
                    <w:pStyle w:val="31"/>
                  </w:pPr>
                  <w:r>
                    <w:rPr>
                      <w:rFonts w:hint="eastAsia"/>
                    </w:rPr>
                    <w:t>/</w:t>
                  </w:r>
                </w:p>
              </w:tc>
            </w:tr>
            <w:tr w14:paraId="01842F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5" w:type="pct"/>
                  <w:vAlign w:val="center"/>
                </w:tcPr>
                <w:p w14:paraId="02F348C9">
                  <w:pPr>
                    <w:pStyle w:val="31"/>
                  </w:pPr>
                  <w:r>
                    <w:rPr>
                      <w:rFonts w:hint="eastAsia"/>
                    </w:rPr>
                    <w:t>2</w:t>
                  </w:r>
                </w:p>
              </w:tc>
              <w:tc>
                <w:tcPr>
                  <w:tcW w:w="1206" w:type="pct"/>
                  <w:vAlign w:val="center"/>
                </w:tcPr>
                <w:p w14:paraId="4A3BFD31">
                  <w:pPr>
                    <w:pStyle w:val="31"/>
                  </w:pPr>
                  <w:r>
                    <w:rPr>
                      <w:rFonts w:hint="eastAsia"/>
                    </w:rPr>
                    <w:t>1#材料仓库</w:t>
                  </w:r>
                </w:p>
              </w:tc>
              <w:tc>
                <w:tcPr>
                  <w:tcW w:w="1412" w:type="pct"/>
                  <w:vAlign w:val="center"/>
                </w:tcPr>
                <w:p w14:paraId="7A6D2727">
                  <w:pPr>
                    <w:pStyle w:val="31"/>
                  </w:pPr>
                  <w:r>
                    <w:rPr>
                      <w:rFonts w:hint="eastAsia"/>
                    </w:rPr>
                    <w:t>MF/ABC4</w:t>
                  </w:r>
                </w:p>
              </w:tc>
              <w:tc>
                <w:tcPr>
                  <w:tcW w:w="771" w:type="pct"/>
                  <w:vAlign w:val="center"/>
                </w:tcPr>
                <w:p w14:paraId="4883F8A8">
                  <w:pPr>
                    <w:pStyle w:val="31"/>
                  </w:pPr>
                  <w:r>
                    <w:rPr>
                      <w:rFonts w:hint="eastAsia"/>
                    </w:rPr>
                    <w:t>20</w:t>
                  </w:r>
                </w:p>
              </w:tc>
              <w:tc>
                <w:tcPr>
                  <w:tcW w:w="746" w:type="pct"/>
                  <w:vAlign w:val="center"/>
                </w:tcPr>
                <w:p w14:paraId="09E717AE">
                  <w:pPr>
                    <w:pStyle w:val="31"/>
                  </w:pPr>
                  <w:r>
                    <w:rPr>
                      <w:rFonts w:hint="eastAsia"/>
                    </w:rPr>
                    <w:t>/</w:t>
                  </w:r>
                </w:p>
              </w:tc>
            </w:tr>
            <w:tr w14:paraId="75A79D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5" w:type="pct"/>
                  <w:vAlign w:val="center"/>
                </w:tcPr>
                <w:p w14:paraId="470FB776">
                  <w:pPr>
                    <w:pStyle w:val="31"/>
                  </w:pPr>
                  <w:r>
                    <w:rPr>
                      <w:rFonts w:hint="eastAsia"/>
                    </w:rPr>
                    <w:t>3</w:t>
                  </w:r>
                </w:p>
              </w:tc>
              <w:tc>
                <w:tcPr>
                  <w:tcW w:w="1206" w:type="pct"/>
                  <w:vAlign w:val="center"/>
                </w:tcPr>
                <w:p w14:paraId="40FDFA7E">
                  <w:pPr>
                    <w:pStyle w:val="31"/>
                  </w:pPr>
                  <w:r>
                    <w:rPr>
                      <w:rFonts w:hint="eastAsia"/>
                    </w:rPr>
                    <w:t>2#材料仓库</w:t>
                  </w:r>
                </w:p>
              </w:tc>
              <w:tc>
                <w:tcPr>
                  <w:tcW w:w="1412" w:type="pct"/>
                  <w:vAlign w:val="center"/>
                </w:tcPr>
                <w:p w14:paraId="6A7F83CB">
                  <w:pPr>
                    <w:pStyle w:val="31"/>
                  </w:pPr>
                  <w:r>
                    <w:rPr>
                      <w:rFonts w:hint="eastAsia"/>
                    </w:rPr>
                    <w:t>MF/ABC4</w:t>
                  </w:r>
                </w:p>
              </w:tc>
              <w:tc>
                <w:tcPr>
                  <w:tcW w:w="771" w:type="pct"/>
                  <w:vAlign w:val="center"/>
                </w:tcPr>
                <w:p w14:paraId="38F002A6">
                  <w:pPr>
                    <w:pStyle w:val="31"/>
                  </w:pPr>
                  <w:r>
                    <w:rPr>
                      <w:rFonts w:hint="eastAsia"/>
                    </w:rPr>
                    <w:t>20</w:t>
                  </w:r>
                </w:p>
              </w:tc>
              <w:tc>
                <w:tcPr>
                  <w:tcW w:w="746" w:type="pct"/>
                  <w:vAlign w:val="center"/>
                </w:tcPr>
                <w:p w14:paraId="6AA27677">
                  <w:pPr>
                    <w:pStyle w:val="31"/>
                  </w:pPr>
                  <w:r>
                    <w:rPr>
                      <w:rFonts w:hint="eastAsia"/>
                    </w:rPr>
                    <w:t>/</w:t>
                  </w:r>
                </w:p>
              </w:tc>
            </w:tr>
            <w:tr w14:paraId="518110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5" w:type="pct"/>
                  <w:vAlign w:val="center"/>
                </w:tcPr>
                <w:p w14:paraId="3A42E189">
                  <w:pPr>
                    <w:pStyle w:val="31"/>
                  </w:pPr>
                  <w:r>
                    <w:rPr>
                      <w:rFonts w:hint="eastAsia"/>
                    </w:rPr>
                    <w:t>4</w:t>
                  </w:r>
                </w:p>
              </w:tc>
              <w:tc>
                <w:tcPr>
                  <w:tcW w:w="1206" w:type="pct"/>
                  <w:vAlign w:val="center"/>
                </w:tcPr>
                <w:p w14:paraId="32D31E9C">
                  <w:pPr>
                    <w:pStyle w:val="31"/>
                  </w:pPr>
                  <w:r>
                    <w:rPr>
                      <w:rFonts w:hint="eastAsia"/>
                    </w:rPr>
                    <w:t>机修仓库</w:t>
                  </w:r>
                </w:p>
              </w:tc>
              <w:tc>
                <w:tcPr>
                  <w:tcW w:w="1412" w:type="pct"/>
                  <w:vAlign w:val="center"/>
                </w:tcPr>
                <w:p w14:paraId="684A1857">
                  <w:pPr>
                    <w:pStyle w:val="31"/>
                  </w:pPr>
                  <w:r>
                    <w:rPr>
                      <w:rFonts w:hint="eastAsia"/>
                    </w:rPr>
                    <w:t>MF/ABC4</w:t>
                  </w:r>
                </w:p>
              </w:tc>
              <w:tc>
                <w:tcPr>
                  <w:tcW w:w="771" w:type="pct"/>
                  <w:vAlign w:val="center"/>
                </w:tcPr>
                <w:p w14:paraId="7D94C15B">
                  <w:pPr>
                    <w:pStyle w:val="31"/>
                  </w:pPr>
                  <w:r>
                    <w:rPr>
                      <w:rFonts w:hint="eastAsia"/>
                    </w:rPr>
                    <w:t>4</w:t>
                  </w:r>
                </w:p>
              </w:tc>
              <w:tc>
                <w:tcPr>
                  <w:tcW w:w="746" w:type="pct"/>
                  <w:vAlign w:val="center"/>
                </w:tcPr>
                <w:p w14:paraId="4ECAB4A5">
                  <w:pPr>
                    <w:pStyle w:val="31"/>
                  </w:pPr>
                  <w:r>
                    <w:rPr>
                      <w:rFonts w:hint="eastAsia"/>
                    </w:rPr>
                    <w:t>/</w:t>
                  </w:r>
                </w:p>
              </w:tc>
            </w:tr>
            <w:tr w14:paraId="4BEBC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5" w:type="pct"/>
                  <w:vAlign w:val="center"/>
                </w:tcPr>
                <w:p w14:paraId="5F51DB6D">
                  <w:pPr>
                    <w:pStyle w:val="31"/>
                  </w:pPr>
                  <w:r>
                    <w:rPr>
                      <w:rFonts w:hint="eastAsia"/>
                    </w:rPr>
                    <w:t>5</w:t>
                  </w:r>
                </w:p>
              </w:tc>
              <w:tc>
                <w:tcPr>
                  <w:tcW w:w="1206" w:type="pct"/>
                  <w:vAlign w:val="center"/>
                </w:tcPr>
                <w:p w14:paraId="625BC57A">
                  <w:pPr>
                    <w:pStyle w:val="31"/>
                  </w:pPr>
                  <w:r>
                    <w:rPr>
                      <w:rFonts w:hint="eastAsia"/>
                    </w:rPr>
                    <w:t>门卫室</w:t>
                  </w:r>
                </w:p>
              </w:tc>
              <w:tc>
                <w:tcPr>
                  <w:tcW w:w="1412" w:type="pct"/>
                  <w:vAlign w:val="center"/>
                </w:tcPr>
                <w:p w14:paraId="75B3D433">
                  <w:pPr>
                    <w:pStyle w:val="31"/>
                  </w:pPr>
                  <w:r>
                    <w:rPr>
                      <w:rFonts w:hint="eastAsia"/>
                    </w:rPr>
                    <w:t>MF/ABC4</w:t>
                  </w:r>
                </w:p>
              </w:tc>
              <w:tc>
                <w:tcPr>
                  <w:tcW w:w="771" w:type="pct"/>
                  <w:vAlign w:val="center"/>
                </w:tcPr>
                <w:p w14:paraId="0EE0A489">
                  <w:pPr>
                    <w:pStyle w:val="31"/>
                  </w:pPr>
                  <w:r>
                    <w:rPr>
                      <w:rFonts w:hint="eastAsia"/>
                    </w:rPr>
                    <w:t>2</w:t>
                  </w:r>
                </w:p>
              </w:tc>
              <w:tc>
                <w:tcPr>
                  <w:tcW w:w="746" w:type="pct"/>
                  <w:vAlign w:val="center"/>
                </w:tcPr>
                <w:p w14:paraId="5B14E6EC">
                  <w:pPr>
                    <w:pStyle w:val="31"/>
                  </w:pPr>
                  <w:r>
                    <w:rPr>
                      <w:rFonts w:hint="eastAsia"/>
                    </w:rPr>
                    <w:t>/</w:t>
                  </w:r>
                </w:p>
              </w:tc>
            </w:tr>
            <w:tr w14:paraId="1C78D2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865" w:type="pct"/>
                  <w:vAlign w:val="center"/>
                </w:tcPr>
                <w:p w14:paraId="30187DCA">
                  <w:pPr>
                    <w:pStyle w:val="31"/>
                  </w:pPr>
                  <w:r>
                    <w:rPr>
                      <w:rFonts w:hint="eastAsia"/>
                    </w:rPr>
                    <w:t>6</w:t>
                  </w:r>
                </w:p>
              </w:tc>
              <w:tc>
                <w:tcPr>
                  <w:tcW w:w="1206" w:type="pct"/>
                  <w:vAlign w:val="center"/>
                </w:tcPr>
                <w:p w14:paraId="369E7FE8">
                  <w:pPr>
                    <w:pStyle w:val="31"/>
                  </w:pPr>
                  <w:r>
                    <w:rPr>
                      <w:rFonts w:hint="eastAsia"/>
                    </w:rPr>
                    <w:t>一体化消防泵站</w:t>
                  </w:r>
                </w:p>
              </w:tc>
              <w:tc>
                <w:tcPr>
                  <w:tcW w:w="1412" w:type="pct"/>
                  <w:vAlign w:val="center"/>
                </w:tcPr>
                <w:p w14:paraId="799DB2BB">
                  <w:pPr>
                    <w:pStyle w:val="31"/>
                  </w:pPr>
                  <w:r>
                    <w:rPr>
                      <w:rFonts w:hint="eastAsia"/>
                    </w:rPr>
                    <w:t>MF/ABC4</w:t>
                  </w:r>
                </w:p>
              </w:tc>
              <w:tc>
                <w:tcPr>
                  <w:tcW w:w="771" w:type="pct"/>
                  <w:vAlign w:val="center"/>
                </w:tcPr>
                <w:p w14:paraId="31DEACC4">
                  <w:pPr>
                    <w:pStyle w:val="31"/>
                  </w:pPr>
                  <w:r>
                    <w:rPr>
                      <w:rFonts w:hint="eastAsia"/>
                    </w:rPr>
                    <w:t>2</w:t>
                  </w:r>
                </w:p>
              </w:tc>
              <w:tc>
                <w:tcPr>
                  <w:tcW w:w="746" w:type="pct"/>
                  <w:vAlign w:val="center"/>
                </w:tcPr>
                <w:p w14:paraId="4696A65B">
                  <w:pPr>
                    <w:pStyle w:val="31"/>
                  </w:pPr>
                  <w:r>
                    <w:rPr>
                      <w:rFonts w:hint="eastAsia"/>
                    </w:rPr>
                    <w:t>/</w:t>
                  </w:r>
                </w:p>
              </w:tc>
            </w:tr>
          </w:tbl>
          <w:p w14:paraId="621DBEF0">
            <w:pPr>
              <w:tabs>
                <w:tab w:val="center" w:pos="4320"/>
                <w:tab w:val="right" w:pos="8640"/>
              </w:tabs>
              <w:adjustRightInd w:val="0"/>
              <w:ind w:firstLine="480"/>
              <w:textAlignment w:val="baseline"/>
            </w:pPr>
          </w:p>
        </w:tc>
      </w:tr>
      <w:tr w14:paraId="3567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510" w:type="pct"/>
            <w:vAlign w:val="center"/>
          </w:tcPr>
          <w:p w14:paraId="7FF0A55A">
            <w:pPr>
              <w:ind w:firstLine="0" w:firstLineChars="0"/>
              <w:jc w:val="center"/>
              <w:rPr>
                <w:b/>
                <w:bCs/>
                <w:szCs w:val="32"/>
              </w:rPr>
            </w:pPr>
            <w:r>
              <w:rPr>
                <w:rFonts w:hint="eastAsia"/>
                <w:b/>
                <w:bCs/>
                <w:szCs w:val="32"/>
              </w:rPr>
              <w:t>工艺流程和产排污环节</w:t>
            </w:r>
          </w:p>
        </w:tc>
        <w:tc>
          <w:tcPr>
            <w:tcW w:w="4490" w:type="pct"/>
            <w:vAlign w:val="center"/>
          </w:tcPr>
          <w:p w14:paraId="4E046A86">
            <w:pPr>
              <w:ind w:firstLine="480"/>
            </w:pPr>
            <w:r>
              <w:t>根据项目特点，本项目对环境的影响因素可分为两个阶段，即工程建设施工期和营运期。</w:t>
            </w:r>
          </w:p>
          <w:p w14:paraId="1A778833">
            <w:pPr>
              <w:ind w:firstLine="482"/>
              <w:rPr>
                <w:b/>
                <w:bCs/>
              </w:rPr>
            </w:pPr>
            <w:r>
              <w:rPr>
                <w:rFonts w:hint="eastAsia"/>
                <w:b/>
                <w:bCs/>
              </w:rPr>
              <w:t>一、</w:t>
            </w:r>
            <w:r>
              <w:rPr>
                <w:b/>
                <w:bCs/>
              </w:rPr>
              <w:t>施工期工艺流程及产排污分析</w:t>
            </w:r>
          </w:p>
          <w:p w14:paraId="76B0C71E">
            <w:pPr>
              <w:ind w:firstLine="480"/>
            </w:pPr>
            <w:r>
              <w:rPr>
                <w:rFonts w:hint="eastAsia"/>
              </w:rPr>
              <w:t>本项目位于</w:t>
            </w:r>
            <w:r>
              <w:rPr>
                <w:rFonts w:hint="eastAsia"/>
                <w:szCs w:val="24"/>
              </w:rPr>
              <w:t>大英县经济开发区席家沟村盛马大道中段，</w:t>
            </w:r>
            <w:r>
              <w:t>施工期主要进行基础工程、主体工程、装饰工程及设备安装工程的建设。建设过程中会产生噪声、扬尘、废水、固废等污染物。本项目施工期的工艺流程及产污环节见下图所示</w:t>
            </w:r>
            <w:r>
              <w:rPr>
                <w:kern w:val="0"/>
              </w:rPr>
              <w:t>。</w:t>
            </w:r>
          </w:p>
          <w:p w14:paraId="76D3CBBF">
            <w:pPr>
              <w:ind w:firstLine="0" w:firstLineChars="0"/>
              <w:jc w:val="center"/>
            </w:pPr>
            <w:r>
              <w:rPr>
                <w:rFonts w:hint="eastAsia"/>
              </w:rPr>
              <w:object>
                <v:shape id="_x0000_i1026" o:spt="75" type="#_x0000_t75" style="height:105.75pt;width:384.75pt;" o:ole="t" filled="f" o:preferrelative="t" stroked="f" coordsize="21600,21600">
                  <v:path/>
                  <v:fill on="f" focussize="0,0"/>
                  <v:stroke on="f" joinstyle="miter"/>
                  <v:imagedata r:id="rId19" o:title=""/>
                  <o:lock v:ext="edit" aspectratio="t"/>
                  <w10:wrap type="none"/>
                  <w10:anchorlock/>
                </v:shape>
                <o:OLEObject Type="Embed" ProgID="Visio.Drawing.15" ShapeID="_x0000_i1026" DrawAspect="Content" ObjectID="_1468075726" r:id="rId18">
                  <o:LockedField>false</o:LockedField>
                </o:OLEObject>
              </w:object>
            </w:r>
          </w:p>
          <w:p w14:paraId="363C5659">
            <w:pPr>
              <w:pStyle w:val="83"/>
            </w:pPr>
            <w:r>
              <w:rPr>
                <w:rFonts w:hint="eastAsia"/>
              </w:rPr>
              <w:t>施工期工艺流程图</w:t>
            </w:r>
            <w:r>
              <w:rPr>
                <w:lang w:val="zh-CN"/>
              </w:rPr>
              <w:t>及产污节点图</w:t>
            </w:r>
          </w:p>
          <w:p w14:paraId="43C966D4">
            <w:pPr>
              <w:ind w:firstLine="482"/>
              <w:rPr>
                <w:b/>
                <w:bCs/>
              </w:rPr>
            </w:pPr>
            <w:r>
              <w:rPr>
                <w:b/>
                <w:bCs/>
              </w:rPr>
              <w:t>施工期的工作流程如下：</w:t>
            </w:r>
          </w:p>
          <w:p w14:paraId="207AAC55">
            <w:pPr>
              <w:ind w:firstLine="480"/>
            </w:pPr>
            <w:r>
              <w:rPr>
                <w:rFonts w:hint="eastAsia"/>
              </w:rPr>
              <w:t>（1）</w:t>
            </w:r>
            <w:r>
              <w:t>基础工程</w:t>
            </w:r>
          </w:p>
          <w:p w14:paraId="1D320023">
            <w:pPr>
              <w:ind w:firstLine="480"/>
            </w:pPr>
            <w:r>
              <w:t>在基础开挖、地基处理</w:t>
            </w:r>
            <w:r>
              <w:rPr>
                <w:rFonts w:hint="eastAsia"/>
              </w:rPr>
              <w:t>等</w:t>
            </w:r>
            <w:r>
              <w:t>基础施工时，由于挖土机、运土卡车等施工机械的运行，将产生一定的噪声；同时产生扬尘和工人生活废水；基础开挖引起原有土地利用类型的改变，会造成生态变化并引起一定程度的水土流失。</w:t>
            </w:r>
          </w:p>
          <w:p w14:paraId="223C0E97">
            <w:pPr>
              <w:ind w:firstLine="480"/>
            </w:pPr>
            <w:r>
              <w:rPr>
                <w:rFonts w:hint="eastAsia"/>
              </w:rPr>
              <w:t>（2）</w:t>
            </w:r>
            <w:r>
              <w:t>主体工程</w:t>
            </w:r>
          </w:p>
          <w:p w14:paraId="75088275">
            <w:pPr>
              <w:ind w:firstLine="480"/>
            </w:pPr>
            <w:r>
              <w:t>项目主体工程主要为新建生产车间，辅助工程道路、地面为混凝土结构。施工期将产生卷扬机、钢筋切割机、钢筋弯曲机、电焊机等施工机械的运行噪声；在建渣运输过程中将产生扬尘等环境问题。</w:t>
            </w:r>
          </w:p>
          <w:p w14:paraId="6281A6E8">
            <w:pPr>
              <w:ind w:firstLine="480"/>
            </w:pPr>
            <w:r>
              <w:rPr>
                <w:rFonts w:hint="eastAsia"/>
              </w:rPr>
              <w:t>（3）</w:t>
            </w:r>
            <w:r>
              <w:t>装饰工程</w:t>
            </w:r>
          </w:p>
          <w:p w14:paraId="22ECFB68">
            <w:pPr>
              <w:ind w:firstLine="480"/>
            </w:pPr>
            <w:r>
              <w:t>项目装修过程主要为办公生活设施装饰。</w:t>
            </w:r>
          </w:p>
          <w:p w14:paraId="7875988C">
            <w:pPr>
              <w:ind w:firstLine="480"/>
            </w:pPr>
            <w:r>
              <w:rPr>
                <w:rFonts w:hint="eastAsia"/>
              </w:rPr>
              <w:t>（4）</w:t>
            </w:r>
            <w:r>
              <w:t>设备安装</w:t>
            </w:r>
          </w:p>
          <w:p w14:paraId="526A35E8">
            <w:pPr>
              <w:ind w:firstLine="480"/>
            </w:pPr>
            <w:r>
              <w:t>主要包括</w:t>
            </w:r>
            <w:r>
              <w:rPr>
                <w:rFonts w:hint="eastAsia"/>
              </w:rPr>
              <w:t>生物气质化炉、生物质燃气锅炉</w:t>
            </w:r>
            <w:r>
              <w:t>等设备安装以及配套环保设备安装。</w:t>
            </w:r>
          </w:p>
          <w:p w14:paraId="4FA2F9A5">
            <w:pPr>
              <w:ind w:firstLine="480"/>
            </w:pPr>
            <w:r>
              <w:t>根据对施工期主要产污节点来看，本项目施工期主要以施工扬尘、施工机械废气、装修废气、施工废水、生活污水、施工噪声、建筑废物、生活垃圾等为主要环境影响因素，但上述污染物随施工期的结束而结束</w:t>
            </w:r>
            <w:r>
              <w:rPr>
                <w:rFonts w:hint="eastAsia"/>
              </w:rPr>
              <w:t>，对环境影响较小</w:t>
            </w:r>
            <w:r>
              <w:t>。</w:t>
            </w:r>
          </w:p>
          <w:p w14:paraId="3A500C27">
            <w:pPr>
              <w:ind w:firstLine="482"/>
              <w:rPr>
                <w:b/>
                <w:bCs/>
              </w:rPr>
            </w:pPr>
            <w:r>
              <w:rPr>
                <w:rFonts w:hint="eastAsia"/>
                <w:b/>
                <w:bCs/>
              </w:rPr>
              <w:t>二、运营期</w:t>
            </w:r>
            <w:r>
              <w:rPr>
                <w:b/>
              </w:rPr>
              <w:t>工艺流程及产排污分析</w:t>
            </w:r>
          </w:p>
          <w:p w14:paraId="2BEF0C83">
            <w:pPr>
              <w:ind w:firstLine="480"/>
            </w:pPr>
            <w:r>
              <w:rPr>
                <w:rFonts w:cs="Times New Roman"/>
              </w:rPr>
              <w:t>项目工艺流程及产污位置如下图所示：</w:t>
            </w:r>
          </w:p>
          <w:p w14:paraId="0CBFB6FD">
            <w:pPr>
              <w:ind w:firstLine="0" w:firstLineChars="0"/>
              <w:jc w:val="center"/>
            </w:pPr>
            <w:r>
              <w:rPr>
                <w:rFonts w:hint="eastAsia"/>
              </w:rPr>
              <w:object>
                <v:shape id="_x0000_i1027" o:spt="75" type="#_x0000_t75" style="height:236.25pt;width:399.75pt;" o:ole="t" filled="f" o:preferrelative="t" stroked="f" coordsize="21600,21600">
                  <v:path/>
                  <v:fill on="f" focussize="0,0"/>
                  <v:stroke on="f" joinstyle="miter"/>
                  <v:imagedata r:id="rId21" o:title=""/>
                  <o:lock v:ext="edit" aspectratio="t"/>
                  <w10:wrap type="none"/>
                  <w10:anchorlock/>
                </v:shape>
                <o:OLEObject Type="Embed" ProgID="Visio.Drawing.15" ShapeID="_x0000_i1027" DrawAspect="Content" ObjectID="_1468075727" r:id="rId20">
                  <o:LockedField>false</o:LockedField>
                </o:OLEObject>
              </w:object>
            </w:r>
          </w:p>
          <w:p w14:paraId="31DBC0A2">
            <w:pPr>
              <w:pStyle w:val="83"/>
            </w:pPr>
            <w:r>
              <w:rPr>
                <w:rFonts w:hint="eastAsia"/>
              </w:rPr>
              <w:t>生产工艺流程</w:t>
            </w:r>
          </w:p>
          <w:p w14:paraId="5679CD95">
            <w:pPr>
              <w:ind w:firstLine="482"/>
              <w:rPr>
                <w:b/>
                <w:bCs/>
              </w:rPr>
            </w:pPr>
            <w:r>
              <w:rPr>
                <w:b/>
                <w:bCs/>
              </w:rPr>
              <w:t>工艺流程简述：</w:t>
            </w:r>
          </w:p>
          <w:p w14:paraId="19D0B8F4">
            <w:pPr>
              <w:ind w:firstLine="480"/>
            </w:pPr>
            <w:r>
              <w:rPr>
                <w:rFonts w:hint="eastAsia"/>
              </w:rPr>
              <w:t>（</w:t>
            </w:r>
            <w:r>
              <w:t>1</w:t>
            </w:r>
            <w:r>
              <w:rPr>
                <w:rFonts w:hint="eastAsia"/>
              </w:rPr>
              <w:t>）上料：外购的成品生物质原料（其尺寸约</w:t>
            </w:r>
            <w:r>
              <w:t>20mm~200mm</w:t>
            </w:r>
            <w:r>
              <w:rPr>
                <w:rFonts w:hint="eastAsia"/>
              </w:rPr>
              <w:t>），优先存储在</w:t>
            </w:r>
            <w:r>
              <w:t>2#</w:t>
            </w:r>
            <w:r>
              <w:rPr>
                <w:rFonts w:hint="eastAsia"/>
              </w:rPr>
              <w:t>材料库，</w:t>
            </w:r>
            <w:r>
              <w:t>1#</w:t>
            </w:r>
            <w:r>
              <w:rPr>
                <w:rFonts w:hint="eastAsia"/>
              </w:rPr>
              <w:t>材料库作为备用。生物质原料堆放在密闭的材料库房，生产时，生物质原料在材料库房内由装载机运输至密闭的自动板链上料输送机（进料口位于材料库，出料口位于气化炉顶部）从气化炉顶部送入炉本体内，自上而下完成预热。</w:t>
            </w:r>
          </w:p>
          <w:p w14:paraId="77542AB9">
            <w:pPr>
              <w:ind w:firstLine="480"/>
            </w:pPr>
            <w:r>
              <w:t>（2）气化：生物质原料在气化炉本体中</w:t>
            </w:r>
            <w:r>
              <w:rPr>
                <w:rFonts w:hint="eastAsia"/>
              </w:rPr>
              <w:t>低</w:t>
            </w:r>
            <w:r>
              <w:t>温</w:t>
            </w:r>
            <w:r>
              <w:rPr>
                <w:rFonts w:hint="eastAsia"/>
              </w:rPr>
              <w:t>（</w:t>
            </w:r>
            <w:r>
              <w:t>80~900</w:t>
            </w:r>
            <w:r>
              <w:rPr>
                <w:rFonts w:hint="eastAsia"/>
              </w:rPr>
              <w:t>℃）裂</w:t>
            </w:r>
            <w:r>
              <w:t>解、气化，转变为可燃气体，同时生成碳化物（灰渣），</w:t>
            </w:r>
            <w:r>
              <w:rPr>
                <w:rFonts w:hint="eastAsia"/>
              </w:rPr>
              <w:t>灰渣依靠自重下落到旋转炉排和灰盘上继续燃烧释放热能，</w:t>
            </w:r>
            <w:r>
              <w:t>气化炉气化过程需要使用冷却水降温，冷却水暂存于冷却水箱内，循环使用不外排。</w:t>
            </w:r>
            <w:r>
              <w:rPr>
                <w:rFonts w:hint="eastAsia"/>
              </w:rPr>
              <w:t>当灰渣累计到预定高度后通过灰渣溢流口自动排除。</w:t>
            </w:r>
          </w:p>
          <w:p w14:paraId="746DF276">
            <w:pPr>
              <w:ind w:firstLine="482"/>
              <w:rPr>
                <w:b/>
                <w:bCs/>
              </w:rPr>
            </w:pPr>
            <w:r>
              <w:rPr>
                <w:b/>
                <w:bCs/>
              </w:rPr>
              <w:t>生物质气化原理：</w:t>
            </w:r>
          </w:p>
          <w:p w14:paraId="72F80359">
            <w:pPr>
              <w:ind w:firstLine="480"/>
            </w:pPr>
            <w:r>
              <w:t>生物质燃料中的碳元素质量分数为</w:t>
            </w:r>
            <w:r>
              <w:rPr>
                <w:rFonts w:hint="eastAsia"/>
              </w:rPr>
              <w:t>40%~50%</w:t>
            </w:r>
            <w:r>
              <w:t>，同时还含有氢、氧、氮及无机成分如钾、钠、钙、硅等，这些元素在缺氧条件下加热，使之发生复杂的热化学反应热能转化过程，此过程实质是生物质燃料中的碳、氢、氧等元素在反应条件下按照化学键的成键原理，变成一氧化碳、甲烷、氢气等可燃气体。</w:t>
            </w:r>
          </w:p>
          <w:p w14:paraId="2FA56F2F">
            <w:pPr>
              <w:ind w:firstLine="480"/>
            </w:pPr>
            <w:r>
              <w:t>空气由气化炉的底部进入，与热灰渣进行换热，进入气化炉底部的氧化区与高温碳料燃烧产热，氧化层在1000℃以上。CO</w:t>
            </w:r>
            <w:r>
              <w:rPr>
                <w:vertAlign w:val="subscript"/>
              </w:rPr>
              <w:t>2</w:t>
            </w:r>
            <w:r>
              <w:t>、H</w:t>
            </w:r>
            <w:r>
              <w:rPr>
                <w:vertAlign w:val="subscript"/>
              </w:rPr>
              <w:t>2</w:t>
            </w:r>
            <w:r>
              <w:t>O等升到还原层遇到下行的高温碳发生还原反应形成燃气，温度降低至700-900℃。热解层物料被热气流加热热解，析出挥发分，固体碳下落。热气流到干燥层烘干物料后降温到</w:t>
            </w:r>
            <w:r>
              <w:rPr>
                <w:rFonts w:hint="eastAsia"/>
              </w:rPr>
              <w:t>150</w:t>
            </w:r>
            <w:r>
              <w:t>℃以下进入锅炉。</w:t>
            </w:r>
          </w:p>
          <w:p w14:paraId="78A72FAB">
            <w:pPr>
              <w:ind w:firstLine="480"/>
            </w:pPr>
            <w:r>
              <w:t>生物质燃料从炉顶进料口进入炉内，随着物料气块位置下降，气化炉内部温度不断上升，物料进行着复杂的热分解，析出不同馏分的挥发份，直到900℃以上基本结束。气化炉的氧化区和还原区为气化反应的主要场所，而热解区和干燥区为燃料的准备场所，气化形成的可燃气从下往上经过气化炉是将热量传递给待气化的生物质，用于生物质的热分解和干燥，同时降低燃气的自身温度副产物焦油在高温时呈气态，与生物质燃气一起进入燃气锅炉，因此项目无焦油产生，亦无挥发性有机物VOCs外排。</w:t>
            </w:r>
          </w:p>
          <w:p w14:paraId="40DCABE8">
            <w:pPr>
              <w:ind w:firstLine="0" w:firstLineChars="0"/>
              <w:jc w:val="center"/>
            </w:pPr>
            <w:r>
              <w:drawing>
                <wp:inline distT="0" distB="0" distL="114300" distR="114300">
                  <wp:extent cx="4764405" cy="2543810"/>
                  <wp:effectExtent l="0" t="0" r="0" b="889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pic:cNvPicPr>
                            <a:picLocks noChangeAspect="1"/>
                          </pic:cNvPicPr>
                        </pic:nvPicPr>
                        <pic:blipFill>
                          <a:blip r:embed="rId22"/>
                          <a:stretch>
                            <a:fillRect/>
                          </a:stretch>
                        </pic:blipFill>
                        <pic:spPr>
                          <a:xfrm>
                            <a:off x="0" y="0"/>
                            <a:ext cx="4767459" cy="2545813"/>
                          </a:xfrm>
                          <a:prstGeom prst="rect">
                            <a:avLst/>
                          </a:prstGeom>
                          <a:noFill/>
                          <a:ln>
                            <a:noFill/>
                          </a:ln>
                        </pic:spPr>
                      </pic:pic>
                    </a:graphicData>
                  </a:graphic>
                </wp:inline>
              </w:drawing>
            </w:r>
          </w:p>
          <w:p w14:paraId="6CBBB5A0">
            <w:pPr>
              <w:pStyle w:val="83"/>
            </w:pPr>
            <w:r>
              <w:t>生物质气化过程示意图</w:t>
            </w:r>
          </w:p>
          <w:p w14:paraId="7833ACDD">
            <w:pPr>
              <w:pStyle w:val="35"/>
              <w:numPr>
                <w:ilvl w:val="0"/>
                <w:numId w:val="0"/>
              </w:numPr>
              <w:jc w:val="both"/>
            </w:pPr>
            <w:r>
              <w:rPr>
                <w:rFonts w:hint="eastAsia"/>
              </w:rPr>
              <w:object>
                <v:shape id="_x0000_i1028" o:spt="75" type="#_x0000_t75" style="height:96pt;width:395.25pt;" o:ole="t" filled="f" o:preferrelative="t" stroked="f" coordsize="21600,21600">
                  <v:path/>
                  <v:fill on="f" focussize="0,0"/>
                  <v:stroke on="f" joinstyle="miter"/>
                  <v:imagedata r:id="rId24" o:title=""/>
                  <o:lock v:ext="edit" aspectratio="t"/>
                  <w10:wrap type="none"/>
                  <w10:anchorlock/>
                </v:shape>
                <o:OLEObject Type="Embed" ProgID="Visio.Drawing.15" ShapeID="_x0000_i1028" DrawAspect="Content" ObjectID="_1468075728" r:id="rId23">
                  <o:LockedField>false</o:LockedField>
                </o:OLEObject>
              </w:object>
            </w:r>
          </w:p>
          <w:p w14:paraId="717B904B">
            <w:pPr>
              <w:pStyle w:val="83"/>
            </w:pPr>
            <w:r>
              <w:rPr>
                <w:rFonts w:hint="eastAsia"/>
              </w:rPr>
              <w:t>生物质气化炉与生物质燃气锅炉的关系示意图</w:t>
            </w:r>
          </w:p>
          <w:p w14:paraId="2C5B90BF">
            <w:pPr>
              <w:ind w:firstLine="480"/>
            </w:pPr>
            <w:r>
              <w:t>（3）燃烧：燃烧机将生物质气与锅炉</w:t>
            </w:r>
            <w:r>
              <w:rPr>
                <w:rFonts w:hint="eastAsia"/>
              </w:rPr>
              <w:t>鼓风机</w:t>
            </w:r>
            <w:r>
              <w:t>引来的</w:t>
            </w:r>
            <w:r>
              <w:rPr>
                <w:rFonts w:hint="eastAsia"/>
              </w:rPr>
              <w:t>空气</w:t>
            </w:r>
            <w:r>
              <w:t>充分混合后送入锅炉底部燃烧室。用高能电子点火器引燃生物质气燃烧释放出大量热能而被布置在燃烧室内壁的模式鳍片水冷壁内流动的炉水吸收，炉水经吸热而升温升压就生产为压力</w:t>
            </w:r>
            <w:r>
              <w:rPr>
                <w:rFonts w:hint="eastAsia"/>
              </w:rPr>
              <w:t>1.6</w:t>
            </w:r>
            <w:r>
              <w:t>MPa温度</w:t>
            </w:r>
            <w:r>
              <w:rPr>
                <w:rFonts w:hint="eastAsia"/>
              </w:rPr>
              <w:t>260</w:t>
            </w:r>
            <w:r>
              <w:t>℃的饱和蒸汽，通过分气缸供企业使用。此过程为自动燃烧，作业人员于控制室内控制参数，对设备仅进行巡视管理作业。</w:t>
            </w:r>
          </w:p>
          <w:p w14:paraId="4FCCC0D5">
            <w:pPr>
              <w:ind w:firstLine="480"/>
            </w:pPr>
            <w:r>
              <w:t>项目主要污染工序及污染因子如下表所示。</w:t>
            </w:r>
          </w:p>
          <w:p w14:paraId="7D0E9639">
            <w:pPr>
              <w:pStyle w:val="29"/>
            </w:pPr>
            <w:r>
              <w:t>主要污染工序一览表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58"/>
              <w:gridCol w:w="1092"/>
              <w:gridCol w:w="1600"/>
              <w:gridCol w:w="2084"/>
              <w:gridCol w:w="2775"/>
            </w:tblGrid>
            <w:tr w14:paraId="47AC0D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968" w:type="pct"/>
                  <w:gridSpan w:val="2"/>
                  <w:vAlign w:val="center"/>
                </w:tcPr>
                <w:p w14:paraId="33A609A9">
                  <w:pPr>
                    <w:pStyle w:val="58"/>
                    <w:jc w:val="center"/>
                  </w:pPr>
                  <w:r>
                    <w:t>主要污染源</w:t>
                  </w:r>
                </w:p>
              </w:tc>
              <w:tc>
                <w:tcPr>
                  <w:tcW w:w="999" w:type="pct"/>
                  <w:vAlign w:val="center"/>
                </w:tcPr>
                <w:p w14:paraId="03CD631A">
                  <w:pPr>
                    <w:pStyle w:val="58"/>
                    <w:jc w:val="center"/>
                  </w:pPr>
                  <w:r>
                    <w:t>来源</w:t>
                  </w:r>
                </w:p>
              </w:tc>
              <w:tc>
                <w:tcPr>
                  <w:tcW w:w="1301" w:type="pct"/>
                  <w:vAlign w:val="center"/>
                </w:tcPr>
                <w:p w14:paraId="795F9397">
                  <w:pPr>
                    <w:pStyle w:val="58"/>
                    <w:jc w:val="center"/>
                  </w:pPr>
                  <w:r>
                    <w:t>污染物名称</w:t>
                  </w:r>
                </w:p>
              </w:tc>
              <w:tc>
                <w:tcPr>
                  <w:tcW w:w="1732" w:type="pct"/>
                  <w:vAlign w:val="center"/>
                </w:tcPr>
                <w:p w14:paraId="62ADFC11">
                  <w:pPr>
                    <w:pStyle w:val="58"/>
                    <w:jc w:val="center"/>
                  </w:pPr>
                  <w:r>
                    <w:t>排放方式</w:t>
                  </w:r>
                </w:p>
              </w:tc>
            </w:tr>
            <w:tr w14:paraId="1BC34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286" w:type="pct"/>
                  <w:vMerge w:val="restart"/>
                  <w:vAlign w:val="center"/>
                </w:tcPr>
                <w:p w14:paraId="2E9DA504">
                  <w:pPr>
                    <w:pStyle w:val="58"/>
                    <w:jc w:val="center"/>
                    <w:rPr>
                      <w:b w:val="0"/>
                      <w:bCs w:val="0"/>
                    </w:rPr>
                  </w:pPr>
                  <w:r>
                    <w:rPr>
                      <w:b w:val="0"/>
                      <w:bCs w:val="0"/>
                    </w:rPr>
                    <w:t>营</w:t>
                  </w:r>
                </w:p>
                <w:p w14:paraId="70D06557">
                  <w:pPr>
                    <w:pStyle w:val="58"/>
                    <w:jc w:val="center"/>
                    <w:rPr>
                      <w:b w:val="0"/>
                      <w:bCs w:val="0"/>
                    </w:rPr>
                  </w:pPr>
                  <w:r>
                    <w:rPr>
                      <w:b w:val="0"/>
                      <w:bCs w:val="0"/>
                    </w:rPr>
                    <w:t>运</w:t>
                  </w:r>
                </w:p>
                <w:p w14:paraId="05CCA11C">
                  <w:pPr>
                    <w:pStyle w:val="58"/>
                    <w:jc w:val="center"/>
                    <w:rPr>
                      <w:b w:val="0"/>
                      <w:bCs w:val="0"/>
                    </w:rPr>
                  </w:pPr>
                  <w:r>
                    <w:rPr>
                      <w:b w:val="0"/>
                      <w:bCs w:val="0"/>
                    </w:rPr>
                    <w:t>期</w:t>
                  </w:r>
                </w:p>
              </w:tc>
              <w:tc>
                <w:tcPr>
                  <w:tcW w:w="682" w:type="pct"/>
                  <w:vMerge w:val="restart"/>
                  <w:vAlign w:val="center"/>
                </w:tcPr>
                <w:p w14:paraId="164D753C">
                  <w:pPr>
                    <w:pStyle w:val="58"/>
                    <w:jc w:val="center"/>
                    <w:rPr>
                      <w:b w:val="0"/>
                      <w:bCs w:val="0"/>
                    </w:rPr>
                  </w:pPr>
                  <w:r>
                    <w:rPr>
                      <w:b w:val="0"/>
                      <w:bCs w:val="0"/>
                    </w:rPr>
                    <w:t>废气</w:t>
                  </w:r>
                </w:p>
              </w:tc>
              <w:tc>
                <w:tcPr>
                  <w:tcW w:w="999" w:type="pct"/>
                  <w:vAlign w:val="center"/>
                </w:tcPr>
                <w:p w14:paraId="34972BE8">
                  <w:pPr>
                    <w:pStyle w:val="58"/>
                    <w:jc w:val="center"/>
                    <w:rPr>
                      <w:b w:val="0"/>
                      <w:bCs w:val="0"/>
                    </w:rPr>
                  </w:pPr>
                  <w:r>
                    <w:rPr>
                      <w:rFonts w:hint="eastAsia"/>
                      <w:b w:val="0"/>
                      <w:bCs w:val="0"/>
                    </w:rPr>
                    <w:t>生物质燃料储存</w:t>
                  </w:r>
                </w:p>
              </w:tc>
              <w:tc>
                <w:tcPr>
                  <w:tcW w:w="1301" w:type="pct"/>
                  <w:vAlign w:val="center"/>
                </w:tcPr>
                <w:p w14:paraId="267C2419">
                  <w:pPr>
                    <w:pStyle w:val="58"/>
                    <w:jc w:val="center"/>
                    <w:rPr>
                      <w:b w:val="0"/>
                      <w:bCs w:val="0"/>
                    </w:rPr>
                  </w:pPr>
                  <w:r>
                    <w:rPr>
                      <w:rFonts w:hint="eastAsia"/>
                      <w:b w:val="0"/>
                      <w:bCs w:val="0"/>
                    </w:rPr>
                    <w:t>颗粒物</w:t>
                  </w:r>
                </w:p>
              </w:tc>
              <w:tc>
                <w:tcPr>
                  <w:tcW w:w="1732" w:type="pct"/>
                  <w:tcMar>
                    <w:top w:w="0" w:type="dxa"/>
                    <w:left w:w="0" w:type="dxa"/>
                    <w:bottom w:w="0" w:type="dxa"/>
                    <w:right w:w="0" w:type="dxa"/>
                  </w:tcMar>
                  <w:vAlign w:val="center"/>
                </w:tcPr>
                <w:p w14:paraId="03818B22">
                  <w:pPr>
                    <w:pStyle w:val="58"/>
                    <w:jc w:val="center"/>
                    <w:rPr>
                      <w:b w:val="0"/>
                      <w:bCs w:val="0"/>
                    </w:rPr>
                  </w:pPr>
                  <w:r>
                    <w:rPr>
                      <w:rFonts w:hint="eastAsia"/>
                      <w:b w:val="0"/>
                      <w:bCs w:val="0"/>
                    </w:rPr>
                    <w:t>无组织</w:t>
                  </w:r>
                </w:p>
              </w:tc>
            </w:tr>
            <w:tr w14:paraId="2D528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286" w:type="pct"/>
                  <w:vMerge w:val="continue"/>
                  <w:vAlign w:val="center"/>
                </w:tcPr>
                <w:p w14:paraId="2D57017C">
                  <w:pPr>
                    <w:pStyle w:val="58"/>
                    <w:jc w:val="center"/>
                    <w:rPr>
                      <w:b w:val="0"/>
                      <w:bCs w:val="0"/>
                    </w:rPr>
                  </w:pPr>
                </w:p>
              </w:tc>
              <w:tc>
                <w:tcPr>
                  <w:tcW w:w="682" w:type="pct"/>
                  <w:vMerge w:val="continue"/>
                  <w:vAlign w:val="center"/>
                </w:tcPr>
                <w:p w14:paraId="7DE0B0C2">
                  <w:pPr>
                    <w:pStyle w:val="58"/>
                    <w:jc w:val="center"/>
                    <w:rPr>
                      <w:b w:val="0"/>
                      <w:bCs w:val="0"/>
                    </w:rPr>
                  </w:pPr>
                </w:p>
              </w:tc>
              <w:tc>
                <w:tcPr>
                  <w:tcW w:w="999" w:type="pct"/>
                  <w:vAlign w:val="center"/>
                </w:tcPr>
                <w:p w14:paraId="2FEA03F4">
                  <w:pPr>
                    <w:pStyle w:val="58"/>
                    <w:jc w:val="center"/>
                    <w:rPr>
                      <w:b w:val="0"/>
                      <w:bCs w:val="0"/>
                    </w:rPr>
                  </w:pPr>
                  <w:r>
                    <w:rPr>
                      <w:rFonts w:hint="eastAsia"/>
                      <w:b w:val="0"/>
                      <w:bCs w:val="0"/>
                    </w:rPr>
                    <w:t>生物质燃料上料</w:t>
                  </w:r>
                </w:p>
              </w:tc>
              <w:tc>
                <w:tcPr>
                  <w:tcW w:w="1301" w:type="pct"/>
                  <w:vAlign w:val="center"/>
                </w:tcPr>
                <w:p w14:paraId="3FA67CAF">
                  <w:pPr>
                    <w:pStyle w:val="58"/>
                    <w:jc w:val="center"/>
                    <w:rPr>
                      <w:b w:val="0"/>
                      <w:bCs w:val="0"/>
                    </w:rPr>
                  </w:pPr>
                  <w:r>
                    <w:rPr>
                      <w:rFonts w:hint="eastAsia"/>
                      <w:b w:val="0"/>
                      <w:bCs w:val="0"/>
                    </w:rPr>
                    <w:t>颗粒物</w:t>
                  </w:r>
                </w:p>
              </w:tc>
              <w:tc>
                <w:tcPr>
                  <w:tcW w:w="1732" w:type="pct"/>
                  <w:tcMar>
                    <w:top w:w="0" w:type="dxa"/>
                    <w:left w:w="0" w:type="dxa"/>
                    <w:bottom w:w="0" w:type="dxa"/>
                    <w:right w:w="0" w:type="dxa"/>
                  </w:tcMar>
                  <w:vAlign w:val="center"/>
                </w:tcPr>
                <w:p w14:paraId="710A25A1">
                  <w:pPr>
                    <w:pStyle w:val="58"/>
                    <w:jc w:val="center"/>
                    <w:rPr>
                      <w:b w:val="0"/>
                      <w:bCs w:val="0"/>
                    </w:rPr>
                  </w:pPr>
                  <w:r>
                    <w:rPr>
                      <w:rFonts w:hint="eastAsia"/>
                      <w:b w:val="0"/>
                      <w:bCs w:val="0"/>
                    </w:rPr>
                    <w:t>无组织</w:t>
                  </w:r>
                </w:p>
              </w:tc>
            </w:tr>
            <w:tr w14:paraId="0CF1CA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86" w:type="pct"/>
                  <w:vMerge w:val="continue"/>
                  <w:vAlign w:val="center"/>
                </w:tcPr>
                <w:p w14:paraId="52E2CE19">
                  <w:pPr>
                    <w:pStyle w:val="58"/>
                    <w:jc w:val="center"/>
                    <w:rPr>
                      <w:b w:val="0"/>
                      <w:bCs w:val="0"/>
                    </w:rPr>
                  </w:pPr>
                </w:p>
              </w:tc>
              <w:tc>
                <w:tcPr>
                  <w:tcW w:w="682" w:type="pct"/>
                  <w:vMerge w:val="continue"/>
                  <w:vAlign w:val="center"/>
                </w:tcPr>
                <w:p w14:paraId="6209895E">
                  <w:pPr>
                    <w:pStyle w:val="58"/>
                    <w:jc w:val="center"/>
                    <w:rPr>
                      <w:b w:val="0"/>
                      <w:bCs w:val="0"/>
                    </w:rPr>
                  </w:pPr>
                </w:p>
              </w:tc>
              <w:tc>
                <w:tcPr>
                  <w:tcW w:w="999" w:type="pct"/>
                  <w:vAlign w:val="center"/>
                </w:tcPr>
                <w:p w14:paraId="22E7D7C2">
                  <w:pPr>
                    <w:pStyle w:val="58"/>
                    <w:jc w:val="center"/>
                    <w:rPr>
                      <w:b w:val="0"/>
                      <w:bCs w:val="0"/>
                    </w:rPr>
                  </w:pPr>
                  <w:r>
                    <w:rPr>
                      <w:rFonts w:hint="eastAsia"/>
                      <w:b w:val="0"/>
                      <w:bCs w:val="0"/>
                    </w:rPr>
                    <w:t>锅炉废气</w:t>
                  </w:r>
                </w:p>
              </w:tc>
              <w:tc>
                <w:tcPr>
                  <w:tcW w:w="1301" w:type="pct"/>
                  <w:vAlign w:val="center"/>
                </w:tcPr>
                <w:p w14:paraId="334CE393">
                  <w:pPr>
                    <w:pStyle w:val="58"/>
                    <w:jc w:val="center"/>
                    <w:rPr>
                      <w:b w:val="0"/>
                      <w:bCs w:val="0"/>
                    </w:rPr>
                  </w:pPr>
                  <w:r>
                    <w:rPr>
                      <w:rFonts w:hint="eastAsia"/>
                      <w:b w:val="0"/>
                      <w:bCs w:val="0"/>
                    </w:rPr>
                    <w:t>SO</w:t>
                  </w:r>
                  <w:r>
                    <w:rPr>
                      <w:rFonts w:hint="eastAsia"/>
                      <w:b w:val="0"/>
                      <w:bCs w:val="0"/>
                      <w:vertAlign w:val="subscript"/>
                    </w:rPr>
                    <w:t>2</w:t>
                  </w:r>
                  <w:r>
                    <w:rPr>
                      <w:rFonts w:hint="eastAsia"/>
                      <w:b w:val="0"/>
                      <w:bCs w:val="0"/>
                    </w:rPr>
                    <w:t>、NOx、颗粒物</w:t>
                  </w:r>
                </w:p>
              </w:tc>
              <w:tc>
                <w:tcPr>
                  <w:tcW w:w="1732" w:type="pct"/>
                  <w:tcMar>
                    <w:top w:w="0" w:type="dxa"/>
                    <w:left w:w="0" w:type="dxa"/>
                    <w:bottom w:w="0" w:type="dxa"/>
                    <w:right w:w="0" w:type="dxa"/>
                  </w:tcMar>
                  <w:vAlign w:val="center"/>
                </w:tcPr>
                <w:p w14:paraId="27C35DCA">
                  <w:pPr>
                    <w:pStyle w:val="58"/>
                    <w:jc w:val="center"/>
                    <w:rPr>
                      <w:b w:val="0"/>
                      <w:bCs w:val="0"/>
                    </w:rPr>
                  </w:pPr>
                  <w:r>
                    <w:rPr>
                      <w:rFonts w:hint="eastAsia"/>
                      <w:b w:val="0"/>
                      <w:bCs w:val="0"/>
                    </w:rPr>
                    <w:t>有组织</w:t>
                  </w:r>
                </w:p>
              </w:tc>
            </w:tr>
            <w:tr w14:paraId="24B988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86" w:type="pct"/>
                  <w:vMerge w:val="continue"/>
                  <w:vAlign w:val="center"/>
                </w:tcPr>
                <w:p w14:paraId="32F73777">
                  <w:pPr>
                    <w:pStyle w:val="58"/>
                    <w:jc w:val="center"/>
                    <w:rPr>
                      <w:b w:val="0"/>
                      <w:bCs w:val="0"/>
                    </w:rPr>
                  </w:pPr>
                </w:p>
              </w:tc>
              <w:tc>
                <w:tcPr>
                  <w:tcW w:w="682" w:type="pct"/>
                  <w:vMerge w:val="restart"/>
                  <w:vAlign w:val="center"/>
                </w:tcPr>
                <w:p w14:paraId="511793D1">
                  <w:pPr>
                    <w:pStyle w:val="58"/>
                    <w:jc w:val="center"/>
                    <w:rPr>
                      <w:b w:val="0"/>
                      <w:bCs w:val="0"/>
                    </w:rPr>
                  </w:pPr>
                  <w:r>
                    <w:rPr>
                      <w:b w:val="0"/>
                      <w:bCs w:val="0"/>
                    </w:rPr>
                    <w:t>废水</w:t>
                  </w:r>
                </w:p>
              </w:tc>
              <w:tc>
                <w:tcPr>
                  <w:tcW w:w="999" w:type="pct"/>
                  <w:vAlign w:val="center"/>
                </w:tcPr>
                <w:p w14:paraId="108E8CA0">
                  <w:pPr>
                    <w:pStyle w:val="58"/>
                    <w:jc w:val="center"/>
                    <w:rPr>
                      <w:b w:val="0"/>
                      <w:bCs w:val="0"/>
                    </w:rPr>
                  </w:pPr>
                  <w:r>
                    <w:rPr>
                      <w:rFonts w:hint="eastAsia"/>
                      <w:b w:val="0"/>
                      <w:bCs w:val="0"/>
                    </w:rPr>
                    <w:t>生活污水</w:t>
                  </w:r>
                </w:p>
              </w:tc>
              <w:tc>
                <w:tcPr>
                  <w:tcW w:w="1301" w:type="pct"/>
                  <w:vAlign w:val="center"/>
                </w:tcPr>
                <w:p w14:paraId="47B5857B">
                  <w:pPr>
                    <w:pStyle w:val="58"/>
                    <w:jc w:val="center"/>
                    <w:rPr>
                      <w:b w:val="0"/>
                      <w:bCs w:val="0"/>
                    </w:rPr>
                  </w:pPr>
                  <w:r>
                    <w:rPr>
                      <w:b w:val="0"/>
                      <w:bCs w:val="0"/>
                    </w:rPr>
                    <w:t>CODcr、BOD</w:t>
                  </w:r>
                  <w:r>
                    <w:rPr>
                      <w:b w:val="0"/>
                      <w:bCs w:val="0"/>
                      <w:vertAlign w:val="subscript"/>
                    </w:rPr>
                    <w:t>5</w:t>
                  </w:r>
                  <w:r>
                    <w:rPr>
                      <w:b w:val="0"/>
                      <w:bCs w:val="0"/>
                    </w:rPr>
                    <w:t>、SS、NH</w:t>
                  </w:r>
                  <w:r>
                    <w:rPr>
                      <w:b w:val="0"/>
                      <w:bCs w:val="0"/>
                      <w:vertAlign w:val="subscript"/>
                    </w:rPr>
                    <w:t>3</w:t>
                  </w:r>
                  <w:r>
                    <w:rPr>
                      <w:b w:val="0"/>
                      <w:bCs w:val="0"/>
                    </w:rPr>
                    <w:t>-N</w:t>
                  </w:r>
                </w:p>
              </w:tc>
              <w:tc>
                <w:tcPr>
                  <w:tcW w:w="1732" w:type="pct"/>
                  <w:vAlign w:val="center"/>
                </w:tcPr>
                <w:p w14:paraId="19CE91BC">
                  <w:pPr>
                    <w:pStyle w:val="58"/>
                    <w:jc w:val="center"/>
                    <w:rPr>
                      <w:b w:val="0"/>
                      <w:bCs w:val="0"/>
                    </w:rPr>
                  </w:pPr>
                  <w:r>
                    <w:rPr>
                      <w:b w:val="0"/>
                      <w:bCs w:val="0"/>
                    </w:rPr>
                    <w:t>排入</w:t>
                  </w:r>
                  <w:r>
                    <w:rPr>
                      <w:rFonts w:hint="eastAsia"/>
                      <w:b w:val="0"/>
                      <w:bCs w:val="0"/>
                    </w:rPr>
                    <w:t>园区污水处理厂</w:t>
                  </w:r>
                </w:p>
              </w:tc>
            </w:tr>
            <w:tr w14:paraId="73E4D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86" w:type="pct"/>
                  <w:vMerge w:val="continue"/>
                  <w:vAlign w:val="center"/>
                </w:tcPr>
                <w:p w14:paraId="7CC20074">
                  <w:pPr>
                    <w:pStyle w:val="58"/>
                    <w:jc w:val="center"/>
                    <w:rPr>
                      <w:b w:val="0"/>
                      <w:bCs w:val="0"/>
                    </w:rPr>
                  </w:pPr>
                </w:p>
              </w:tc>
              <w:tc>
                <w:tcPr>
                  <w:tcW w:w="682" w:type="pct"/>
                  <w:vMerge w:val="continue"/>
                  <w:vAlign w:val="center"/>
                </w:tcPr>
                <w:p w14:paraId="39985621">
                  <w:pPr>
                    <w:pStyle w:val="58"/>
                    <w:jc w:val="center"/>
                    <w:rPr>
                      <w:b w:val="0"/>
                      <w:bCs w:val="0"/>
                    </w:rPr>
                  </w:pPr>
                </w:p>
              </w:tc>
              <w:tc>
                <w:tcPr>
                  <w:tcW w:w="999" w:type="pct"/>
                  <w:vAlign w:val="center"/>
                </w:tcPr>
                <w:p w14:paraId="242D10B9">
                  <w:pPr>
                    <w:pStyle w:val="58"/>
                    <w:jc w:val="center"/>
                    <w:rPr>
                      <w:b w:val="0"/>
                      <w:bCs w:val="0"/>
                    </w:rPr>
                  </w:pPr>
                  <w:r>
                    <w:rPr>
                      <w:rFonts w:hint="eastAsia"/>
                      <w:b w:val="0"/>
                      <w:bCs w:val="0"/>
                    </w:rPr>
                    <w:t>锅炉排污水</w:t>
                  </w:r>
                </w:p>
              </w:tc>
              <w:tc>
                <w:tcPr>
                  <w:tcW w:w="1301" w:type="pct"/>
                  <w:vAlign w:val="center"/>
                </w:tcPr>
                <w:p w14:paraId="6FE74FC9">
                  <w:pPr>
                    <w:pStyle w:val="58"/>
                    <w:jc w:val="center"/>
                    <w:rPr>
                      <w:b w:val="0"/>
                      <w:bCs w:val="0"/>
                    </w:rPr>
                  </w:pPr>
                  <w:r>
                    <w:rPr>
                      <w:rFonts w:hint="eastAsia"/>
                      <w:b w:val="0"/>
                      <w:bCs w:val="0"/>
                    </w:rPr>
                    <w:t>/</w:t>
                  </w:r>
                </w:p>
              </w:tc>
              <w:tc>
                <w:tcPr>
                  <w:tcW w:w="1732" w:type="pct"/>
                  <w:vMerge w:val="restart"/>
                  <w:vAlign w:val="center"/>
                </w:tcPr>
                <w:p w14:paraId="17ECD645">
                  <w:pPr>
                    <w:pStyle w:val="58"/>
                    <w:jc w:val="center"/>
                    <w:rPr>
                      <w:b w:val="0"/>
                      <w:bCs w:val="0"/>
                    </w:rPr>
                  </w:pPr>
                  <w:r>
                    <w:rPr>
                      <w:rFonts w:hint="eastAsia"/>
                      <w:b w:val="0"/>
                      <w:bCs w:val="0"/>
                    </w:rPr>
                    <w:t>用于厂区绿化、除尘设备用水等，无法利用的排入园区污水处理厂</w:t>
                  </w:r>
                </w:p>
              </w:tc>
            </w:tr>
            <w:tr w14:paraId="73203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86" w:type="pct"/>
                  <w:vMerge w:val="continue"/>
                  <w:vAlign w:val="center"/>
                </w:tcPr>
                <w:p w14:paraId="2E5DE698">
                  <w:pPr>
                    <w:pStyle w:val="58"/>
                    <w:jc w:val="center"/>
                    <w:rPr>
                      <w:b w:val="0"/>
                      <w:bCs w:val="0"/>
                    </w:rPr>
                  </w:pPr>
                </w:p>
              </w:tc>
              <w:tc>
                <w:tcPr>
                  <w:tcW w:w="682" w:type="pct"/>
                  <w:vMerge w:val="continue"/>
                  <w:vAlign w:val="center"/>
                </w:tcPr>
                <w:p w14:paraId="6364338D">
                  <w:pPr>
                    <w:pStyle w:val="58"/>
                    <w:jc w:val="center"/>
                    <w:rPr>
                      <w:b w:val="0"/>
                      <w:bCs w:val="0"/>
                    </w:rPr>
                  </w:pPr>
                </w:p>
              </w:tc>
              <w:tc>
                <w:tcPr>
                  <w:tcW w:w="999" w:type="pct"/>
                  <w:vAlign w:val="center"/>
                </w:tcPr>
                <w:p w14:paraId="161A9C5D">
                  <w:pPr>
                    <w:pStyle w:val="58"/>
                    <w:jc w:val="center"/>
                    <w:rPr>
                      <w:b w:val="0"/>
                      <w:bCs w:val="0"/>
                    </w:rPr>
                  </w:pPr>
                  <w:r>
                    <w:rPr>
                      <w:rFonts w:hint="eastAsia"/>
                      <w:b w:val="0"/>
                      <w:bCs w:val="0"/>
                    </w:rPr>
                    <w:t>气化冷却用水</w:t>
                  </w:r>
                </w:p>
              </w:tc>
              <w:tc>
                <w:tcPr>
                  <w:tcW w:w="1301" w:type="pct"/>
                  <w:vAlign w:val="center"/>
                </w:tcPr>
                <w:p w14:paraId="15ED6418">
                  <w:pPr>
                    <w:pStyle w:val="58"/>
                    <w:jc w:val="center"/>
                    <w:rPr>
                      <w:b w:val="0"/>
                      <w:bCs w:val="0"/>
                    </w:rPr>
                  </w:pPr>
                  <w:r>
                    <w:rPr>
                      <w:rFonts w:hint="eastAsia"/>
                      <w:b w:val="0"/>
                      <w:bCs w:val="0"/>
                    </w:rPr>
                    <w:t>/</w:t>
                  </w:r>
                </w:p>
              </w:tc>
              <w:tc>
                <w:tcPr>
                  <w:tcW w:w="1732" w:type="pct"/>
                  <w:vMerge w:val="continue"/>
                  <w:vAlign w:val="center"/>
                </w:tcPr>
                <w:p w14:paraId="4F25AB0F">
                  <w:pPr>
                    <w:pStyle w:val="58"/>
                    <w:jc w:val="center"/>
                    <w:rPr>
                      <w:b w:val="0"/>
                      <w:bCs w:val="0"/>
                    </w:rPr>
                  </w:pPr>
                </w:p>
              </w:tc>
            </w:tr>
            <w:tr w14:paraId="209B3F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86" w:type="pct"/>
                  <w:vMerge w:val="continue"/>
                  <w:vAlign w:val="center"/>
                </w:tcPr>
                <w:p w14:paraId="36D43847">
                  <w:pPr>
                    <w:pStyle w:val="58"/>
                    <w:jc w:val="center"/>
                    <w:rPr>
                      <w:b w:val="0"/>
                      <w:bCs w:val="0"/>
                    </w:rPr>
                  </w:pPr>
                </w:p>
              </w:tc>
              <w:tc>
                <w:tcPr>
                  <w:tcW w:w="682" w:type="pct"/>
                  <w:vMerge w:val="continue"/>
                  <w:vAlign w:val="center"/>
                </w:tcPr>
                <w:p w14:paraId="067FDA22">
                  <w:pPr>
                    <w:pStyle w:val="58"/>
                    <w:jc w:val="center"/>
                    <w:rPr>
                      <w:b w:val="0"/>
                      <w:bCs w:val="0"/>
                    </w:rPr>
                  </w:pPr>
                </w:p>
              </w:tc>
              <w:tc>
                <w:tcPr>
                  <w:tcW w:w="999" w:type="pct"/>
                  <w:vAlign w:val="center"/>
                </w:tcPr>
                <w:p w14:paraId="71DFF1C3">
                  <w:pPr>
                    <w:pStyle w:val="58"/>
                    <w:jc w:val="center"/>
                    <w:rPr>
                      <w:b w:val="0"/>
                      <w:bCs w:val="0"/>
                    </w:rPr>
                  </w:pPr>
                  <w:r>
                    <w:rPr>
                      <w:rFonts w:hint="eastAsia"/>
                      <w:b w:val="0"/>
                      <w:bCs w:val="0"/>
                    </w:rPr>
                    <w:t>除尘设备用水</w:t>
                  </w:r>
                </w:p>
              </w:tc>
              <w:tc>
                <w:tcPr>
                  <w:tcW w:w="1301" w:type="pct"/>
                  <w:vAlign w:val="center"/>
                </w:tcPr>
                <w:p w14:paraId="374AB483">
                  <w:pPr>
                    <w:pStyle w:val="58"/>
                    <w:jc w:val="center"/>
                    <w:rPr>
                      <w:b w:val="0"/>
                      <w:bCs w:val="0"/>
                    </w:rPr>
                  </w:pPr>
                  <w:r>
                    <w:rPr>
                      <w:rFonts w:hint="eastAsia"/>
                      <w:b w:val="0"/>
                      <w:bCs w:val="0"/>
                    </w:rPr>
                    <w:t>/</w:t>
                  </w:r>
                </w:p>
              </w:tc>
              <w:tc>
                <w:tcPr>
                  <w:tcW w:w="1732" w:type="pct"/>
                  <w:vAlign w:val="center"/>
                </w:tcPr>
                <w:p w14:paraId="47FBC401">
                  <w:pPr>
                    <w:pStyle w:val="58"/>
                    <w:jc w:val="center"/>
                    <w:rPr>
                      <w:b w:val="0"/>
                      <w:bCs w:val="0"/>
                    </w:rPr>
                  </w:pPr>
                  <w:r>
                    <w:rPr>
                      <w:rFonts w:hint="eastAsia"/>
                      <w:b w:val="0"/>
                      <w:bCs w:val="0"/>
                    </w:rPr>
                    <w:t>循环使用，不外排</w:t>
                  </w:r>
                </w:p>
              </w:tc>
            </w:tr>
            <w:tr w14:paraId="06BBD9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86" w:type="pct"/>
                  <w:vMerge w:val="continue"/>
                  <w:vAlign w:val="center"/>
                </w:tcPr>
                <w:p w14:paraId="7EF1CC41">
                  <w:pPr>
                    <w:pStyle w:val="58"/>
                    <w:jc w:val="center"/>
                    <w:rPr>
                      <w:b w:val="0"/>
                      <w:bCs w:val="0"/>
                    </w:rPr>
                  </w:pPr>
                </w:p>
              </w:tc>
              <w:tc>
                <w:tcPr>
                  <w:tcW w:w="682" w:type="pct"/>
                  <w:vMerge w:val="continue"/>
                  <w:vAlign w:val="center"/>
                </w:tcPr>
                <w:p w14:paraId="1D35DE8A">
                  <w:pPr>
                    <w:pStyle w:val="58"/>
                    <w:jc w:val="center"/>
                    <w:rPr>
                      <w:b w:val="0"/>
                      <w:bCs w:val="0"/>
                    </w:rPr>
                  </w:pPr>
                </w:p>
              </w:tc>
              <w:tc>
                <w:tcPr>
                  <w:tcW w:w="999" w:type="pct"/>
                  <w:vAlign w:val="center"/>
                </w:tcPr>
                <w:p w14:paraId="36A7109A">
                  <w:pPr>
                    <w:pStyle w:val="58"/>
                    <w:jc w:val="center"/>
                    <w:rPr>
                      <w:b w:val="0"/>
                      <w:bCs w:val="0"/>
                    </w:rPr>
                  </w:pPr>
                  <w:r>
                    <w:rPr>
                      <w:rFonts w:hint="eastAsia"/>
                      <w:b w:val="0"/>
                      <w:bCs w:val="0"/>
                    </w:rPr>
                    <w:t>绿化用水</w:t>
                  </w:r>
                </w:p>
              </w:tc>
              <w:tc>
                <w:tcPr>
                  <w:tcW w:w="1301" w:type="pct"/>
                  <w:vAlign w:val="center"/>
                </w:tcPr>
                <w:p w14:paraId="4234ADD3">
                  <w:pPr>
                    <w:pStyle w:val="58"/>
                    <w:jc w:val="center"/>
                    <w:rPr>
                      <w:b w:val="0"/>
                      <w:bCs w:val="0"/>
                    </w:rPr>
                  </w:pPr>
                  <w:r>
                    <w:rPr>
                      <w:rFonts w:hint="eastAsia"/>
                      <w:b w:val="0"/>
                      <w:bCs w:val="0"/>
                    </w:rPr>
                    <w:t>/</w:t>
                  </w:r>
                </w:p>
              </w:tc>
              <w:tc>
                <w:tcPr>
                  <w:tcW w:w="1732" w:type="pct"/>
                  <w:vAlign w:val="center"/>
                </w:tcPr>
                <w:p w14:paraId="79FD553C">
                  <w:pPr>
                    <w:pStyle w:val="58"/>
                    <w:jc w:val="center"/>
                    <w:rPr>
                      <w:b w:val="0"/>
                      <w:bCs w:val="0"/>
                    </w:rPr>
                  </w:pPr>
                  <w:r>
                    <w:rPr>
                      <w:rFonts w:hint="eastAsia"/>
                      <w:b w:val="0"/>
                      <w:bCs w:val="0"/>
                    </w:rPr>
                    <w:t>全部挥发，不外排。</w:t>
                  </w:r>
                </w:p>
              </w:tc>
            </w:tr>
            <w:tr w14:paraId="24862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86" w:type="pct"/>
                  <w:vMerge w:val="continue"/>
                  <w:vAlign w:val="center"/>
                </w:tcPr>
                <w:p w14:paraId="6FA63D56">
                  <w:pPr>
                    <w:pStyle w:val="58"/>
                    <w:jc w:val="center"/>
                    <w:rPr>
                      <w:b w:val="0"/>
                      <w:bCs w:val="0"/>
                    </w:rPr>
                  </w:pPr>
                </w:p>
              </w:tc>
              <w:tc>
                <w:tcPr>
                  <w:tcW w:w="682" w:type="pct"/>
                  <w:vMerge w:val="restart"/>
                  <w:vAlign w:val="center"/>
                </w:tcPr>
                <w:p w14:paraId="578BED33">
                  <w:pPr>
                    <w:pStyle w:val="58"/>
                    <w:jc w:val="center"/>
                    <w:rPr>
                      <w:b w:val="0"/>
                      <w:bCs w:val="0"/>
                    </w:rPr>
                  </w:pPr>
                  <w:r>
                    <w:rPr>
                      <w:b w:val="0"/>
                      <w:bCs w:val="0"/>
                    </w:rPr>
                    <w:t>固体废物</w:t>
                  </w:r>
                </w:p>
              </w:tc>
              <w:tc>
                <w:tcPr>
                  <w:tcW w:w="999" w:type="pct"/>
                  <w:vAlign w:val="center"/>
                </w:tcPr>
                <w:p w14:paraId="2E17992B">
                  <w:pPr>
                    <w:pStyle w:val="58"/>
                    <w:jc w:val="center"/>
                    <w:rPr>
                      <w:b w:val="0"/>
                      <w:bCs w:val="0"/>
                    </w:rPr>
                  </w:pPr>
                  <w:r>
                    <w:rPr>
                      <w:b w:val="0"/>
                      <w:bCs w:val="0"/>
                    </w:rPr>
                    <w:t>职工生活垃圾</w:t>
                  </w:r>
                </w:p>
              </w:tc>
              <w:tc>
                <w:tcPr>
                  <w:tcW w:w="1301" w:type="pct"/>
                  <w:vAlign w:val="center"/>
                </w:tcPr>
                <w:p w14:paraId="5A5BBFB7">
                  <w:pPr>
                    <w:pStyle w:val="58"/>
                    <w:jc w:val="center"/>
                    <w:rPr>
                      <w:b w:val="0"/>
                      <w:bCs w:val="0"/>
                    </w:rPr>
                  </w:pPr>
                  <w:r>
                    <w:rPr>
                      <w:b w:val="0"/>
                      <w:bCs w:val="0"/>
                    </w:rPr>
                    <w:t>生活垃圾</w:t>
                  </w:r>
                </w:p>
              </w:tc>
              <w:tc>
                <w:tcPr>
                  <w:tcW w:w="1732" w:type="pct"/>
                  <w:vAlign w:val="center"/>
                </w:tcPr>
                <w:p w14:paraId="0CD6B90F">
                  <w:pPr>
                    <w:pStyle w:val="58"/>
                    <w:jc w:val="center"/>
                    <w:rPr>
                      <w:b w:val="0"/>
                      <w:bCs w:val="0"/>
                    </w:rPr>
                  </w:pPr>
                  <w:r>
                    <w:rPr>
                      <w:rFonts w:hint="eastAsia"/>
                      <w:b w:val="0"/>
                      <w:bCs w:val="0"/>
                    </w:rPr>
                    <w:t>交由环卫部门处置</w:t>
                  </w:r>
                </w:p>
              </w:tc>
            </w:tr>
            <w:tr w14:paraId="03A838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286" w:type="pct"/>
                  <w:vMerge w:val="continue"/>
                  <w:vAlign w:val="center"/>
                </w:tcPr>
                <w:p w14:paraId="4951E54C">
                  <w:pPr>
                    <w:pStyle w:val="58"/>
                    <w:jc w:val="center"/>
                    <w:rPr>
                      <w:b w:val="0"/>
                      <w:bCs w:val="0"/>
                    </w:rPr>
                  </w:pPr>
                </w:p>
              </w:tc>
              <w:tc>
                <w:tcPr>
                  <w:tcW w:w="682" w:type="pct"/>
                  <w:vMerge w:val="continue"/>
                  <w:vAlign w:val="center"/>
                </w:tcPr>
                <w:p w14:paraId="65D664C8">
                  <w:pPr>
                    <w:pStyle w:val="58"/>
                    <w:jc w:val="center"/>
                    <w:rPr>
                      <w:b w:val="0"/>
                      <w:bCs w:val="0"/>
                    </w:rPr>
                  </w:pPr>
                </w:p>
              </w:tc>
              <w:tc>
                <w:tcPr>
                  <w:tcW w:w="999" w:type="pct"/>
                  <w:vAlign w:val="center"/>
                </w:tcPr>
                <w:p w14:paraId="6CE53421">
                  <w:pPr>
                    <w:pStyle w:val="58"/>
                    <w:jc w:val="center"/>
                    <w:rPr>
                      <w:b w:val="0"/>
                      <w:bCs w:val="0"/>
                    </w:rPr>
                  </w:pPr>
                  <w:r>
                    <w:rPr>
                      <w:rFonts w:hint="eastAsia"/>
                      <w:b w:val="0"/>
                      <w:bCs w:val="0"/>
                    </w:rPr>
                    <w:t>气化炉</w:t>
                  </w:r>
                </w:p>
              </w:tc>
              <w:tc>
                <w:tcPr>
                  <w:tcW w:w="1301" w:type="pct"/>
                  <w:vAlign w:val="center"/>
                </w:tcPr>
                <w:p w14:paraId="300DD046">
                  <w:pPr>
                    <w:pStyle w:val="58"/>
                    <w:jc w:val="center"/>
                    <w:rPr>
                      <w:b w:val="0"/>
                      <w:bCs w:val="0"/>
                    </w:rPr>
                  </w:pPr>
                  <w:r>
                    <w:rPr>
                      <w:rFonts w:hint="eastAsia"/>
                      <w:b w:val="0"/>
                      <w:bCs w:val="0"/>
                    </w:rPr>
                    <w:t>气化炉灰渣</w:t>
                  </w:r>
                </w:p>
              </w:tc>
              <w:tc>
                <w:tcPr>
                  <w:tcW w:w="1732" w:type="pct"/>
                  <w:vMerge w:val="restart"/>
                  <w:vAlign w:val="center"/>
                </w:tcPr>
                <w:p w14:paraId="1CFBD1B1">
                  <w:pPr>
                    <w:pStyle w:val="58"/>
                    <w:jc w:val="center"/>
                    <w:rPr>
                      <w:b w:val="0"/>
                      <w:bCs w:val="0"/>
                    </w:rPr>
                  </w:pPr>
                  <w:r>
                    <w:rPr>
                      <w:rFonts w:hint="eastAsia"/>
                      <w:b w:val="0"/>
                      <w:bCs w:val="0"/>
                    </w:rPr>
                    <w:t>外售</w:t>
                  </w:r>
                </w:p>
              </w:tc>
            </w:tr>
            <w:tr w14:paraId="34D5E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286" w:type="pct"/>
                  <w:vMerge w:val="continue"/>
                  <w:vAlign w:val="center"/>
                </w:tcPr>
                <w:p w14:paraId="679EF289">
                  <w:pPr>
                    <w:pStyle w:val="58"/>
                    <w:jc w:val="center"/>
                    <w:rPr>
                      <w:b w:val="0"/>
                      <w:bCs w:val="0"/>
                    </w:rPr>
                  </w:pPr>
                </w:p>
              </w:tc>
              <w:tc>
                <w:tcPr>
                  <w:tcW w:w="682" w:type="pct"/>
                  <w:vMerge w:val="continue"/>
                  <w:vAlign w:val="center"/>
                </w:tcPr>
                <w:p w14:paraId="57CB6D8D">
                  <w:pPr>
                    <w:pStyle w:val="58"/>
                    <w:jc w:val="center"/>
                    <w:rPr>
                      <w:b w:val="0"/>
                      <w:bCs w:val="0"/>
                    </w:rPr>
                  </w:pPr>
                </w:p>
              </w:tc>
              <w:tc>
                <w:tcPr>
                  <w:tcW w:w="999" w:type="pct"/>
                  <w:vAlign w:val="center"/>
                </w:tcPr>
                <w:p w14:paraId="323696C3">
                  <w:pPr>
                    <w:pStyle w:val="58"/>
                    <w:jc w:val="center"/>
                    <w:rPr>
                      <w:b w:val="0"/>
                      <w:bCs w:val="0"/>
                    </w:rPr>
                  </w:pPr>
                  <w:r>
                    <w:rPr>
                      <w:rFonts w:hint="eastAsia"/>
                      <w:b w:val="0"/>
                      <w:bCs w:val="0"/>
                    </w:rPr>
                    <w:t>废气治理</w:t>
                  </w:r>
                </w:p>
              </w:tc>
              <w:tc>
                <w:tcPr>
                  <w:tcW w:w="1301" w:type="pct"/>
                  <w:vAlign w:val="center"/>
                </w:tcPr>
                <w:p w14:paraId="734276D3">
                  <w:pPr>
                    <w:pStyle w:val="58"/>
                    <w:jc w:val="center"/>
                    <w:rPr>
                      <w:b w:val="0"/>
                      <w:bCs w:val="0"/>
                    </w:rPr>
                  </w:pPr>
                  <w:r>
                    <w:rPr>
                      <w:rFonts w:hint="eastAsia"/>
                      <w:b w:val="0"/>
                      <w:bCs w:val="0"/>
                    </w:rPr>
                    <w:t>除尘渣</w:t>
                  </w:r>
                </w:p>
              </w:tc>
              <w:tc>
                <w:tcPr>
                  <w:tcW w:w="1732" w:type="pct"/>
                  <w:vMerge w:val="continue"/>
                  <w:vAlign w:val="center"/>
                </w:tcPr>
                <w:p w14:paraId="57D58180">
                  <w:pPr>
                    <w:pStyle w:val="58"/>
                    <w:jc w:val="center"/>
                    <w:rPr>
                      <w:b w:val="0"/>
                      <w:bCs w:val="0"/>
                    </w:rPr>
                  </w:pPr>
                </w:p>
              </w:tc>
            </w:tr>
            <w:tr w14:paraId="195BA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1" w:hRule="atLeast"/>
              </w:trPr>
              <w:tc>
                <w:tcPr>
                  <w:tcW w:w="286" w:type="pct"/>
                  <w:vMerge w:val="continue"/>
                  <w:vAlign w:val="center"/>
                </w:tcPr>
                <w:p w14:paraId="0D16C8EB">
                  <w:pPr>
                    <w:pStyle w:val="58"/>
                    <w:jc w:val="center"/>
                    <w:rPr>
                      <w:b w:val="0"/>
                      <w:bCs w:val="0"/>
                    </w:rPr>
                  </w:pPr>
                </w:p>
              </w:tc>
              <w:tc>
                <w:tcPr>
                  <w:tcW w:w="682" w:type="pct"/>
                  <w:vMerge w:val="continue"/>
                  <w:vAlign w:val="center"/>
                </w:tcPr>
                <w:p w14:paraId="3E269A57">
                  <w:pPr>
                    <w:pStyle w:val="58"/>
                    <w:jc w:val="center"/>
                    <w:rPr>
                      <w:b w:val="0"/>
                      <w:bCs w:val="0"/>
                    </w:rPr>
                  </w:pPr>
                </w:p>
              </w:tc>
              <w:tc>
                <w:tcPr>
                  <w:tcW w:w="999" w:type="pct"/>
                  <w:vMerge w:val="restart"/>
                  <w:vAlign w:val="center"/>
                </w:tcPr>
                <w:p w14:paraId="69FBD392">
                  <w:pPr>
                    <w:pStyle w:val="58"/>
                    <w:jc w:val="center"/>
                    <w:rPr>
                      <w:b w:val="0"/>
                      <w:bCs w:val="0"/>
                    </w:rPr>
                  </w:pPr>
                  <w:r>
                    <w:rPr>
                      <w:rFonts w:hint="eastAsia"/>
                      <w:b w:val="0"/>
                      <w:bCs w:val="0"/>
                    </w:rPr>
                    <w:t>设备维护</w:t>
                  </w:r>
                </w:p>
              </w:tc>
              <w:tc>
                <w:tcPr>
                  <w:tcW w:w="1301" w:type="pct"/>
                  <w:vAlign w:val="center"/>
                </w:tcPr>
                <w:p w14:paraId="7CF06B51">
                  <w:pPr>
                    <w:pStyle w:val="58"/>
                    <w:jc w:val="center"/>
                    <w:rPr>
                      <w:b w:val="0"/>
                      <w:bCs w:val="0"/>
                    </w:rPr>
                  </w:pPr>
                  <w:r>
                    <w:rPr>
                      <w:rFonts w:hint="eastAsia"/>
                      <w:b w:val="0"/>
                      <w:bCs w:val="0"/>
                    </w:rPr>
                    <w:t>废机油</w:t>
                  </w:r>
                </w:p>
              </w:tc>
              <w:tc>
                <w:tcPr>
                  <w:tcW w:w="1732" w:type="pct"/>
                  <w:vMerge w:val="restart"/>
                  <w:vAlign w:val="center"/>
                </w:tcPr>
                <w:p w14:paraId="2E51F61E">
                  <w:pPr>
                    <w:pStyle w:val="58"/>
                    <w:jc w:val="center"/>
                    <w:rPr>
                      <w:b w:val="0"/>
                      <w:bCs w:val="0"/>
                    </w:rPr>
                  </w:pPr>
                  <w:r>
                    <w:rPr>
                      <w:rFonts w:hint="eastAsia"/>
                      <w:b w:val="0"/>
                      <w:bCs w:val="0"/>
                    </w:rPr>
                    <w:t>交由资质的单位处置</w:t>
                  </w:r>
                </w:p>
              </w:tc>
            </w:tr>
            <w:tr w14:paraId="1B0C9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1" w:hRule="atLeast"/>
              </w:trPr>
              <w:tc>
                <w:tcPr>
                  <w:tcW w:w="286" w:type="pct"/>
                  <w:vMerge w:val="continue"/>
                  <w:vAlign w:val="center"/>
                </w:tcPr>
                <w:p w14:paraId="6B59668A">
                  <w:pPr>
                    <w:pStyle w:val="58"/>
                    <w:jc w:val="center"/>
                    <w:rPr>
                      <w:b w:val="0"/>
                      <w:bCs w:val="0"/>
                    </w:rPr>
                  </w:pPr>
                </w:p>
              </w:tc>
              <w:tc>
                <w:tcPr>
                  <w:tcW w:w="682" w:type="pct"/>
                  <w:vMerge w:val="continue"/>
                  <w:vAlign w:val="center"/>
                </w:tcPr>
                <w:p w14:paraId="5FBFBEE2">
                  <w:pPr>
                    <w:pStyle w:val="58"/>
                    <w:jc w:val="center"/>
                    <w:rPr>
                      <w:b w:val="0"/>
                      <w:bCs w:val="0"/>
                    </w:rPr>
                  </w:pPr>
                </w:p>
              </w:tc>
              <w:tc>
                <w:tcPr>
                  <w:tcW w:w="999" w:type="pct"/>
                  <w:vMerge w:val="continue"/>
                  <w:vAlign w:val="center"/>
                </w:tcPr>
                <w:p w14:paraId="5A0ABC97">
                  <w:pPr>
                    <w:pStyle w:val="58"/>
                    <w:jc w:val="center"/>
                    <w:rPr>
                      <w:b w:val="0"/>
                      <w:bCs w:val="0"/>
                    </w:rPr>
                  </w:pPr>
                </w:p>
              </w:tc>
              <w:tc>
                <w:tcPr>
                  <w:tcW w:w="1301" w:type="pct"/>
                  <w:vAlign w:val="center"/>
                </w:tcPr>
                <w:p w14:paraId="68F1DA8C">
                  <w:pPr>
                    <w:pStyle w:val="58"/>
                    <w:jc w:val="center"/>
                    <w:rPr>
                      <w:b w:val="0"/>
                      <w:bCs w:val="0"/>
                    </w:rPr>
                  </w:pPr>
                  <w:r>
                    <w:rPr>
                      <w:rFonts w:hint="eastAsia"/>
                      <w:b w:val="0"/>
                      <w:bCs w:val="0"/>
                    </w:rPr>
                    <w:t>废机油沾染物</w:t>
                  </w:r>
                </w:p>
              </w:tc>
              <w:tc>
                <w:tcPr>
                  <w:tcW w:w="1732" w:type="pct"/>
                  <w:vMerge w:val="continue"/>
                  <w:vAlign w:val="center"/>
                </w:tcPr>
                <w:p w14:paraId="215A2A11">
                  <w:pPr>
                    <w:pStyle w:val="58"/>
                    <w:jc w:val="center"/>
                    <w:rPr>
                      <w:b w:val="0"/>
                      <w:bCs w:val="0"/>
                    </w:rPr>
                  </w:pPr>
                </w:p>
              </w:tc>
            </w:tr>
            <w:tr w14:paraId="47CAC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81" w:hRule="atLeast"/>
              </w:trPr>
              <w:tc>
                <w:tcPr>
                  <w:tcW w:w="286" w:type="pct"/>
                  <w:vMerge w:val="continue"/>
                  <w:vAlign w:val="center"/>
                </w:tcPr>
                <w:p w14:paraId="4CD632CF">
                  <w:pPr>
                    <w:pStyle w:val="58"/>
                    <w:jc w:val="center"/>
                    <w:rPr>
                      <w:b w:val="0"/>
                      <w:bCs w:val="0"/>
                    </w:rPr>
                  </w:pPr>
                </w:p>
              </w:tc>
              <w:tc>
                <w:tcPr>
                  <w:tcW w:w="682" w:type="pct"/>
                  <w:vMerge w:val="continue"/>
                  <w:vAlign w:val="center"/>
                </w:tcPr>
                <w:p w14:paraId="506814CD">
                  <w:pPr>
                    <w:pStyle w:val="58"/>
                    <w:jc w:val="center"/>
                    <w:rPr>
                      <w:b w:val="0"/>
                      <w:bCs w:val="0"/>
                    </w:rPr>
                  </w:pPr>
                </w:p>
              </w:tc>
              <w:tc>
                <w:tcPr>
                  <w:tcW w:w="999" w:type="pct"/>
                  <w:vMerge w:val="continue"/>
                  <w:vAlign w:val="center"/>
                </w:tcPr>
                <w:p w14:paraId="43F2E200">
                  <w:pPr>
                    <w:pStyle w:val="58"/>
                    <w:jc w:val="center"/>
                    <w:rPr>
                      <w:b w:val="0"/>
                      <w:bCs w:val="0"/>
                    </w:rPr>
                  </w:pPr>
                </w:p>
              </w:tc>
              <w:tc>
                <w:tcPr>
                  <w:tcW w:w="1301" w:type="pct"/>
                  <w:vAlign w:val="center"/>
                </w:tcPr>
                <w:p w14:paraId="57D4F88F">
                  <w:pPr>
                    <w:pStyle w:val="58"/>
                    <w:jc w:val="center"/>
                    <w:rPr>
                      <w:b w:val="0"/>
                      <w:bCs w:val="0"/>
                    </w:rPr>
                  </w:pPr>
                  <w:r>
                    <w:rPr>
                      <w:rFonts w:hint="eastAsia"/>
                      <w:b w:val="0"/>
                      <w:bCs w:val="0"/>
                    </w:rPr>
                    <w:t>废催化剂</w:t>
                  </w:r>
                </w:p>
              </w:tc>
              <w:tc>
                <w:tcPr>
                  <w:tcW w:w="1732" w:type="pct"/>
                  <w:vMerge w:val="continue"/>
                  <w:vAlign w:val="center"/>
                </w:tcPr>
                <w:p w14:paraId="205068A2">
                  <w:pPr>
                    <w:pStyle w:val="58"/>
                    <w:jc w:val="center"/>
                    <w:rPr>
                      <w:b w:val="0"/>
                      <w:bCs w:val="0"/>
                    </w:rPr>
                  </w:pPr>
                </w:p>
              </w:tc>
            </w:tr>
            <w:tr w14:paraId="265113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trPr>
              <w:tc>
                <w:tcPr>
                  <w:tcW w:w="286" w:type="pct"/>
                  <w:vMerge w:val="continue"/>
                  <w:vAlign w:val="center"/>
                </w:tcPr>
                <w:p w14:paraId="49D2B393">
                  <w:pPr>
                    <w:pStyle w:val="58"/>
                    <w:jc w:val="center"/>
                    <w:rPr>
                      <w:b w:val="0"/>
                      <w:bCs w:val="0"/>
                    </w:rPr>
                  </w:pPr>
                </w:p>
              </w:tc>
              <w:tc>
                <w:tcPr>
                  <w:tcW w:w="682" w:type="pct"/>
                  <w:vMerge w:val="continue"/>
                  <w:vAlign w:val="center"/>
                </w:tcPr>
                <w:p w14:paraId="333FE279">
                  <w:pPr>
                    <w:pStyle w:val="58"/>
                    <w:jc w:val="center"/>
                    <w:rPr>
                      <w:b w:val="0"/>
                      <w:bCs w:val="0"/>
                    </w:rPr>
                  </w:pPr>
                </w:p>
              </w:tc>
              <w:tc>
                <w:tcPr>
                  <w:tcW w:w="999" w:type="pct"/>
                  <w:vAlign w:val="center"/>
                </w:tcPr>
                <w:p w14:paraId="34E00E28">
                  <w:pPr>
                    <w:pStyle w:val="58"/>
                    <w:jc w:val="center"/>
                    <w:rPr>
                      <w:b w:val="0"/>
                      <w:bCs w:val="0"/>
                    </w:rPr>
                  </w:pPr>
                  <w:r>
                    <w:rPr>
                      <w:rFonts w:hint="eastAsia"/>
                      <w:b w:val="0"/>
                      <w:bCs w:val="0"/>
                    </w:rPr>
                    <w:t>软水制备</w:t>
                  </w:r>
                </w:p>
              </w:tc>
              <w:tc>
                <w:tcPr>
                  <w:tcW w:w="1301" w:type="pct"/>
                  <w:vAlign w:val="center"/>
                </w:tcPr>
                <w:p w14:paraId="128BD1FA">
                  <w:pPr>
                    <w:pStyle w:val="58"/>
                    <w:jc w:val="center"/>
                    <w:rPr>
                      <w:b w:val="0"/>
                      <w:bCs w:val="0"/>
                    </w:rPr>
                  </w:pPr>
                  <w:r>
                    <w:rPr>
                      <w:rFonts w:hint="eastAsia"/>
                      <w:b w:val="0"/>
                      <w:bCs w:val="0"/>
                    </w:rPr>
                    <w:t>废离子交换树脂</w:t>
                  </w:r>
                </w:p>
              </w:tc>
              <w:tc>
                <w:tcPr>
                  <w:tcW w:w="1732" w:type="pct"/>
                  <w:vAlign w:val="center"/>
                </w:tcPr>
                <w:p w14:paraId="19031533">
                  <w:pPr>
                    <w:pStyle w:val="58"/>
                    <w:jc w:val="center"/>
                    <w:rPr>
                      <w:b w:val="0"/>
                      <w:bCs w:val="0"/>
                    </w:rPr>
                  </w:pPr>
                  <w:r>
                    <w:rPr>
                      <w:rFonts w:hint="eastAsia"/>
                      <w:b w:val="0"/>
                      <w:bCs w:val="0"/>
                    </w:rPr>
                    <w:t>由更换单位带走处理</w:t>
                  </w:r>
                </w:p>
              </w:tc>
            </w:tr>
            <w:tr w14:paraId="77AAA0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86" w:type="pct"/>
                  <w:vMerge w:val="continue"/>
                  <w:vAlign w:val="center"/>
                </w:tcPr>
                <w:p w14:paraId="0F755E9C">
                  <w:pPr>
                    <w:pStyle w:val="58"/>
                    <w:jc w:val="center"/>
                    <w:rPr>
                      <w:b w:val="0"/>
                      <w:bCs w:val="0"/>
                    </w:rPr>
                  </w:pPr>
                </w:p>
              </w:tc>
              <w:tc>
                <w:tcPr>
                  <w:tcW w:w="682" w:type="pct"/>
                  <w:vAlign w:val="center"/>
                </w:tcPr>
                <w:p w14:paraId="24BB4A69">
                  <w:pPr>
                    <w:pStyle w:val="58"/>
                    <w:jc w:val="center"/>
                    <w:rPr>
                      <w:b w:val="0"/>
                      <w:bCs w:val="0"/>
                    </w:rPr>
                  </w:pPr>
                  <w:r>
                    <w:rPr>
                      <w:b w:val="0"/>
                      <w:bCs w:val="0"/>
                    </w:rPr>
                    <w:t>噪声</w:t>
                  </w:r>
                </w:p>
              </w:tc>
              <w:tc>
                <w:tcPr>
                  <w:tcW w:w="999" w:type="pct"/>
                  <w:vAlign w:val="center"/>
                </w:tcPr>
                <w:p w14:paraId="4022596A">
                  <w:pPr>
                    <w:pStyle w:val="58"/>
                    <w:jc w:val="center"/>
                    <w:rPr>
                      <w:b w:val="0"/>
                      <w:bCs w:val="0"/>
                    </w:rPr>
                  </w:pPr>
                  <w:r>
                    <w:rPr>
                      <w:b w:val="0"/>
                      <w:bCs w:val="0"/>
                    </w:rPr>
                    <w:t>生产设备</w:t>
                  </w:r>
                </w:p>
              </w:tc>
              <w:tc>
                <w:tcPr>
                  <w:tcW w:w="1301" w:type="pct"/>
                  <w:vAlign w:val="center"/>
                </w:tcPr>
                <w:p w14:paraId="00CD04FD">
                  <w:pPr>
                    <w:pStyle w:val="58"/>
                    <w:jc w:val="center"/>
                    <w:rPr>
                      <w:b w:val="0"/>
                      <w:bCs w:val="0"/>
                    </w:rPr>
                  </w:pPr>
                  <w:r>
                    <w:rPr>
                      <w:b w:val="0"/>
                      <w:bCs w:val="0"/>
                    </w:rPr>
                    <w:t>机械噪声</w:t>
                  </w:r>
                </w:p>
              </w:tc>
              <w:tc>
                <w:tcPr>
                  <w:tcW w:w="1732" w:type="pct"/>
                  <w:vAlign w:val="center"/>
                </w:tcPr>
                <w:p w14:paraId="54450A57">
                  <w:pPr>
                    <w:pStyle w:val="58"/>
                    <w:jc w:val="center"/>
                    <w:rPr>
                      <w:b w:val="0"/>
                      <w:bCs w:val="0"/>
                    </w:rPr>
                  </w:pPr>
                  <w:r>
                    <w:rPr>
                      <w:rFonts w:hint="eastAsia"/>
                      <w:b w:val="0"/>
                      <w:bCs w:val="0"/>
                    </w:rPr>
                    <w:t>连续</w:t>
                  </w:r>
                </w:p>
              </w:tc>
            </w:tr>
          </w:tbl>
          <w:p w14:paraId="67E77458">
            <w:pPr>
              <w:ind w:firstLine="480"/>
              <w:jc w:val="center"/>
            </w:pPr>
          </w:p>
        </w:tc>
      </w:tr>
      <w:tr w14:paraId="60248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28" w:hRule="atLeast"/>
          <w:jc w:val="center"/>
        </w:trPr>
        <w:tc>
          <w:tcPr>
            <w:tcW w:w="510" w:type="pct"/>
            <w:vAlign w:val="center"/>
          </w:tcPr>
          <w:p w14:paraId="559C8A1B">
            <w:pPr>
              <w:ind w:firstLine="0" w:firstLineChars="0"/>
              <w:jc w:val="center"/>
              <w:rPr>
                <w:b/>
                <w:bCs/>
                <w:szCs w:val="32"/>
              </w:rPr>
            </w:pPr>
            <w:r>
              <w:rPr>
                <w:rFonts w:hint="eastAsia"/>
                <w:b/>
                <w:bCs/>
                <w:szCs w:val="32"/>
              </w:rPr>
              <w:t>与项目有关的原有环境污染问题</w:t>
            </w:r>
          </w:p>
        </w:tc>
        <w:tc>
          <w:tcPr>
            <w:tcW w:w="4490" w:type="pct"/>
            <w:vAlign w:val="center"/>
          </w:tcPr>
          <w:p w14:paraId="716B1F79">
            <w:pPr>
              <w:ind w:firstLine="480"/>
            </w:pPr>
            <w:r>
              <w:rPr>
                <w:rFonts w:hint="eastAsia"/>
              </w:rPr>
              <w:t>本项目为新建项目，无原有环境污染问题。</w:t>
            </w:r>
          </w:p>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041"/>
              <w:gridCol w:w="3876"/>
            </w:tblGrid>
            <w:tr w14:paraId="59DBB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0" w:type="auto"/>
                </w:tcPr>
                <w:p w14:paraId="35A353DA">
                  <w:pPr>
                    <w:ind w:firstLine="0" w:firstLineChars="0"/>
                  </w:pPr>
                  <w:r>
                    <w:drawing>
                      <wp:inline distT="0" distB="0" distL="0" distR="0">
                        <wp:extent cx="2428875" cy="1894205"/>
                        <wp:effectExtent l="0" t="0" r="0" b="0"/>
                        <wp:docPr id="15459493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49345" name="图片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50234" cy="1911396"/>
                                </a:xfrm>
                                <a:prstGeom prst="rect">
                                  <a:avLst/>
                                </a:prstGeom>
                                <a:noFill/>
                                <a:ln>
                                  <a:noFill/>
                                </a:ln>
                              </pic:spPr>
                            </pic:pic>
                          </a:graphicData>
                        </a:graphic>
                      </wp:inline>
                    </w:drawing>
                  </w:r>
                  <w:r>
                    <w:t xml:space="preserve"> </w:t>
                  </w:r>
                </w:p>
              </w:tc>
              <w:tc>
                <w:tcPr>
                  <w:tcW w:w="0" w:type="auto"/>
                </w:tcPr>
                <w:p w14:paraId="55D4A571">
                  <w:pPr>
                    <w:ind w:firstLine="0" w:firstLineChars="0"/>
                  </w:pPr>
                  <w:r>
                    <w:drawing>
                      <wp:inline distT="0" distB="0" distL="0" distR="0">
                        <wp:extent cx="2324100" cy="1893570"/>
                        <wp:effectExtent l="0" t="0" r="0" b="0"/>
                        <wp:docPr id="18649427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42753" name="图片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324594" cy="1893600"/>
                                </a:xfrm>
                                <a:prstGeom prst="rect">
                                  <a:avLst/>
                                </a:prstGeom>
                                <a:noFill/>
                                <a:ln>
                                  <a:noFill/>
                                </a:ln>
                              </pic:spPr>
                            </pic:pic>
                          </a:graphicData>
                        </a:graphic>
                      </wp:inline>
                    </w:drawing>
                  </w:r>
                </w:p>
              </w:tc>
            </w:tr>
            <w:tr w14:paraId="5A825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tcPr>
                <w:p w14:paraId="5C54DE8F">
                  <w:pPr>
                    <w:ind w:firstLine="0" w:firstLineChars="0"/>
                  </w:pPr>
                  <w:r>
                    <w:drawing>
                      <wp:inline distT="0" distB="0" distL="0" distR="0">
                        <wp:extent cx="2419350" cy="1895475"/>
                        <wp:effectExtent l="0" t="0" r="0" b="9525"/>
                        <wp:docPr id="138803399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033990" name="图片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2419350" cy="1895475"/>
                                </a:xfrm>
                                <a:prstGeom prst="rect">
                                  <a:avLst/>
                                </a:prstGeom>
                                <a:noFill/>
                                <a:ln>
                                  <a:noFill/>
                                </a:ln>
                              </pic:spPr>
                            </pic:pic>
                          </a:graphicData>
                        </a:graphic>
                      </wp:inline>
                    </w:drawing>
                  </w:r>
                </w:p>
              </w:tc>
              <w:tc>
                <w:tcPr>
                  <w:tcW w:w="0" w:type="auto"/>
                </w:tcPr>
                <w:p w14:paraId="3EEB0DEF">
                  <w:pPr>
                    <w:ind w:firstLine="0" w:firstLineChars="0"/>
                  </w:pPr>
                  <w:r>
                    <w:drawing>
                      <wp:inline distT="0" distB="0" distL="0" distR="0">
                        <wp:extent cx="2295525" cy="1895475"/>
                        <wp:effectExtent l="0" t="0" r="9525" b="9525"/>
                        <wp:docPr id="117587497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74975" name="图片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295525" cy="1895475"/>
                                </a:xfrm>
                                <a:prstGeom prst="rect">
                                  <a:avLst/>
                                </a:prstGeom>
                                <a:noFill/>
                                <a:ln>
                                  <a:noFill/>
                                </a:ln>
                              </pic:spPr>
                            </pic:pic>
                          </a:graphicData>
                        </a:graphic>
                      </wp:inline>
                    </w:drawing>
                  </w:r>
                </w:p>
              </w:tc>
            </w:tr>
            <w:tr w14:paraId="16EA1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0" w:type="auto"/>
                  <w:gridSpan w:val="2"/>
                </w:tcPr>
                <w:p w14:paraId="558CD592">
                  <w:pPr>
                    <w:pStyle w:val="83"/>
                  </w:pPr>
                  <w:r>
                    <w:rPr>
                      <w:rFonts w:hint="eastAsia"/>
                    </w:rPr>
                    <w:t>本项目现场照片</w:t>
                  </w:r>
                </w:p>
              </w:tc>
            </w:tr>
          </w:tbl>
          <w:p w14:paraId="2D959FEA">
            <w:pPr>
              <w:ind w:firstLine="480"/>
            </w:pPr>
          </w:p>
        </w:tc>
      </w:tr>
    </w:tbl>
    <w:p w14:paraId="75B0633B">
      <w:pPr>
        <w:ind w:firstLine="0" w:firstLineChars="0"/>
        <w:sectPr>
          <w:pgSz w:w="11906" w:h="16838"/>
          <w:pgMar w:top="1440" w:right="1800" w:bottom="1440" w:left="1800" w:header="851" w:footer="992" w:gutter="0"/>
          <w:cols w:space="425" w:num="1"/>
          <w:docGrid w:type="lines" w:linePitch="312" w:charSpace="0"/>
        </w:sectPr>
      </w:pPr>
    </w:p>
    <w:p w14:paraId="0ADBCCFE">
      <w:pPr>
        <w:pStyle w:val="2"/>
      </w:pPr>
      <w:r>
        <w:rPr>
          <w:rFonts w:hint="eastAsia"/>
        </w:rPr>
        <w:t>三、区域环境质量现状、环境保护目标及评价标准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6"/>
        <w:gridCol w:w="7840"/>
      </w:tblGrid>
      <w:tr w14:paraId="38691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2D53D7CF">
            <w:pPr>
              <w:ind w:firstLine="0" w:firstLineChars="0"/>
              <w:jc w:val="center"/>
              <w:rPr>
                <w:b/>
                <w:bCs/>
              </w:rPr>
            </w:pPr>
            <w:r>
              <w:rPr>
                <w:rFonts w:hint="eastAsia"/>
                <w:b/>
                <w:bCs/>
              </w:rPr>
              <w:t>区域环境质量现状</w:t>
            </w:r>
          </w:p>
        </w:tc>
        <w:tc>
          <w:tcPr>
            <w:tcW w:w="7840" w:type="dxa"/>
          </w:tcPr>
          <w:p w14:paraId="048AE822">
            <w:pPr>
              <w:ind w:firstLine="482"/>
              <w:rPr>
                <w:b/>
                <w:bCs/>
              </w:rPr>
            </w:pPr>
            <w:r>
              <w:rPr>
                <w:rFonts w:hint="eastAsia"/>
                <w:b/>
                <w:bCs/>
              </w:rPr>
              <w:t>一、区域环境质量现状</w:t>
            </w:r>
          </w:p>
          <w:p w14:paraId="5FF82236">
            <w:pPr>
              <w:ind w:firstLine="482"/>
              <w:rPr>
                <w:b/>
                <w:bCs/>
              </w:rPr>
            </w:pPr>
            <w:r>
              <w:rPr>
                <w:rFonts w:hint="eastAsia"/>
                <w:b/>
                <w:bCs/>
              </w:rPr>
              <w:t>1、大气环境现状</w:t>
            </w:r>
          </w:p>
          <w:p w14:paraId="4D4564DB">
            <w:pPr>
              <w:ind w:firstLine="482"/>
              <w:rPr>
                <w:b/>
                <w:bCs/>
              </w:rPr>
            </w:pPr>
            <w:r>
              <w:rPr>
                <w:rFonts w:hint="eastAsia"/>
                <w:b/>
                <w:bCs/>
              </w:rPr>
              <w:t>（1）空气环境质量区域达标判断</w:t>
            </w:r>
          </w:p>
          <w:p w14:paraId="7A3B0D55">
            <w:pPr>
              <w:ind w:firstLine="480"/>
            </w:pPr>
            <w:r>
              <w:rPr>
                <w:rFonts w:hint="eastAsia"/>
              </w:rPr>
              <w:t>本项目位于遂宁市大英县，为了解区域大气环境质量现状，本次评价引用《2023年遂宁市环境质量公告》中相关内容。根据《2023年遂宁市环境质量公告》，项目所在区域空气现状评价结果如下：</w:t>
            </w:r>
          </w:p>
          <w:p w14:paraId="467B65AC">
            <w:pPr>
              <w:ind w:firstLine="480"/>
            </w:pPr>
            <w:r>
              <w:rPr>
                <w:rFonts w:hint="eastAsia"/>
              </w:rPr>
              <w:t>本年度遂宁市城区环境空气质量119天优、199天良、43天轻度污染、3天中度污染、1天重度污染，空气质量达标率为87.1%，主要污染物SO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、CO和O</w:t>
            </w:r>
            <w:r>
              <w:rPr>
                <w:rFonts w:hint="eastAsia"/>
                <w:vertAlign w:val="subscript"/>
              </w:rPr>
              <w:t>3</w:t>
            </w:r>
            <w:r>
              <w:rPr>
                <w:rFonts w:hint="eastAsia"/>
              </w:rPr>
              <w:t>的年均值分别为7.7微克/立方米、24.6微克/立方米、51.7微克/立方米、30.0微克/立方米、1.0毫克/立方米和144.4微克/立方米。同比SO</w:t>
            </w:r>
            <w:r>
              <w:rPr>
                <w:rFonts w:hint="eastAsia"/>
                <w:vertAlign w:val="subscript"/>
              </w:rPr>
              <w:t>2</w:t>
            </w:r>
            <w:r>
              <w:rPr>
                <w:rFonts w:hint="eastAsia"/>
              </w:rPr>
              <w:t>、PM</w:t>
            </w:r>
            <w:r>
              <w:rPr>
                <w:rFonts w:hint="eastAsia"/>
                <w:vertAlign w:val="subscript"/>
              </w:rPr>
              <w:t>10</w:t>
            </w:r>
            <w:r>
              <w:rPr>
                <w:rFonts w:hint="eastAsia"/>
              </w:rPr>
              <w:t>和O</w:t>
            </w:r>
            <w:r>
              <w:rPr>
                <w:rFonts w:hint="eastAsia"/>
                <w:vertAlign w:val="subscript"/>
              </w:rPr>
              <w:t>3</w:t>
            </w:r>
            <w:r>
              <w:rPr>
                <w:rFonts w:hint="eastAsia"/>
              </w:rPr>
              <w:t>浓度分别下降了21.4%、4.3%和1.1%，NO</w:t>
            </w:r>
            <w:r>
              <w:rPr>
                <w:rFonts w:hint="eastAsia"/>
                <w:vertAlign w:val="subscript"/>
              </w:rPr>
              <w:t>2</w:t>
            </w:r>
            <w:r>
              <w:rPr>
                <w:rFonts w:hint="eastAsia"/>
              </w:rPr>
              <w:t>、PM</w:t>
            </w:r>
            <w:r>
              <w:rPr>
                <w:rFonts w:hint="eastAsia"/>
                <w:vertAlign w:val="subscript"/>
              </w:rPr>
              <w:t>2.5</w:t>
            </w:r>
            <w:r>
              <w:rPr>
                <w:rFonts w:hint="eastAsia"/>
              </w:rPr>
              <w:t>和CO浓度分别上升了22.4%、0.7%和11.1%。</w:t>
            </w:r>
          </w:p>
          <w:p w14:paraId="06F851A0">
            <w:pPr>
              <w:pStyle w:val="48"/>
            </w:pPr>
            <w:r>
              <w:rPr>
                <w:rFonts w:hint="eastAsia"/>
              </w:rPr>
              <w:t>2023年遂宁市城区环境空气质量现状  单位：mg/m</w:t>
            </w:r>
            <w:r>
              <w:rPr>
                <w:rFonts w:hint="eastAsia"/>
                <w:vertAlign w:val="superscript"/>
              </w:rPr>
              <w:t>3</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06"/>
              <w:gridCol w:w="3186"/>
              <w:gridCol w:w="1217"/>
              <w:gridCol w:w="1080"/>
              <w:gridCol w:w="707"/>
              <w:gridCol w:w="886"/>
            </w:tblGrid>
            <w:tr w14:paraId="0B4E5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7F602E4E">
                  <w:pPr>
                    <w:pStyle w:val="31"/>
                    <w:rPr>
                      <w:b/>
                      <w:bCs/>
                    </w:rPr>
                  </w:pPr>
                  <w:r>
                    <w:rPr>
                      <w:rFonts w:hint="eastAsia"/>
                      <w:b/>
                      <w:bCs/>
                    </w:rPr>
                    <w:t>污染物</w:t>
                  </w:r>
                </w:p>
              </w:tc>
              <w:tc>
                <w:tcPr>
                  <w:tcW w:w="2047" w:type="pct"/>
                  <w:vAlign w:val="center"/>
                </w:tcPr>
                <w:p w14:paraId="27DD559B">
                  <w:pPr>
                    <w:pStyle w:val="31"/>
                    <w:rPr>
                      <w:b/>
                      <w:bCs/>
                    </w:rPr>
                  </w:pPr>
                  <w:r>
                    <w:rPr>
                      <w:rFonts w:hint="eastAsia"/>
                      <w:b/>
                      <w:bCs/>
                    </w:rPr>
                    <w:t>年平价指标</w:t>
                  </w:r>
                </w:p>
              </w:tc>
              <w:tc>
                <w:tcPr>
                  <w:tcW w:w="782" w:type="pct"/>
                  <w:vAlign w:val="center"/>
                </w:tcPr>
                <w:p w14:paraId="7129EB1B">
                  <w:pPr>
                    <w:pStyle w:val="31"/>
                    <w:rPr>
                      <w:b/>
                      <w:bCs/>
                    </w:rPr>
                  </w:pPr>
                  <w:r>
                    <w:rPr>
                      <w:rFonts w:hint="eastAsia"/>
                      <w:b/>
                      <w:bCs/>
                    </w:rPr>
                    <w:t>现状</w:t>
                  </w:r>
                  <w:r>
                    <w:rPr>
                      <w:b/>
                      <w:bCs/>
                    </w:rPr>
                    <w:t>浓度</w:t>
                  </w:r>
                </w:p>
                <w:p w14:paraId="702D55CE">
                  <w:pPr>
                    <w:pStyle w:val="31"/>
                    <w:rPr>
                      <w:b/>
                      <w:bCs/>
                    </w:rPr>
                  </w:pPr>
                  <w:r>
                    <w:rPr>
                      <w:rFonts w:hint="eastAsia"/>
                      <w:b/>
                      <w:bCs/>
                    </w:rPr>
                    <w:t>（</w:t>
                  </w:r>
                  <w:r>
                    <w:rPr>
                      <w:b/>
                      <w:bCs/>
                    </w:rPr>
                    <w:t>μg/m</w:t>
                  </w:r>
                  <w:r>
                    <w:rPr>
                      <w:b/>
                      <w:bCs/>
                      <w:vertAlign w:val="superscript"/>
                    </w:rPr>
                    <w:t>3</w:t>
                  </w:r>
                  <w:r>
                    <w:rPr>
                      <w:rFonts w:hint="eastAsia"/>
                      <w:b/>
                      <w:bCs/>
                    </w:rPr>
                    <w:t>）</w:t>
                  </w:r>
                </w:p>
              </w:tc>
              <w:tc>
                <w:tcPr>
                  <w:tcW w:w="694" w:type="pct"/>
                  <w:vAlign w:val="center"/>
                </w:tcPr>
                <w:p w14:paraId="1641A85D">
                  <w:pPr>
                    <w:pStyle w:val="31"/>
                    <w:rPr>
                      <w:b/>
                      <w:bCs/>
                    </w:rPr>
                  </w:pPr>
                  <w:r>
                    <w:rPr>
                      <w:rFonts w:hint="eastAsia"/>
                      <w:b/>
                      <w:bCs/>
                    </w:rPr>
                    <w:t>标准值（</w:t>
                  </w:r>
                  <w:r>
                    <w:rPr>
                      <w:b/>
                      <w:bCs/>
                    </w:rPr>
                    <w:t>μg/m</w:t>
                  </w:r>
                  <w:r>
                    <w:rPr>
                      <w:b/>
                      <w:bCs/>
                      <w:vertAlign w:val="superscript"/>
                    </w:rPr>
                    <w:t>3</w:t>
                  </w:r>
                  <w:r>
                    <w:rPr>
                      <w:rFonts w:hint="eastAsia"/>
                      <w:b/>
                      <w:bCs/>
                    </w:rPr>
                    <w:t>）</w:t>
                  </w:r>
                </w:p>
              </w:tc>
              <w:tc>
                <w:tcPr>
                  <w:tcW w:w="454" w:type="pct"/>
                  <w:vAlign w:val="center"/>
                </w:tcPr>
                <w:p w14:paraId="6FE4BA3E">
                  <w:pPr>
                    <w:pStyle w:val="31"/>
                    <w:rPr>
                      <w:b/>
                      <w:bCs/>
                    </w:rPr>
                  </w:pPr>
                  <w:r>
                    <w:rPr>
                      <w:rFonts w:hint="eastAsia"/>
                      <w:b/>
                      <w:bCs/>
                    </w:rPr>
                    <w:t>占标率</w:t>
                  </w:r>
                </w:p>
                <w:p w14:paraId="34C9E126">
                  <w:pPr>
                    <w:pStyle w:val="31"/>
                    <w:rPr>
                      <w:b/>
                      <w:bCs/>
                    </w:rPr>
                  </w:pPr>
                  <w:r>
                    <w:rPr>
                      <w:rFonts w:hint="eastAsia"/>
                      <w:b/>
                      <w:bCs/>
                    </w:rPr>
                    <w:t>%</w:t>
                  </w:r>
                </w:p>
              </w:tc>
              <w:tc>
                <w:tcPr>
                  <w:tcW w:w="569" w:type="pct"/>
                  <w:vAlign w:val="center"/>
                </w:tcPr>
                <w:p w14:paraId="3FCF35C3">
                  <w:pPr>
                    <w:pStyle w:val="31"/>
                    <w:rPr>
                      <w:b/>
                      <w:bCs/>
                    </w:rPr>
                  </w:pPr>
                  <w:r>
                    <w:rPr>
                      <w:rFonts w:hint="eastAsia"/>
                      <w:b/>
                      <w:bCs/>
                    </w:rPr>
                    <w:t>达标</w:t>
                  </w:r>
                  <w:r>
                    <w:rPr>
                      <w:b/>
                      <w:bCs/>
                    </w:rPr>
                    <w:t>情况</w:t>
                  </w:r>
                </w:p>
              </w:tc>
            </w:tr>
            <w:tr w14:paraId="122A4A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57012AFA">
                  <w:pPr>
                    <w:pStyle w:val="31"/>
                  </w:pPr>
                  <w:r>
                    <w:rPr>
                      <w:rFonts w:hint="eastAsia"/>
                    </w:rPr>
                    <w:t>SO</w:t>
                  </w:r>
                  <w:r>
                    <w:rPr>
                      <w:rFonts w:hint="eastAsia"/>
                      <w:vertAlign w:val="subscript"/>
                    </w:rPr>
                    <w:t>2</w:t>
                  </w:r>
                </w:p>
              </w:tc>
              <w:tc>
                <w:tcPr>
                  <w:tcW w:w="2047" w:type="pct"/>
                  <w:vMerge w:val="restart"/>
                  <w:vAlign w:val="center"/>
                </w:tcPr>
                <w:p w14:paraId="62DA9BB9">
                  <w:pPr>
                    <w:pStyle w:val="31"/>
                  </w:pPr>
                  <w:r>
                    <w:rPr>
                      <w:rFonts w:hint="eastAsia"/>
                    </w:rPr>
                    <w:t>年平均</w:t>
                  </w:r>
                  <w:r>
                    <w:t>质量浓度</w:t>
                  </w:r>
                </w:p>
              </w:tc>
              <w:tc>
                <w:tcPr>
                  <w:tcW w:w="782" w:type="pct"/>
                  <w:vAlign w:val="center"/>
                </w:tcPr>
                <w:p w14:paraId="7794FF6A">
                  <w:pPr>
                    <w:pStyle w:val="31"/>
                  </w:pPr>
                  <w:r>
                    <w:rPr>
                      <w:bCs/>
                      <w:lang w:bidi="ar"/>
                    </w:rPr>
                    <w:t>8.1</w:t>
                  </w:r>
                </w:p>
              </w:tc>
              <w:tc>
                <w:tcPr>
                  <w:tcW w:w="694" w:type="pct"/>
                  <w:vAlign w:val="center"/>
                </w:tcPr>
                <w:p w14:paraId="2A178556">
                  <w:pPr>
                    <w:pStyle w:val="31"/>
                  </w:pPr>
                  <w:r>
                    <w:rPr>
                      <w:bCs/>
                      <w:lang w:bidi="ar"/>
                    </w:rPr>
                    <w:t>60</w:t>
                  </w:r>
                </w:p>
              </w:tc>
              <w:tc>
                <w:tcPr>
                  <w:tcW w:w="454" w:type="pct"/>
                  <w:vAlign w:val="center"/>
                </w:tcPr>
                <w:p w14:paraId="63630995">
                  <w:pPr>
                    <w:pStyle w:val="31"/>
                  </w:pPr>
                  <w:r>
                    <w:rPr>
                      <w:rFonts w:hint="eastAsia"/>
                    </w:rPr>
                    <w:t>13</w:t>
                  </w:r>
                  <w:r>
                    <w:t>.5</w:t>
                  </w:r>
                </w:p>
              </w:tc>
              <w:tc>
                <w:tcPr>
                  <w:tcW w:w="569" w:type="pct"/>
                  <w:vMerge w:val="restart"/>
                  <w:vAlign w:val="center"/>
                </w:tcPr>
                <w:p w14:paraId="6973950F">
                  <w:pPr>
                    <w:pStyle w:val="31"/>
                  </w:pPr>
                  <w:r>
                    <w:rPr>
                      <w:rFonts w:hint="eastAsia"/>
                    </w:rPr>
                    <w:t>达标</w:t>
                  </w:r>
                </w:p>
              </w:tc>
            </w:tr>
            <w:tr w14:paraId="7C9C97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7B891DD7">
                  <w:pPr>
                    <w:pStyle w:val="31"/>
                  </w:pPr>
                  <w:r>
                    <w:rPr>
                      <w:rFonts w:hint="eastAsia"/>
                    </w:rPr>
                    <w:t>NO</w:t>
                  </w:r>
                  <w:r>
                    <w:rPr>
                      <w:rFonts w:hint="eastAsia"/>
                      <w:vertAlign w:val="subscript"/>
                    </w:rPr>
                    <w:t>2</w:t>
                  </w:r>
                </w:p>
              </w:tc>
              <w:tc>
                <w:tcPr>
                  <w:tcW w:w="2047" w:type="pct"/>
                  <w:vMerge w:val="continue"/>
                  <w:vAlign w:val="center"/>
                </w:tcPr>
                <w:p w14:paraId="564AC6B4">
                  <w:pPr>
                    <w:pStyle w:val="31"/>
                  </w:pPr>
                </w:p>
              </w:tc>
              <w:tc>
                <w:tcPr>
                  <w:tcW w:w="782" w:type="pct"/>
                  <w:vAlign w:val="center"/>
                </w:tcPr>
                <w:p w14:paraId="0DB5BC23">
                  <w:pPr>
                    <w:pStyle w:val="31"/>
                  </w:pPr>
                  <w:r>
                    <w:rPr>
                      <w:bCs/>
                      <w:lang w:bidi="ar"/>
                    </w:rPr>
                    <w:t>25.2</w:t>
                  </w:r>
                </w:p>
              </w:tc>
              <w:tc>
                <w:tcPr>
                  <w:tcW w:w="694" w:type="pct"/>
                  <w:vAlign w:val="center"/>
                </w:tcPr>
                <w:p w14:paraId="0FFF4EE7">
                  <w:pPr>
                    <w:pStyle w:val="31"/>
                  </w:pPr>
                  <w:r>
                    <w:rPr>
                      <w:bCs/>
                      <w:lang w:bidi="ar"/>
                    </w:rPr>
                    <w:t>40</w:t>
                  </w:r>
                </w:p>
              </w:tc>
              <w:tc>
                <w:tcPr>
                  <w:tcW w:w="454" w:type="pct"/>
                  <w:vAlign w:val="center"/>
                </w:tcPr>
                <w:p w14:paraId="5082B2A2">
                  <w:pPr>
                    <w:pStyle w:val="31"/>
                  </w:pPr>
                  <w:r>
                    <w:rPr>
                      <w:rFonts w:hint="eastAsia"/>
                    </w:rPr>
                    <w:t>6</w:t>
                  </w:r>
                  <w:r>
                    <w:t>3</w:t>
                  </w:r>
                </w:p>
              </w:tc>
              <w:tc>
                <w:tcPr>
                  <w:tcW w:w="569" w:type="pct"/>
                  <w:vMerge w:val="continue"/>
                  <w:vAlign w:val="center"/>
                </w:tcPr>
                <w:p w14:paraId="410BCBF7">
                  <w:pPr>
                    <w:pStyle w:val="31"/>
                  </w:pPr>
                </w:p>
              </w:tc>
            </w:tr>
            <w:tr w14:paraId="5EFB5E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1E7766FD">
                  <w:pPr>
                    <w:pStyle w:val="31"/>
                  </w:pPr>
                  <w:r>
                    <w:rPr>
                      <w:rFonts w:hint="eastAsia"/>
                    </w:rPr>
                    <w:t>PM</w:t>
                  </w:r>
                  <w:r>
                    <w:rPr>
                      <w:rFonts w:hint="eastAsia"/>
                      <w:vertAlign w:val="subscript"/>
                    </w:rPr>
                    <w:t>10</w:t>
                  </w:r>
                </w:p>
              </w:tc>
              <w:tc>
                <w:tcPr>
                  <w:tcW w:w="2047" w:type="pct"/>
                  <w:vMerge w:val="continue"/>
                  <w:vAlign w:val="center"/>
                </w:tcPr>
                <w:p w14:paraId="65B6CCA7">
                  <w:pPr>
                    <w:pStyle w:val="31"/>
                  </w:pPr>
                </w:p>
              </w:tc>
              <w:tc>
                <w:tcPr>
                  <w:tcW w:w="782" w:type="pct"/>
                  <w:vAlign w:val="center"/>
                </w:tcPr>
                <w:p w14:paraId="30D60D38">
                  <w:pPr>
                    <w:pStyle w:val="31"/>
                  </w:pPr>
                  <w:r>
                    <w:rPr>
                      <w:bCs/>
                      <w:lang w:bidi="ar"/>
                    </w:rPr>
                    <w:t>50.2</w:t>
                  </w:r>
                </w:p>
              </w:tc>
              <w:tc>
                <w:tcPr>
                  <w:tcW w:w="694" w:type="pct"/>
                  <w:vAlign w:val="center"/>
                </w:tcPr>
                <w:p w14:paraId="1EC5DC10">
                  <w:pPr>
                    <w:pStyle w:val="31"/>
                  </w:pPr>
                  <w:r>
                    <w:rPr>
                      <w:bCs/>
                      <w:lang w:bidi="ar"/>
                    </w:rPr>
                    <w:t>70</w:t>
                  </w:r>
                </w:p>
              </w:tc>
              <w:tc>
                <w:tcPr>
                  <w:tcW w:w="454" w:type="pct"/>
                  <w:vAlign w:val="center"/>
                </w:tcPr>
                <w:p w14:paraId="27980690">
                  <w:pPr>
                    <w:pStyle w:val="31"/>
                  </w:pPr>
                  <w:r>
                    <w:rPr>
                      <w:rFonts w:hint="eastAsia"/>
                    </w:rPr>
                    <w:t>7</w:t>
                  </w:r>
                  <w:r>
                    <w:t>1.7</w:t>
                  </w:r>
                </w:p>
              </w:tc>
              <w:tc>
                <w:tcPr>
                  <w:tcW w:w="569" w:type="pct"/>
                  <w:vMerge w:val="continue"/>
                  <w:vAlign w:val="center"/>
                </w:tcPr>
                <w:p w14:paraId="0E40975C">
                  <w:pPr>
                    <w:pStyle w:val="31"/>
                  </w:pPr>
                </w:p>
              </w:tc>
            </w:tr>
            <w:tr w14:paraId="53C64D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6C56797D">
                  <w:pPr>
                    <w:pStyle w:val="31"/>
                  </w:pPr>
                  <w:r>
                    <w:rPr>
                      <w:rFonts w:hint="eastAsia"/>
                    </w:rPr>
                    <w:t>PM</w:t>
                  </w:r>
                  <w:r>
                    <w:rPr>
                      <w:rFonts w:hint="eastAsia"/>
                      <w:vertAlign w:val="subscript"/>
                    </w:rPr>
                    <w:t>2.5</w:t>
                  </w:r>
                </w:p>
              </w:tc>
              <w:tc>
                <w:tcPr>
                  <w:tcW w:w="2047" w:type="pct"/>
                  <w:vMerge w:val="continue"/>
                  <w:vAlign w:val="center"/>
                </w:tcPr>
                <w:p w14:paraId="4C7FB362">
                  <w:pPr>
                    <w:pStyle w:val="31"/>
                  </w:pPr>
                </w:p>
              </w:tc>
              <w:tc>
                <w:tcPr>
                  <w:tcW w:w="782" w:type="pct"/>
                  <w:vAlign w:val="center"/>
                </w:tcPr>
                <w:p w14:paraId="5A11A3EC">
                  <w:pPr>
                    <w:pStyle w:val="31"/>
                  </w:pPr>
                  <w:r>
                    <w:rPr>
                      <w:bCs/>
                      <w:lang w:bidi="ar"/>
                    </w:rPr>
                    <w:t>30.1</w:t>
                  </w:r>
                </w:p>
              </w:tc>
              <w:tc>
                <w:tcPr>
                  <w:tcW w:w="694" w:type="pct"/>
                  <w:vAlign w:val="center"/>
                </w:tcPr>
                <w:p w14:paraId="71CA6F18">
                  <w:pPr>
                    <w:pStyle w:val="31"/>
                  </w:pPr>
                  <w:r>
                    <w:rPr>
                      <w:bCs/>
                      <w:lang w:bidi="ar"/>
                    </w:rPr>
                    <w:t>35</w:t>
                  </w:r>
                </w:p>
              </w:tc>
              <w:tc>
                <w:tcPr>
                  <w:tcW w:w="454" w:type="pct"/>
                  <w:vAlign w:val="center"/>
                </w:tcPr>
                <w:p w14:paraId="7E14EE2A">
                  <w:pPr>
                    <w:pStyle w:val="31"/>
                  </w:pPr>
                  <w:r>
                    <w:t>86</w:t>
                  </w:r>
                </w:p>
              </w:tc>
              <w:tc>
                <w:tcPr>
                  <w:tcW w:w="569" w:type="pct"/>
                  <w:vMerge w:val="continue"/>
                  <w:vAlign w:val="center"/>
                </w:tcPr>
                <w:p w14:paraId="0401CA9B">
                  <w:pPr>
                    <w:pStyle w:val="31"/>
                  </w:pPr>
                </w:p>
              </w:tc>
            </w:tr>
            <w:tr w14:paraId="685D07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79A4E70D">
                  <w:pPr>
                    <w:pStyle w:val="31"/>
                  </w:pPr>
                  <w:r>
                    <w:rPr>
                      <w:rFonts w:hint="eastAsia"/>
                    </w:rPr>
                    <w:t>CO</w:t>
                  </w:r>
                </w:p>
              </w:tc>
              <w:tc>
                <w:tcPr>
                  <w:tcW w:w="2047" w:type="pct"/>
                  <w:vAlign w:val="center"/>
                </w:tcPr>
                <w:p w14:paraId="4640D588">
                  <w:pPr>
                    <w:pStyle w:val="31"/>
                  </w:pPr>
                  <w:r>
                    <w:rPr>
                      <w:kern w:val="28"/>
                    </w:rPr>
                    <w:t>日均浓度的第95百分位数</w:t>
                  </w:r>
                </w:p>
              </w:tc>
              <w:tc>
                <w:tcPr>
                  <w:tcW w:w="782" w:type="pct"/>
                  <w:vAlign w:val="center"/>
                </w:tcPr>
                <w:p w14:paraId="404CAD54">
                  <w:pPr>
                    <w:pStyle w:val="31"/>
                  </w:pPr>
                  <w:r>
                    <w:rPr>
                      <w:bCs/>
                      <w:lang w:bidi="ar"/>
                    </w:rPr>
                    <w:t>1000</w:t>
                  </w:r>
                </w:p>
              </w:tc>
              <w:tc>
                <w:tcPr>
                  <w:tcW w:w="694" w:type="pct"/>
                  <w:vAlign w:val="center"/>
                </w:tcPr>
                <w:p w14:paraId="58A25112">
                  <w:pPr>
                    <w:pStyle w:val="31"/>
                  </w:pPr>
                  <w:r>
                    <w:rPr>
                      <w:bCs/>
                      <w:lang w:bidi="ar"/>
                    </w:rPr>
                    <w:t>4</w:t>
                  </w:r>
                  <w:r>
                    <w:rPr>
                      <w:rFonts w:hint="eastAsia"/>
                      <w:bCs/>
                      <w:lang w:bidi="ar"/>
                    </w:rPr>
                    <w:t>000</w:t>
                  </w:r>
                </w:p>
              </w:tc>
              <w:tc>
                <w:tcPr>
                  <w:tcW w:w="454" w:type="pct"/>
                  <w:vAlign w:val="center"/>
                </w:tcPr>
                <w:p w14:paraId="660D0C68">
                  <w:pPr>
                    <w:pStyle w:val="31"/>
                  </w:pPr>
                  <w:r>
                    <w:rPr>
                      <w:rFonts w:hint="eastAsia"/>
                    </w:rPr>
                    <w:t>2</w:t>
                  </w:r>
                  <w:r>
                    <w:t>5</w:t>
                  </w:r>
                </w:p>
              </w:tc>
              <w:tc>
                <w:tcPr>
                  <w:tcW w:w="569" w:type="pct"/>
                  <w:vMerge w:val="continue"/>
                  <w:vAlign w:val="center"/>
                </w:tcPr>
                <w:p w14:paraId="1DA1EF10">
                  <w:pPr>
                    <w:pStyle w:val="31"/>
                  </w:pPr>
                </w:p>
              </w:tc>
            </w:tr>
            <w:tr w14:paraId="238591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54" w:type="pct"/>
                  <w:vAlign w:val="center"/>
                </w:tcPr>
                <w:p w14:paraId="53EC75FF">
                  <w:pPr>
                    <w:pStyle w:val="31"/>
                  </w:pPr>
                  <w:r>
                    <w:rPr>
                      <w:rFonts w:hint="eastAsia"/>
                    </w:rPr>
                    <w:t>O</w:t>
                  </w:r>
                  <w:r>
                    <w:rPr>
                      <w:rFonts w:hint="eastAsia"/>
                      <w:vertAlign w:val="subscript"/>
                    </w:rPr>
                    <w:t>3</w:t>
                  </w:r>
                </w:p>
              </w:tc>
              <w:tc>
                <w:tcPr>
                  <w:tcW w:w="2047" w:type="pct"/>
                  <w:vAlign w:val="center"/>
                </w:tcPr>
                <w:p w14:paraId="31779D9E">
                  <w:pPr>
                    <w:pStyle w:val="31"/>
                  </w:pPr>
                  <w:r>
                    <w:rPr>
                      <w:kern w:val="28"/>
                    </w:rPr>
                    <w:t>日最大8h平均浓度的第90百分位数</w:t>
                  </w:r>
                </w:p>
              </w:tc>
              <w:tc>
                <w:tcPr>
                  <w:tcW w:w="782" w:type="pct"/>
                  <w:vAlign w:val="center"/>
                </w:tcPr>
                <w:p w14:paraId="54E6720A">
                  <w:pPr>
                    <w:pStyle w:val="31"/>
                  </w:pPr>
                  <w:r>
                    <w:rPr>
                      <w:bCs/>
                      <w:lang w:bidi="ar"/>
                    </w:rPr>
                    <w:t>148.2</w:t>
                  </w:r>
                </w:p>
              </w:tc>
              <w:tc>
                <w:tcPr>
                  <w:tcW w:w="694" w:type="pct"/>
                  <w:vAlign w:val="center"/>
                </w:tcPr>
                <w:p w14:paraId="27B1D9F4">
                  <w:pPr>
                    <w:pStyle w:val="31"/>
                  </w:pPr>
                  <w:r>
                    <w:rPr>
                      <w:bCs/>
                      <w:lang w:bidi="ar"/>
                    </w:rPr>
                    <w:t>160</w:t>
                  </w:r>
                </w:p>
              </w:tc>
              <w:tc>
                <w:tcPr>
                  <w:tcW w:w="454" w:type="pct"/>
                  <w:vAlign w:val="center"/>
                </w:tcPr>
                <w:p w14:paraId="6D0323D4">
                  <w:pPr>
                    <w:pStyle w:val="31"/>
                  </w:pPr>
                  <w:r>
                    <w:rPr>
                      <w:rFonts w:hint="eastAsia"/>
                    </w:rPr>
                    <w:t>9</w:t>
                  </w:r>
                  <w:r>
                    <w:t>2.6</w:t>
                  </w:r>
                </w:p>
              </w:tc>
              <w:tc>
                <w:tcPr>
                  <w:tcW w:w="569" w:type="pct"/>
                  <w:vMerge w:val="continue"/>
                  <w:vAlign w:val="center"/>
                </w:tcPr>
                <w:p w14:paraId="2C827314">
                  <w:pPr>
                    <w:pStyle w:val="31"/>
                  </w:pPr>
                </w:p>
              </w:tc>
            </w:tr>
          </w:tbl>
          <w:p w14:paraId="5639D60D">
            <w:pPr>
              <w:ind w:firstLine="480"/>
              <w:rPr>
                <w:b/>
              </w:rPr>
            </w:pPr>
            <w:r>
              <w:t>由</w:t>
            </w:r>
            <w:r>
              <w:rPr>
                <w:rFonts w:hint="eastAsia"/>
              </w:rPr>
              <w:t>上表可知</w:t>
            </w:r>
            <w:r>
              <w:t>：</w:t>
            </w:r>
            <w:r>
              <w:rPr>
                <w:rFonts w:hint="eastAsia"/>
              </w:rPr>
              <w:t>评价区域</w:t>
            </w:r>
            <w:r>
              <w:t>环境空气质量现状平均值</w:t>
            </w:r>
            <w:r>
              <w:rPr>
                <w:rFonts w:hint="eastAsia"/>
              </w:rPr>
              <w:t>占标</w:t>
            </w:r>
            <w:r>
              <w:t>率均小于</w:t>
            </w:r>
            <w:r>
              <w:rPr>
                <w:rFonts w:hint="eastAsia"/>
              </w:rPr>
              <w:t>100</w:t>
            </w:r>
            <w:r>
              <w:t>%，满足《环境空气质量标准》（GB3095-</w:t>
            </w:r>
            <w:r>
              <w:rPr>
                <w:rFonts w:hint="eastAsia"/>
              </w:rPr>
              <w:t>2012</w:t>
            </w:r>
            <w:r>
              <w:t>）中的二级标准限值要求，</w:t>
            </w:r>
            <w:r>
              <w:rPr>
                <w:rFonts w:hint="eastAsia"/>
                <w:b/>
              </w:rPr>
              <w:t>大英县</w:t>
            </w:r>
            <w:r>
              <w:rPr>
                <w:b/>
              </w:rPr>
              <w:t>属于达标区域。</w:t>
            </w:r>
          </w:p>
          <w:p w14:paraId="03D599DA">
            <w:pPr>
              <w:ind w:firstLine="482"/>
              <w:rPr>
                <w:rFonts w:cs="Times New Roman"/>
                <w:b/>
                <w:bCs/>
              </w:rPr>
            </w:pPr>
            <w:r>
              <w:rPr>
                <w:rFonts w:hint="eastAsia" w:cs="Times New Roman"/>
                <w:b/>
                <w:bCs/>
              </w:rPr>
              <w:t>（2）</w:t>
            </w:r>
            <w:r>
              <w:rPr>
                <w:rFonts w:cs="Times New Roman"/>
                <w:b/>
                <w:bCs/>
              </w:rPr>
              <w:t>特征因子环境质量现状</w:t>
            </w:r>
          </w:p>
          <w:p w14:paraId="347BED9A">
            <w:pPr>
              <w:tabs>
                <w:tab w:val="left" w:pos="630"/>
              </w:tabs>
              <w:ind w:firstLine="480"/>
              <w:rPr>
                <w:szCs w:val="24"/>
              </w:rPr>
            </w:pPr>
            <w:r>
              <w:rPr>
                <w:rFonts w:hint="eastAsia"/>
                <w:szCs w:val="24"/>
              </w:rPr>
              <w:t>为了解项目环境空气质量现状，本次引用“</w:t>
            </w:r>
            <w:r>
              <w:rPr>
                <w:rFonts w:hint="eastAsia"/>
              </w:rPr>
              <w:t>遂宁升宏年产2万吨耐高温尼龙建设项目</w:t>
            </w:r>
            <w:r>
              <w:rPr>
                <w:rFonts w:hint="eastAsia"/>
                <w:szCs w:val="24"/>
              </w:rPr>
              <w:t>”于202</w:t>
            </w:r>
            <w:r>
              <w:rPr>
                <w:szCs w:val="24"/>
              </w:rPr>
              <w:t>4</w:t>
            </w:r>
            <w:r>
              <w:rPr>
                <w:rFonts w:hint="eastAsia"/>
                <w:szCs w:val="24"/>
              </w:rPr>
              <w:t>年</w:t>
            </w:r>
            <w:r>
              <w:rPr>
                <w:szCs w:val="24"/>
              </w:rPr>
              <w:t>5</w:t>
            </w:r>
            <w:r>
              <w:rPr>
                <w:rFonts w:hint="eastAsia"/>
                <w:szCs w:val="24"/>
              </w:rPr>
              <w:t>月</w:t>
            </w:r>
            <w:r>
              <w:rPr>
                <w:szCs w:val="24"/>
              </w:rPr>
              <w:t>17</w:t>
            </w:r>
            <w:r>
              <w:rPr>
                <w:rFonts w:hint="eastAsia"/>
                <w:szCs w:val="24"/>
              </w:rPr>
              <w:t>日~</w:t>
            </w:r>
            <w:r>
              <w:rPr>
                <w:szCs w:val="24"/>
              </w:rPr>
              <w:t>5</w:t>
            </w:r>
            <w:r>
              <w:rPr>
                <w:rFonts w:hint="eastAsia"/>
                <w:szCs w:val="24"/>
              </w:rPr>
              <w:t>月</w:t>
            </w:r>
            <w:r>
              <w:rPr>
                <w:szCs w:val="24"/>
              </w:rPr>
              <w:t>23</w:t>
            </w:r>
            <w:r>
              <w:rPr>
                <w:rFonts w:hint="eastAsia"/>
                <w:szCs w:val="24"/>
              </w:rPr>
              <w:t>日的环境空气质量现状结果。</w:t>
            </w:r>
          </w:p>
          <w:p w14:paraId="115709A3">
            <w:pPr>
              <w:ind w:firstLine="480"/>
              <w:rPr>
                <w:rFonts w:cs="Times New Roman"/>
                <w:sz w:val="18"/>
                <w:szCs w:val="18"/>
              </w:rPr>
            </w:pPr>
            <w:r>
              <w:rPr>
                <w:rFonts w:hint="eastAsia"/>
              </w:rPr>
              <w:t>监测方案如下。</w:t>
            </w:r>
          </w:p>
          <w:p w14:paraId="531959C7">
            <w:pPr>
              <w:adjustRightInd w:val="0"/>
              <w:ind w:firstLine="480"/>
              <w:rPr>
                <w:szCs w:val="24"/>
              </w:rPr>
            </w:pPr>
            <w:r>
              <w:rPr>
                <w:rFonts w:hint="eastAsia"/>
                <w:szCs w:val="24"/>
              </w:rPr>
              <w:t>监测点位：设置1个监测点位（距离本项目1.7km）。</w:t>
            </w:r>
          </w:p>
          <w:p w14:paraId="0E95FD8A">
            <w:pPr>
              <w:adjustRightInd w:val="0"/>
              <w:ind w:firstLine="480"/>
              <w:rPr>
                <w:szCs w:val="24"/>
              </w:rPr>
            </w:pPr>
            <w:r>
              <w:rPr>
                <w:rFonts w:hint="eastAsia"/>
                <w:szCs w:val="24"/>
              </w:rPr>
              <w:t>监测因子：TSP、NH</w:t>
            </w:r>
            <w:r>
              <w:rPr>
                <w:rFonts w:hint="eastAsia"/>
                <w:szCs w:val="24"/>
                <w:vertAlign w:val="subscript"/>
              </w:rPr>
              <w:t>3</w:t>
            </w:r>
            <w:r>
              <w:rPr>
                <w:rFonts w:hint="eastAsia"/>
                <w:szCs w:val="24"/>
              </w:rPr>
              <w:t>、非甲烷总烃、N</w:t>
            </w:r>
            <w:r>
              <w:rPr>
                <w:szCs w:val="24"/>
              </w:rPr>
              <w:t>O</w:t>
            </w:r>
            <w:r>
              <w:rPr>
                <w:szCs w:val="24"/>
                <w:vertAlign w:val="subscript"/>
              </w:rPr>
              <w:t>X</w:t>
            </w:r>
            <w:r>
              <w:rPr>
                <w:rFonts w:hint="eastAsia"/>
                <w:szCs w:val="24"/>
              </w:rPr>
              <w:t>。</w:t>
            </w:r>
          </w:p>
          <w:p w14:paraId="2B2C4D3C">
            <w:pPr>
              <w:adjustRightInd w:val="0"/>
              <w:ind w:firstLine="480"/>
              <w:rPr>
                <w:szCs w:val="24"/>
              </w:rPr>
            </w:pPr>
            <w:r>
              <w:rPr>
                <w:rFonts w:hint="eastAsia"/>
                <w:szCs w:val="24"/>
              </w:rPr>
              <w:t>监测频率：连续监测7天，TSP监测2</w:t>
            </w:r>
            <w:r>
              <w:rPr>
                <w:szCs w:val="24"/>
              </w:rPr>
              <w:t>4h</w:t>
            </w:r>
            <w:r>
              <w:rPr>
                <w:rFonts w:hint="eastAsia"/>
                <w:szCs w:val="24"/>
              </w:rPr>
              <w:t>均值，NH</w:t>
            </w:r>
            <w:r>
              <w:rPr>
                <w:rFonts w:hint="eastAsia"/>
                <w:szCs w:val="24"/>
                <w:vertAlign w:val="subscript"/>
              </w:rPr>
              <w:t>3</w:t>
            </w:r>
            <w:r>
              <w:rPr>
                <w:rFonts w:hint="eastAsia"/>
                <w:szCs w:val="24"/>
              </w:rPr>
              <w:t>、非甲烷总烃、N</w:t>
            </w:r>
            <w:r>
              <w:rPr>
                <w:szCs w:val="24"/>
              </w:rPr>
              <w:t>O</w:t>
            </w:r>
            <w:r>
              <w:rPr>
                <w:szCs w:val="24"/>
                <w:vertAlign w:val="subscript"/>
              </w:rPr>
              <w:t>X</w:t>
            </w:r>
            <w:r>
              <w:rPr>
                <w:rFonts w:hint="eastAsia"/>
                <w:szCs w:val="24"/>
              </w:rPr>
              <w:t>监测</w:t>
            </w:r>
            <w:r>
              <w:rPr>
                <w:szCs w:val="24"/>
              </w:rPr>
              <w:t>1</w:t>
            </w:r>
            <w:r>
              <w:rPr>
                <w:rFonts w:hint="eastAsia"/>
                <w:szCs w:val="24"/>
              </w:rPr>
              <w:t>小时均值。</w:t>
            </w:r>
          </w:p>
          <w:p w14:paraId="5D9BAFD1">
            <w:pPr>
              <w:adjustRightInd w:val="0"/>
              <w:ind w:firstLine="480"/>
              <w:rPr>
                <w:szCs w:val="24"/>
              </w:rPr>
            </w:pPr>
            <w:r>
              <w:rPr>
                <w:rFonts w:hint="eastAsia"/>
                <w:szCs w:val="24"/>
              </w:rPr>
              <w:t>监测时间：202</w:t>
            </w:r>
            <w:r>
              <w:rPr>
                <w:szCs w:val="24"/>
              </w:rPr>
              <w:t>4</w:t>
            </w:r>
            <w:r>
              <w:rPr>
                <w:rFonts w:hint="eastAsia"/>
                <w:szCs w:val="24"/>
              </w:rPr>
              <w:t>年</w:t>
            </w:r>
            <w:r>
              <w:rPr>
                <w:szCs w:val="24"/>
              </w:rPr>
              <w:t>5</w:t>
            </w:r>
            <w:r>
              <w:rPr>
                <w:rFonts w:hint="eastAsia"/>
                <w:szCs w:val="24"/>
              </w:rPr>
              <w:t>月</w:t>
            </w:r>
            <w:r>
              <w:rPr>
                <w:szCs w:val="24"/>
              </w:rPr>
              <w:t>17</w:t>
            </w:r>
            <w:r>
              <w:rPr>
                <w:rFonts w:hint="eastAsia"/>
                <w:szCs w:val="24"/>
              </w:rPr>
              <w:t>日～</w:t>
            </w:r>
            <w:r>
              <w:rPr>
                <w:szCs w:val="24"/>
              </w:rPr>
              <w:t>5</w:t>
            </w:r>
            <w:r>
              <w:rPr>
                <w:rFonts w:hint="eastAsia"/>
                <w:szCs w:val="24"/>
              </w:rPr>
              <w:t>月</w:t>
            </w:r>
            <w:r>
              <w:rPr>
                <w:szCs w:val="24"/>
              </w:rPr>
              <w:t>23</w:t>
            </w:r>
            <w:r>
              <w:rPr>
                <w:rFonts w:hint="eastAsia"/>
                <w:szCs w:val="24"/>
              </w:rPr>
              <w:t>日，连续监测7天。</w:t>
            </w:r>
          </w:p>
          <w:p w14:paraId="38B4C788">
            <w:pPr>
              <w:ind w:firstLine="480"/>
            </w:pPr>
            <w:r>
              <w:rPr>
                <w:rFonts w:hint="eastAsia"/>
              </w:rPr>
              <w:t>监测结果如下表所示。</w:t>
            </w:r>
          </w:p>
          <w:p w14:paraId="0A5787BF">
            <w:pPr>
              <w:pStyle w:val="48"/>
            </w:pPr>
            <w:r>
              <w:rPr>
                <w:rFonts w:hint="eastAsia"/>
              </w:rPr>
              <w:t>环境空气监测结果表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91"/>
              <w:gridCol w:w="861"/>
              <w:gridCol w:w="1143"/>
              <w:gridCol w:w="1244"/>
              <w:gridCol w:w="1339"/>
              <w:gridCol w:w="1062"/>
              <w:gridCol w:w="764"/>
              <w:gridCol w:w="680"/>
            </w:tblGrid>
            <w:tr w14:paraId="7AB14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444" w:type="pct"/>
                  <w:vMerge w:val="restart"/>
                  <w:vAlign w:val="center"/>
                </w:tcPr>
                <w:p w14:paraId="5AFF6DF9">
                  <w:pPr>
                    <w:pStyle w:val="31"/>
                  </w:pPr>
                  <w:r>
                    <w:rPr>
                      <w:rFonts w:hint="eastAsia"/>
                    </w:rPr>
                    <w:t>监测</w:t>
                  </w:r>
                  <w:r>
                    <w:t>点</w:t>
                  </w:r>
                  <w:r>
                    <w:rPr>
                      <w:rFonts w:hint="eastAsia"/>
                    </w:rPr>
                    <w:t>位</w:t>
                  </w:r>
                </w:p>
              </w:tc>
              <w:tc>
                <w:tcPr>
                  <w:tcW w:w="553" w:type="pct"/>
                  <w:vMerge w:val="restart"/>
                  <w:vAlign w:val="center"/>
                </w:tcPr>
                <w:p w14:paraId="142ABD28">
                  <w:pPr>
                    <w:pStyle w:val="31"/>
                  </w:pPr>
                  <w:r>
                    <w:rPr>
                      <w:rFonts w:hint="eastAsia"/>
                    </w:rPr>
                    <w:t>污染物</w:t>
                  </w:r>
                </w:p>
              </w:tc>
              <w:tc>
                <w:tcPr>
                  <w:tcW w:w="734" w:type="pct"/>
                  <w:vMerge w:val="restart"/>
                  <w:vAlign w:val="center"/>
                </w:tcPr>
                <w:p w14:paraId="46A756E3">
                  <w:pPr>
                    <w:pStyle w:val="31"/>
                  </w:pPr>
                  <w:r>
                    <w:rPr>
                      <w:rFonts w:hint="eastAsia"/>
                    </w:rPr>
                    <w:t>平均</w:t>
                  </w:r>
                  <w:r>
                    <w:t>时间</w:t>
                  </w:r>
                </w:p>
              </w:tc>
              <w:tc>
                <w:tcPr>
                  <w:tcW w:w="799" w:type="pct"/>
                  <w:vMerge w:val="restart"/>
                  <w:vAlign w:val="center"/>
                </w:tcPr>
                <w:p w14:paraId="1CBD1484">
                  <w:pPr>
                    <w:pStyle w:val="31"/>
                  </w:pPr>
                  <w:r>
                    <w:rPr>
                      <w:rFonts w:hint="eastAsia"/>
                    </w:rPr>
                    <w:t>评价</w:t>
                  </w:r>
                  <w:r>
                    <w:t>标准</w:t>
                  </w:r>
                  <w:r>
                    <w:rPr>
                      <w:rFonts w:hint="eastAsia"/>
                    </w:rPr>
                    <w:t>（</w:t>
                  </w:r>
                  <w:r>
                    <w:t>mg/m</w:t>
                  </w:r>
                  <w:r>
                    <w:rPr>
                      <w:vertAlign w:val="superscript"/>
                    </w:rPr>
                    <w:t>3</w:t>
                  </w:r>
                  <w:r>
                    <w:rPr>
                      <w:rFonts w:hint="eastAsia"/>
                    </w:rPr>
                    <w:t>）</w:t>
                  </w:r>
                </w:p>
              </w:tc>
              <w:tc>
                <w:tcPr>
                  <w:tcW w:w="860" w:type="pct"/>
                  <w:vMerge w:val="restart"/>
                  <w:vAlign w:val="center"/>
                </w:tcPr>
                <w:p w14:paraId="1CC8BB76">
                  <w:pPr>
                    <w:pStyle w:val="31"/>
                  </w:pPr>
                  <w:r>
                    <w:rPr>
                      <w:rFonts w:hint="eastAsia"/>
                    </w:rPr>
                    <w:t>监测</w:t>
                  </w:r>
                  <w:r>
                    <w:t>浓度范围</w:t>
                  </w:r>
                  <w:r>
                    <w:rPr>
                      <w:rFonts w:hint="eastAsia"/>
                    </w:rPr>
                    <w:t>（</w:t>
                  </w:r>
                  <w:r>
                    <w:t>mg/m</w:t>
                  </w:r>
                  <w:r>
                    <w:rPr>
                      <w:vertAlign w:val="superscript"/>
                    </w:rPr>
                    <w:t>3</w:t>
                  </w:r>
                  <w:r>
                    <w:rPr>
                      <w:rFonts w:hint="eastAsia"/>
                    </w:rPr>
                    <w:t>）</w:t>
                  </w:r>
                </w:p>
              </w:tc>
              <w:tc>
                <w:tcPr>
                  <w:tcW w:w="682" w:type="pct"/>
                  <w:vMerge w:val="restart"/>
                  <w:vAlign w:val="center"/>
                </w:tcPr>
                <w:p w14:paraId="5BCC577C">
                  <w:pPr>
                    <w:pStyle w:val="31"/>
                  </w:pPr>
                  <w:r>
                    <w:rPr>
                      <w:rFonts w:hint="eastAsia"/>
                    </w:rPr>
                    <w:t>最大</w:t>
                  </w:r>
                  <w:r>
                    <w:t>浓度占标率</w:t>
                  </w:r>
                  <w:r>
                    <w:rPr>
                      <w:rFonts w:hint="eastAsia"/>
                    </w:rPr>
                    <w:t>%</w:t>
                  </w:r>
                </w:p>
              </w:tc>
              <w:tc>
                <w:tcPr>
                  <w:tcW w:w="490" w:type="pct"/>
                  <w:vMerge w:val="restart"/>
                  <w:vAlign w:val="center"/>
                </w:tcPr>
                <w:p w14:paraId="49452409">
                  <w:pPr>
                    <w:pStyle w:val="31"/>
                  </w:pPr>
                  <w:r>
                    <w:rPr>
                      <w:rFonts w:hint="eastAsia"/>
                    </w:rPr>
                    <w:t>超标率%</w:t>
                  </w:r>
                </w:p>
              </w:tc>
              <w:tc>
                <w:tcPr>
                  <w:tcW w:w="436" w:type="pct"/>
                  <w:vMerge w:val="restart"/>
                  <w:vAlign w:val="center"/>
                </w:tcPr>
                <w:p w14:paraId="7C844E00">
                  <w:pPr>
                    <w:pStyle w:val="31"/>
                  </w:pPr>
                  <w:r>
                    <w:rPr>
                      <w:rFonts w:hint="eastAsia"/>
                    </w:rPr>
                    <w:t>达标</w:t>
                  </w:r>
                  <w:r>
                    <w:t>情况</w:t>
                  </w:r>
                </w:p>
              </w:tc>
            </w:tr>
            <w:tr w14:paraId="48564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2" w:hRule="atLeast"/>
              </w:trPr>
              <w:tc>
                <w:tcPr>
                  <w:tcW w:w="444" w:type="pct"/>
                  <w:vMerge w:val="continue"/>
                  <w:vAlign w:val="center"/>
                </w:tcPr>
                <w:p w14:paraId="7D621BF2">
                  <w:pPr>
                    <w:pStyle w:val="31"/>
                  </w:pPr>
                </w:p>
              </w:tc>
              <w:tc>
                <w:tcPr>
                  <w:tcW w:w="553" w:type="pct"/>
                  <w:vMerge w:val="continue"/>
                  <w:vAlign w:val="center"/>
                </w:tcPr>
                <w:p w14:paraId="37D7119E">
                  <w:pPr>
                    <w:pStyle w:val="31"/>
                  </w:pPr>
                </w:p>
              </w:tc>
              <w:tc>
                <w:tcPr>
                  <w:tcW w:w="734" w:type="pct"/>
                  <w:vMerge w:val="continue"/>
                  <w:vAlign w:val="center"/>
                </w:tcPr>
                <w:p w14:paraId="50CBBA3B">
                  <w:pPr>
                    <w:pStyle w:val="31"/>
                  </w:pPr>
                </w:p>
              </w:tc>
              <w:tc>
                <w:tcPr>
                  <w:tcW w:w="799" w:type="pct"/>
                  <w:vMerge w:val="continue"/>
                  <w:vAlign w:val="center"/>
                </w:tcPr>
                <w:p w14:paraId="32B44F7D">
                  <w:pPr>
                    <w:pStyle w:val="31"/>
                  </w:pPr>
                </w:p>
              </w:tc>
              <w:tc>
                <w:tcPr>
                  <w:tcW w:w="860" w:type="pct"/>
                  <w:vMerge w:val="continue"/>
                  <w:vAlign w:val="center"/>
                </w:tcPr>
                <w:p w14:paraId="4A5A3105">
                  <w:pPr>
                    <w:pStyle w:val="31"/>
                  </w:pPr>
                </w:p>
              </w:tc>
              <w:tc>
                <w:tcPr>
                  <w:tcW w:w="682" w:type="pct"/>
                  <w:vMerge w:val="continue"/>
                  <w:vAlign w:val="center"/>
                </w:tcPr>
                <w:p w14:paraId="01177904">
                  <w:pPr>
                    <w:pStyle w:val="31"/>
                  </w:pPr>
                </w:p>
              </w:tc>
              <w:tc>
                <w:tcPr>
                  <w:tcW w:w="490" w:type="pct"/>
                  <w:vMerge w:val="continue"/>
                  <w:vAlign w:val="center"/>
                </w:tcPr>
                <w:p w14:paraId="7C8A4D04">
                  <w:pPr>
                    <w:pStyle w:val="31"/>
                  </w:pPr>
                </w:p>
              </w:tc>
              <w:tc>
                <w:tcPr>
                  <w:tcW w:w="436" w:type="pct"/>
                  <w:vMerge w:val="continue"/>
                  <w:vAlign w:val="center"/>
                </w:tcPr>
                <w:p w14:paraId="60B985FE">
                  <w:pPr>
                    <w:pStyle w:val="31"/>
                  </w:pPr>
                </w:p>
              </w:tc>
            </w:tr>
            <w:tr w14:paraId="0C0928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44" w:type="pct"/>
                  <w:vMerge w:val="restart"/>
                  <w:vAlign w:val="center"/>
                </w:tcPr>
                <w:p w14:paraId="31657F58">
                  <w:pPr>
                    <w:pStyle w:val="31"/>
                  </w:pPr>
                  <w:r>
                    <w:rPr>
                      <w:rFonts w:hint="eastAsia"/>
                    </w:rPr>
                    <w:t>1#</w:t>
                  </w:r>
                </w:p>
              </w:tc>
              <w:tc>
                <w:tcPr>
                  <w:tcW w:w="553" w:type="pct"/>
                  <w:vAlign w:val="center"/>
                </w:tcPr>
                <w:p w14:paraId="1DD319C7">
                  <w:pPr>
                    <w:pStyle w:val="31"/>
                  </w:pPr>
                  <w:r>
                    <w:t>NH</w:t>
                  </w:r>
                  <w:r>
                    <w:rPr>
                      <w:vertAlign w:val="subscript"/>
                    </w:rPr>
                    <w:t>3</w:t>
                  </w:r>
                </w:p>
              </w:tc>
              <w:tc>
                <w:tcPr>
                  <w:tcW w:w="734" w:type="pct"/>
                  <w:vMerge w:val="restart"/>
                  <w:vAlign w:val="center"/>
                </w:tcPr>
                <w:p w14:paraId="4690B3B8">
                  <w:pPr>
                    <w:pStyle w:val="31"/>
                  </w:pPr>
                  <w:r>
                    <w:rPr>
                      <w:rFonts w:hint="eastAsia"/>
                    </w:rPr>
                    <w:t>小时平均</w:t>
                  </w:r>
                </w:p>
              </w:tc>
              <w:tc>
                <w:tcPr>
                  <w:tcW w:w="799" w:type="pct"/>
                  <w:vAlign w:val="center"/>
                </w:tcPr>
                <w:p w14:paraId="384B7E2C">
                  <w:pPr>
                    <w:pStyle w:val="31"/>
                  </w:pPr>
                  <w:r>
                    <w:t>0.2</w:t>
                  </w:r>
                </w:p>
              </w:tc>
              <w:tc>
                <w:tcPr>
                  <w:tcW w:w="860" w:type="pct"/>
                  <w:vAlign w:val="center"/>
                </w:tcPr>
                <w:p w14:paraId="43344024">
                  <w:pPr>
                    <w:pStyle w:val="31"/>
                  </w:pPr>
                  <w:r>
                    <w:rPr>
                      <w:rFonts w:hint="eastAsia"/>
                    </w:rPr>
                    <w:t>0</w:t>
                  </w:r>
                  <w:r>
                    <w:t>.01~0.03</w:t>
                  </w:r>
                </w:p>
              </w:tc>
              <w:tc>
                <w:tcPr>
                  <w:tcW w:w="682" w:type="pct"/>
                  <w:vAlign w:val="center"/>
                </w:tcPr>
                <w:p w14:paraId="468D7CF8">
                  <w:pPr>
                    <w:pStyle w:val="31"/>
                  </w:pPr>
                  <w:r>
                    <w:rPr>
                      <w:rFonts w:hint="eastAsia"/>
                    </w:rPr>
                    <w:t>1</w:t>
                  </w:r>
                  <w:r>
                    <w:t>5</w:t>
                  </w:r>
                </w:p>
              </w:tc>
              <w:tc>
                <w:tcPr>
                  <w:tcW w:w="490" w:type="pct"/>
                  <w:vAlign w:val="center"/>
                </w:tcPr>
                <w:p w14:paraId="3D001268">
                  <w:pPr>
                    <w:pStyle w:val="31"/>
                  </w:pPr>
                  <w:r>
                    <w:rPr>
                      <w:rFonts w:hint="eastAsia"/>
                    </w:rPr>
                    <w:t>0</w:t>
                  </w:r>
                </w:p>
              </w:tc>
              <w:tc>
                <w:tcPr>
                  <w:tcW w:w="436" w:type="pct"/>
                  <w:vAlign w:val="center"/>
                </w:tcPr>
                <w:p w14:paraId="46CEF13A">
                  <w:pPr>
                    <w:pStyle w:val="31"/>
                  </w:pPr>
                  <w:r>
                    <w:rPr>
                      <w:rFonts w:hint="eastAsia"/>
                    </w:rPr>
                    <w:t>达标</w:t>
                  </w:r>
                </w:p>
              </w:tc>
            </w:tr>
            <w:tr w14:paraId="176D89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44" w:type="pct"/>
                  <w:vMerge w:val="continue"/>
                  <w:vAlign w:val="center"/>
                </w:tcPr>
                <w:p w14:paraId="567399F5">
                  <w:pPr>
                    <w:pStyle w:val="31"/>
                  </w:pPr>
                </w:p>
              </w:tc>
              <w:tc>
                <w:tcPr>
                  <w:tcW w:w="553" w:type="pct"/>
                  <w:vAlign w:val="center"/>
                </w:tcPr>
                <w:p w14:paraId="2BE63CFF">
                  <w:pPr>
                    <w:pStyle w:val="31"/>
                  </w:pPr>
                  <w:r>
                    <w:t>NO</w:t>
                  </w:r>
                  <w:r>
                    <w:rPr>
                      <w:vertAlign w:val="subscript"/>
                    </w:rPr>
                    <w:t>X</w:t>
                  </w:r>
                </w:p>
              </w:tc>
              <w:tc>
                <w:tcPr>
                  <w:tcW w:w="734" w:type="pct"/>
                  <w:vMerge w:val="continue"/>
                  <w:vAlign w:val="center"/>
                </w:tcPr>
                <w:p w14:paraId="3ABED92E">
                  <w:pPr>
                    <w:pStyle w:val="31"/>
                  </w:pPr>
                </w:p>
              </w:tc>
              <w:tc>
                <w:tcPr>
                  <w:tcW w:w="799" w:type="pct"/>
                  <w:vAlign w:val="center"/>
                </w:tcPr>
                <w:p w14:paraId="469E8BAF">
                  <w:pPr>
                    <w:pStyle w:val="31"/>
                  </w:pPr>
                  <w:r>
                    <w:t>0.25</w:t>
                  </w:r>
                </w:p>
              </w:tc>
              <w:tc>
                <w:tcPr>
                  <w:tcW w:w="860" w:type="pct"/>
                  <w:vAlign w:val="center"/>
                </w:tcPr>
                <w:p w14:paraId="4B618779">
                  <w:pPr>
                    <w:pStyle w:val="31"/>
                  </w:pPr>
                  <w:r>
                    <w:rPr>
                      <w:rFonts w:hint="eastAsia"/>
                    </w:rPr>
                    <w:t>0</w:t>
                  </w:r>
                  <w:r>
                    <w:t>.017~0.028</w:t>
                  </w:r>
                </w:p>
              </w:tc>
              <w:tc>
                <w:tcPr>
                  <w:tcW w:w="682" w:type="pct"/>
                  <w:vAlign w:val="center"/>
                </w:tcPr>
                <w:p w14:paraId="7797110F">
                  <w:pPr>
                    <w:pStyle w:val="31"/>
                  </w:pPr>
                  <w:r>
                    <w:rPr>
                      <w:rFonts w:hint="eastAsia"/>
                    </w:rPr>
                    <w:t>1</w:t>
                  </w:r>
                  <w:r>
                    <w:t>1.2</w:t>
                  </w:r>
                </w:p>
              </w:tc>
              <w:tc>
                <w:tcPr>
                  <w:tcW w:w="490" w:type="pct"/>
                  <w:vAlign w:val="center"/>
                </w:tcPr>
                <w:p w14:paraId="7976600F">
                  <w:pPr>
                    <w:pStyle w:val="31"/>
                  </w:pPr>
                  <w:r>
                    <w:rPr>
                      <w:rFonts w:hint="eastAsia"/>
                    </w:rPr>
                    <w:t>0</w:t>
                  </w:r>
                </w:p>
              </w:tc>
              <w:tc>
                <w:tcPr>
                  <w:tcW w:w="436" w:type="pct"/>
                  <w:vAlign w:val="center"/>
                </w:tcPr>
                <w:p w14:paraId="4D502A24">
                  <w:pPr>
                    <w:pStyle w:val="31"/>
                  </w:pPr>
                  <w:r>
                    <w:rPr>
                      <w:rFonts w:hint="eastAsia"/>
                    </w:rPr>
                    <w:t>达标</w:t>
                  </w:r>
                </w:p>
              </w:tc>
            </w:tr>
            <w:tr w14:paraId="4EEAAE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44" w:type="pct"/>
                  <w:vMerge w:val="continue"/>
                  <w:vAlign w:val="center"/>
                </w:tcPr>
                <w:p w14:paraId="60397A8F">
                  <w:pPr>
                    <w:pStyle w:val="31"/>
                  </w:pPr>
                </w:p>
              </w:tc>
              <w:tc>
                <w:tcPr>
                  <w:tcW w:w="553" w:type="pct"/>
                  <w:vAlign w:val="center"/>
                </w:tcPr>
                <w:p w14:paraId="181F9825">
                  <w:pPr>
                    <w:pStyle w:val="31"/>
                  </w:pPr>
                  <w:r>
                    <w:rPr>
                      <w:rFonts w:hint="eastAsia"/>
                    </w:rPr>
                    <w:t>非甲烷总烃</w:t>
                  </w:r>
                </w:p>
              </w:tc>
              <w:tc>
                <w:tcPr>
                  <w:tcW w:w="734" w:type="pct"/>
                  <w:vMerge w:val="continue"/>
                  <w:vAlign w:val="center"/>
                </w:tcPr>
                <w:p w14:paraId="0F1C6EE7">
                  <w:pPr>
                    <w:pStyle w:val="31"/>
                  </w:pPr>
                </w:p>
              </w:tc>
              <w:tc>
                <w:tcPr>
                  <w:tcW w:w="799" w:type="pct"/>
                  <w:vAlign w:val="center"/>
                </w:tcPr>
                <w:p w14:paraId="50D754E1">
                  <w:pPr>
                    <w:pStyle w:val="31"/>
                  </w:pPr>
                  <w:r>
                    <w:rPr>
                      <w:rFonts w:hint="eastAsia"/>
                    </w:rPr>
                    <w:t>2</w:t>
                  </w:r>
                </w:p>
              </w:tc>
              <w:tc>
                <w:tcPr>
                  <w:tcW w:w="860" w:type="pct"/>
                  <w:vAlign w:val="center"/>
                </w:tcPr>
                <w:p w14:paraId="6FE02815">
                  <w:pPr>
                    <w:pStyle w:val="31"/>
                  </w:pPr>
                  <w:r>
                    <w:rPr>
                      <w:rFonts w:hint="eastAsia"/>
                    </w:rPr>
                    <w:t>0</w:t>
                  </w:r>
                  <w:r>
                    <w:t>.54~0.75</w:t>
                  </w:r>
                </w:p>
              </w:tc>
              <w:tc>
                <w:tcPr>
                  <w:tcW w:w="682" w:type="pct"/>
                  <w:vAlign w:val="center"/>
                </w:tcPr>
                <w:p w14:paraId="056EA07F">
                  <w:pPr>
                    <w:pStyle w:val="31"/>
                  </w:pPr>
                  <w:r>
                    <w:rPr>
                      <w:rFonts w:hint="eastAsia"/>
                    </w:rPr>
                    <w:t>3</w:t>
                  </w:r>
                  <w:r>
                    <w:t>7.5</w:t>
                  </w:r>
                </w:p>
              </w:tc>
              <w:tc>
                <w:tcPr>
                  <w:tcW w:w="490" w:type="pct"/>
                  <w:vAlign w:val="center"/>
                </w:tcPr>
                <w:p w14:paraId="000FED26">
                  <w:pPr>
                    <w:pStyle w:val="31"/>
                  </w:pPr>
                  <w:r>
                    <w:rPr>
                      <w:rFonts w:hint="eastAsia"/>
                    </w:rPr>
                    <w:t>0</w:t>
                  </w:r>
                </w:p>
              </w:tc>
              <w:tc>
                <w:tcPr>
                  <w:tcW w:w="436" w:type="pct"/>
                  <w:vAlign w:val="center"/>
                </w:tcPr>
                <w:p w14:paraId="7E098971">
                  <w:pPr>
                    <w:pStyle w:val="31"/>
                  </w:pPr>
                  <w:r>
                    <w:rPr>
                      <w:rFonts w:hint="eastAsia"/>
                    </w:rPr>
                    <w:t>达标</w:t>
                  </w:r>
                </w:p>
              </w:tc>
            </w:tr>
            <w:tr w14:paraId="3F718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444" w:type="pct"/>
                  <w:vMerge w:val="continue"/>
                  <w:vAlign w:val="center"/>
                </w:tcPr>
                <w:p w14:paraId="1C378AD4">
                  <w:pPr>
                    <w:pStyle w:val="31"/>
                  </w:pPr>
                </w:p>
              </w:tc>
              <w:tc>
                <w:tcPr>
                  <w:tcW w:w="553" w:type="pct"/>
                  <w:vAlign w:val="center"/>
                </w:tcPr>
                <w:p w14:paraId="19D5A98E">
                  <w:pPr>
                    <w:pStyle w:val="31"/>
                  </w:pPr>
                  <w:r>
                    <w:rPr>
                      <w:rFonts w:hint="eastAsia"/>
                    </w:rPr>
                    <w:t>TSP</w:t>
                  </w:r>
                </w:p>
              </w:tc>
              <w:tc>
                <w:tcPr>
                  <w:tcW w:w="734" w:type="pct"/>
                  <w:vAlign w:val="center"/>
                </w:tcPr>
                <w:p w14:paraId="34D66B74">
                  <w:pPr>
                    <w:pStyle w:val="31"/>
                  </w:pPr>
                  <w:r>
                    <w:rPr>
                      <w:rFonts w:hint="eastAsia"/>
                    </w:rPr>
                    <w:t>日平均</w:t>
                  </w:r>
                </w:p>
              </w:tc>
              <w:tc>
                <w:tcPr>
                  <w:tcW w:w="799" w:type="pct"/>
                  <w:vAlign w:val="center"/>
                </w:tcPr>
                <w:p w14:paraId="20E503D4">
                  <w:pPr>
                    <w:pStyle w:val="31"/>
                  </w:pPr>
                  <w:r>
                    <w:rPr>
                      <w:rFonts w:hint="eastAsia"/>
                    </w:rPr>
                    <w:t>0.3</w:t>
                  </w:r>
                </w:p>
              </w:tc>
              <w:tc>
                <w:tcPr>
                  <w:tcW w:w="860" w:type="pct"/>
                  <w:vAlign w:val="center"/>
                </w:tcPr>
                <w:p w14:paraId="0CD0A8D2">
                  <w:pPr>
                    <w:pStyle w:val="31"/>
                  </w:pPr>
                  <w:r>
                    <w:rPr>
                      <w:rFonts w:hint="eastAsia"/>
                    </w:rPr>
                    <w:t>0</w:t>
                  </w:r>
                  <w:r>
                    <w:t>.102~0.119</w:t>
                  </w:r>
                </w:p>
              </w:tc>
              <w:tc>
                <w:tcPr>
                  <w:tcW w:w="682" w:type="pct"/>
                  <w:vAlign w:val="center"/>
                </w:tcPr>
                <w:p w14:paraId="3BE93ABC">
                  <w:pPr>
                    <w:pStyle w:val="31"/>
                  </w:pPr>
                  <w:r>
                    <w:rPr>
                      <w:rFonts w:hint="eastAsia"/>
                    </w:rPr>
                    <w:t>3</w:t>
                  </w:r>
                  <w:r>
                    <w:t>9.7</w:t>
                  </w:r>
                </w:p>
              </w:tc>
              <w:tc>
                <w:tcPr>
                  <w:tcW w:w="490" w:type="pct"/>
                  <w:vAlign w:val="center"/>
                </w:tcPr>
                <w:p w14:paraId="7D7F0BD8">
                  <w:pPr>
                    <w:pStyle w:val="31"/>
                  </w:pPr>
                  <w:r>
                    <w:rPr>
                      <w:rFonts w:hint="eastAsia"/>
                    </w:rPr>
                    <w:t>0</w:t>
                  </w:r>
                </w:p>
              </w:tc>
              <w:tc>
                <w:tcPr>
                  <w:tcW w:w="436" w:type="pct"/>
                  <w:vAlign w:val="center"/>
                </w:tcPr>
                <w:p w14:paraId="0DF65D99">
                  <w:pPr>
                    <w:pStyle w:val="31"/>
                  </w:pPr>
                  <w:r>
                    <w:rPr>
                      <w:rFonts w:hint="eastAsia"/>
                    </w:rPr>
                    <w:t>达标</w:t>
                  </w:r>
                </w:p>
              </w:tc>
            </w:tr>
          </w:tbl>
          <w:p w14:paraId="007F6AC7">
            <w:pPr>
              <w:ind w:firstLine="480"/>
            </w:pPr>
            <w:r>
              <w:rPr>
                <w:rFonts w:hint="eastAsia"/>
                <w:szCs w:val="24"/>
              </w:rPr>
              <w:t>根据上表的监测结果，</w:t>
            </w:r>
            <w:r>
              <w:rPr>
                <w:rFonts w:hint="eastAsia"/>
              </w:rPr>
              <w:t>本项目区域环境空气质量环境现状良好。</w:t>
            </w:r>
          </w:p>
          <w:p w14:paraId="332FF38A">
            <w:pPr>
              <w:ind w:firstLine="482"/>
              <w:rPr>
                <w:b/>
                <w:bCs/>
              </w:rPr>
            </w:pPr>
            <w:r>
              <w:rPr>
                <w:rFonts w:hint="eastAsia"/>
                <w:b/>
                <w:bCs/>
              </w:rPr>
              <w:t>2、</w:t>
            </w:r>
            <w:r>
              <w:rPr>
                <w:b/>
                <w:bCs/>
              </w:rPr>
              <w:t>地表水环境质量</w:t>
            </w:r>
          </w:p>
          <w:p w14:paraId="519EC528">
            <w:pPr>
              <w:ind w:firstLine="480"/>
              <w:rPr>
                <w:shd w:val="clear" w:color="auto" w:fill="FFFFFF"/>
              </w:rPr>
            </w:pPr>
            <w:r>
              <w:rPr>
                <w:rFonts w:hint="eastAsia"/>
                <w:szCs w:val="24"/>
              </w:rPr>
              <w:t>根据遂宁市生态环境局于202</w:t>
            </w:r>
            <w:r>
              <w:rPr>
                <w:szCs w:val="24"/>
              </w:rPr>
              <w:t>4</w:t>
            </w:r>
            <w:r>
              <w:rPr>
                <w:rFonts w:hint="eastAsia"/>
                <w:szCs w:val="24"/>
              </w:rPr>
              <w:t>年</w:t>
            </w:r>
            <w:r>
              <w:rPr>
                <w:szCs w:val="24"/>
              </w:rPr>
              <w:t>1</w:t>
            </w:r>
            <w:r>
              <w:rPr>
                <w:rFonts w:hint="eastAsia"/>
                <w:szCs w:val="24"/>
              </w:rPr>
              <w:t>月1</w:t>
            </w:r>
            <w:r>
              <w:rPr>
                <w:szCs w:val="24"/>
              </w:rPr>
              <w:t>5</w:t>
            </w:r>
            <w:r>
              <w:rPr>
                <w:rFonts w:hint="eastAsia"/>
                <w:szCs w:val="24"/>
              </w:rPr>
              <w:t>日公布的《2</w:t>
            </w:r>
            <w:r>
              <w:rPr>
                <w:szCs w:val="24"/>
              </w:rPr>
              <w:t>023</w:t>
            </w:r>
            <w:r>
              <w:rPr>
                <w:rFonts w:hint="eastAsia"/>
                <w:szCs w:val="24"/>
              </w:rPr>
              <w:t>遂宁市环境</w:t>
            </w:r>
            <w:r>
              <w:rPr>
                <w:szCs w:val="24"/>
              </w:rPr>
              <w:t>质量公</w:t>
            </w:r>
            <w:r>
              <w:rPr>
                <w:rFonts w:hint="eastAsia"/>
                <w:szCs w:val="24"/>
              </w:rPr>
              <w:t>告》数据统计，</w:t>
            </w:r>
            <w:r>
              <w:rPr>
                <w:rFonts w:hint="eastAsia"/>
                <w:shd w:val="clear" w:color="auto" w:fill="FFFFFF"/>
              </w:rPr>
              <w:t>本年度遂宁市9个国、省控地表水监测断面（含2个长江经济带断面）水环境质量状况、主要污染指标、环比和同比情况见下表。</w:t>
            </w:r>
          </w:p>
          <w:p w14:paraId="52FE7492">
            <w:pPr>
              <w:pStyle w:val="48"/>
              <w:rPr>
                <w:shd w:val="clear" w:color="auto" w:fill="FFFFFF"/>
              </w:rPr>
            </w:pPr>
            <w:r>
              <w:rPr>
                <w:rFonts w:hint="eastAsia"/>
              </w:rPr>
              <w:t>2023年遂宁市河流水质评价结果表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1471"/>
              <w:gridCol w:w="1423"/>
              <w:gridCol w:w="1224"/>
              <w:gridCol w:w="1224"/>
              <w:gridCol w:w="1183"/>
              <w:gridCol w:w="1259"/>
            </w:tblGrid>
            <w:tr w14:paraId="6504FF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45" w:type="pct"/>
                  <w:vAlign w:val="center"/>
                </w:tcPr>
                <w:p w14:paraId="06CAEFE4">
                  <w:pPr>
                    <w:pStyle w:val="31"/>
                  </w:pPr>
                  <w:r>
                    <w:t>断面名称</w:t>
                  </w:r>
                </w:p>
              </w:tc>
              <w:tc>
                <w:tcPr>
                  <w:tcW w:w="914" w:type="pct"/>
                  <w:vAlign w:val="center"/>
                </w:tcPr>
                <w:p w14:paraId="3261B20E">
                  <w:pPr>
                    <w:pStyle w:val="31"/>
                  </w:pPr>
                  <w:r>
                    <w:t>所在地</w:t>
                  </w:r>
                </w:p>
              </w:tc>
              <w:tc>
                <w:tcPr>
                  <w:tcW w:w="786" w:type="pct"/>
                  <w:vAlign w:val="center"/>
                </w:tcPr>
                <w:p w14:paraId="68F88DB6">
                  <w:pPr>
                    <w:pStyle w:val="31"/>
                  </w:pPr>
                  <w:r>
                    <w:t>断面类别</w:t>
                  </w:r>
                </w:p>
              </w:tc>
              <w:tc>
                <w:tcPr>
                  <w:tcW w:w="786" w:type="pct"/>
                  <w:vAlign w:val="center"/>
                </w:tcPr>
                <w:p w14:paraId="22617C06">
                  <w:pPr>
                    <w:pStyle w:val="31"/>
                  </w:pPr>
                  <w:r>
                    <w:t>规定类别</w:t>
                  </w:r>
                </w:p>
              </w:tc>
              <w:tc>
                <w:tcPr>
                  <w:tcW w:w="760" w:type="pct"/>
                  <w:vAlign w:val="center"/>
                </w:tcPr>
                <w:p w14:paraId="10DFC428">
                  <w:pPr>
                    <w:pStyle w:val="31"/>
                  </w:pPr>
                  <w:r>
                    <w:t>上年</w:t>
                  </w:r>
                  <w:r>
                    <w:rPr>
                      <w:rFonts w:hint="eastAsia"/>
                    </w:rPr>
                    <w:t>度</w:t>
                  </w:r>
                  <w:r>
                    <w:t>微博</w:t>
                  </w:r>
                </w:p>
              </w:tc>
              <w:tc>
                <w:tcPr>
                  <w:tcW w:w="810" w:type="pct"/>
                  <w:vAlign w:val="center"/>
                </w:tcPr>
                <w:p w14:paraId="7374DB11">
                  <w:pPr>
                    <w:pStyle w:val="31"/>
                  </w:pPr>
                  <w:r>
                    <w:t>本年度类别</w:t>
                  </w:r>
                </w:p>
              </w:tc>
            </w:tr>
            <w:tr w14:paraId="7C580D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45" w:type="pct"/>
                  <w:vAlign w:val="center"/>
                </w:tcPr>
                <w:p w14:paraId="0BC23A69">
                  <w:pPr>
                    <w:pStyle w:val="31"/>
                  </w:pPr>
                  <w:r>
                    <w:rPr>
                      <w:rFonts w:hint="eastAsia"/>
                    </w:rPr>
                    <w:t>红江渡口</w:t>
                  </w:r>
                </w:p>
              </w:tc>
              <w:tc>
                <w:tcPr>
                  <w:tcW w:w="914" w:type="pct"/>
                  <w:vAlign w:val="center"/>
                </w:tcPr>
                <w:p w14:paraId="35478C09">
                  <w:pPr>
                    <w:pStyle w:val="31"/>
                    <w:rPr>
                      <w:shd w:val="clear" w:color="auto" w:fill="FFFFFF"/>
                    </w:rPr>
                  </w:pPr>
                  <w:r>
                    <w:rPr>
                      <w:shd w:val="clear" w:color="auto" w:fill="FFFFFF"/>
                    </w:rPr>
                    <w:t>蓬溪县</w:t>
                  </w:r>
                </w:p>
              </w:tc>
              <w:tc>
                <w:tcPr>
                  <w:tcW w:w="786" w:type="pct"/>
                  <w:vAlign w:val="center"/>
                </w:tcPr>
                <w:p w14:paraId="14D41076">
                  <w:pPr>
                    <w:pStyle w:val="31"/>
                    <w:rPr>
                      <w:shd w:val="clear" w:color="auto" w:fill="FFFFFF"/>
                    </w:rPr>
                  </w:pPr>
                  <w:r>
                    <w:rPr>
                      <w:shd w:val="clear" w:color="auto" w:fill="FFFFFF"/>
                    </w:rPr>
                    <w:t>国控</w:t>
                  </w:r>
                </w:p>
              </w:tc>
              <w:tc>
                <w:tcPr>
                  <w:tcW w:w="786" w:type="pct"/>
                  <w:vAlign w:val="center"/>
                </w:tcPr>
                <w:p w14:paraId="26883485">
                  <w:pPr>
                    <w:pStyle w:val="31"/>
                    <w:rPr>
                      <w:rFonts w:cs="Times New Roman"/>
                    </w:rPr>
                  </w:pPr>
                  <w:r>
                    <w:rPr>
                      <w:rFonts w:cs="Times New Roman"/>
                    </w:rPr>
                    <w:t>Ⅱ</w:t>
                  </w:r>
                </w:p>
              </w:tc>
              <w:tc>
                <w:tcPr>
                  <w:tcW w:w="760" w:type="pct"/>
                  <w:vAlign w:val="center"/>
                </w:tcPr>
                <w:p w14:paraId="525387E4">
                  <w:pPr>
                    <w:pStyle w:val="31"/>
                    <w:rPr>
                      <w:rFonts w:cs="Times New Roman"/>
                    </w:rPr>
                  </w:pPr>
                  <w:r>
                    <w:rPr>
                      <w:rFonts w:cs="Times New Roman"/>
                    </w:rPr>
                    <w:t>Ⅱ</w:t>
                  </w:r>
                </w:p>
              </w:tc>
              <w:tc>
                <w:tcPr>
                  <w:tcW w:w="810" w:type="pct"/>
                  <w:vAlign w:val="center"/>
                </w:tcPr>
                <w:p w14:paraId="69910ACB">
                  <w:pPr>
                    <w:pStyle w:val="31"/>
                    <w:rPr>
                      <w:rFonts w:cs="Times New Roman"/>
                    </w:rPr>
                  </w:pPr>
                  <w:r>
                    <w:rPr>
                      <w:rFonts w:cs="Times New Roman"/>
                    </w:rPr>
                    <w:t>Ⅱ</w:t>
                  </w:r>
                </w:p>
              </w:tc>
            </w:tr>
            <w:tr w14:paraId="2F5A8E2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45" w:type="pct"/>
                  <w:vAlign w:val="center"/>
                </w:tcPr>
                <w:p w14:paraId="58FF363E">
                  <w:pPr>
                    <w:pStyle w:val="31"/>
                  </w:pPr>
                  <w:r>
                    <w:rPr>
                      <w:rFonts w:hint="eastAsia"/>
                    </w:rPr>
                    <w:t>玉溪</w:t>
                  </w:r>
                </w:p>
              </w:tc>
              <w:tc>
                <w:tcPr>
                  <w:tcW w:w="914" w:type="pct"/>
                  <w:vAlign w:val="center"/>
                </w:tcPr>
                <w:p w14:paraId="51D0C4C2">
                  <w:pPr>
                    <w:pStyle w:val="31"/>
                    <w:rPr>
                      <w:shd w:val="clear" w:color="auto" w:fill="FFFFFF"/>
                    </w:rPr>
                  </w:pPr>
                  <w:r>
                    <w:rPr>
                      <w:shd w:val="clear" w:color="auto" w:fill="FFFFFF"/>
                    </w:rPr>
                    <w:t>重庆潼南</w:t>
                  </w:r>
                </w:p>
              </w:tc>
              <w:tc>
                <w:tcPr>
                  <w:tcW w:w="786" w:type="pct"/>
                  <w:vAlign w:val="center"/>
                </w:tcPr>
                <w:p w14:paraId="51193751">
                  <w:pPr>
                    <w:pStyle w:val="31"/>
                    <w:rPr>
                      <w:shd w:val="clear" w:color="auto" w:fill="FFFFFF"/>
                    </w:rPr>
                  </w:pPr>
                  <w:r>
                    <w:rPr>
                      <w:shd w:val="clear" w:color="auto" w:fill="FFFFFF"/>
                    </w:rPr>
                    <w:t>国控</w:t>
                  </w:r>
                </w:p>
              </w:tc>
              <w:tc>
                <w:tcPr>
                  <w:tcW w:w="786" w:type="pct"/>
                  <w:vAlign w:val="center"/>
                </w:tcPr>
                <w:p w14:paraId="4F6C0D65">
                  <w:pPr>
                    <w:pStyle w:val="31"/>
                    <w:rPr>
                      <w:rFonts w:cs="Times New Roman"/>
                    </w:rPr>
                  </w:pPr>
                  <w:r>
                    <w:rPr>
                      <w:rFonts w:cs="Times New Roman"/>
                    </w:rPr>
                    <w:t>Ⅱ</w:t>
                  </w:r>
                </w:p>
              </w:tc>
              <w:tc>
                <w:tcPr>
                  <w:tcW w:w="760" w:type="pct"/>
                  <w:vAlign w:val="center"/>
                </w:tcPr>
                <w:p w14:paraId="7F4AB5E7">
                  <w:pPr>
                    <w:pStyle w:val="31"/>
                    <w:rPr>
                      <w:rFonts w:cs="Times New Roman"/>
                    </w:rPr>
                  </w:pPr>
                  <w:r>
                    <w:rPr>
                      <w:rFonts w:cs="Times New Roman"/>
                    </w:rPr>
                    <w:t>Ⅱ</w:t>
                  </w:r>
                </w:p>
              </w:tc>
              <w:tc>
                <w:tcPr>
                  <w:tcW w:w="810" w:type="pct"/>
                  <w:vAlign w:val="center"/>
                </w:tcPr>
                <w:p w14:paraId="7031536E">
                  <w:pPr>
                    <w:pStyle w:val="31"/>
                    <w:rPr>
                      <w:rFonts w:cs="Times New Roman"/>
                    </w:rPr>
                  </w:pPr>
                  <w:r>
                    <w:rPr>
                      <w:rFonts w:cs="Times New Roman"/>
                    </w:rPr>
                    <w:t>Ⅱ</w:t>
                  </w:r>
                </w:p>
              </w:tc>
            </w:tr>
            <w:tr w14:paraId="65AC036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45" w:type="pct"/>
                  <w:vAlign w:val="center"/>
                </w:tcPr>
                <w:p w14:paraId="400D7837">
                  <w:pPr>
                    <w:pStyle w:val="31"/>
                  </w:pPr>
                  <w:r>
                    <w:rPr>
                      <w:rFonts w:hint="eastAsia"/>
                    </w:rPr>
                    <w:t>跑马滩</w:t>
                  </w:r>
                </w:p>
              </w:tc>
              <w:tc>
                <w:tcPr>
                  <w:tcW w:w="914" w:type="pct"/>
                  <w:vAlign w:val="center"/>
                </w:tcPr>
                <w:p w14:paraId="5FC9B955">
                  <w:pPr>
                    <w:pStyle w:val="31"/>
                    <w:rPr>
                      <w:shd w:val="clear" w:color="auto" w:fill="FFFFFF"/>
                    </w:rPr>
                  </w:pPr>
                  <w:r>
                    <w:rPr>
                      <w:rFonts w:hint="eastAsia"/>
                      <w:shd w:val="clear" w:color="auto" w:fill="FFFFFF"/>
                    </w:rPr>
                    <w:t>安居区</w:t>
                  </w:r>
                </w:p>
              </w:tc>
              <w:tc>
                <w:tcPr>
                  <w:tcW w:w="786" w:type="pct"/>
                  <w:vAlign w:val="center"/>
                </w:tcPr>
                <w:p w14:paraId="58D7EC89">
                  <w:pPr>
                    <w:pStyle w:val="31"/>
                    <w:rPr>
                      <w:shd w:val="clear" w:color="auto" w:fill="FFFFFF"/>
                    </w:rPr>
                  </w:pPr>
                  <w:r>
                    <w:rPr>
                      <w:rFonts w:hint="eastAsia"/>
                      <w:shd w:val="clear" w:color="auto" w:fill="FFFFFF"/>
                    </w:rPr>
                    <w:t>国控</w:t>
                  </w:r>
                </w:p>
              </w:tc>
              <w:tc>
                <w:tcPr>
                  <w:tcW w:w="786" w:type="pct"/>
                  <w:vAlign w:val="center"/>
                </w:tcPr>
                <w:p w14:paraId="6E9A2ADE">
                  <w:pPr>
                    <w:pStyle w:val="31"/>
                  </w:pPr>
                  <w:r>
                    <w:rPr>
                      <w:shd w:val="clear" w:color="auto" w:fill="FFFFFF"/>
                    </w:rPr>
                    <w:t>Ⅲ</w:t>
                  </w:r>
                </w:p>
              </w:tc>
              <w:tc>
                <w:tcPr>
                  <w:tcW w:w="760" w:type="pct"/>
                  <w:vAlign w:val="center"/>
                </w:tcPr>
                <w:p w14:paraId="2B6B8474">
                  <w:pPr>
                    <w:pStyle w:val="31"/>
                    <w:rPr>
                      <w:rFonts w:cs="Times New Roman"/>
                    </w:rPr>
                  </w:pPr>
                  <w:r>
                    <w:rPr>
                      <w:rFonts w:cs="Times New Roman"/>
                    </w:rPr>
                    <w:t>Ⅲ</w:t>
                  </w:r>
                </w:p>
              </w:tc>
              <w:tc>
                <w:tcPr>
                  <w:tcW w:w="810" w:type="pct"/>
                  <w:vAlign w:val="center"/>
                </w:tcPr>
                <w:p w14:paraId="56C52F14">
                  <w:pPr>
                    <w:pStyle w:val="31"/>
                    <w:rPr>
                      <w:rFonts w:cs="Times New Roman"/>
                    </w:rPr>
                  </w:pPr>
                  <w:r>
                    <w:rPr>
                      <w:rFonts w:cs="Times New Roman"/>
                    </w:rPr>
                    <w:t>Ⅲ</w:t>
                  </w:r>
                </w:p>
              </w:tc>
            </w:tr>
            <w:tr w14:paraId="52E46C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45" w:type="pct"/>
                  <w:vAlign w:val="center"/>
                </w:tcPr>
                <w:p w14:paraId="130B9143">
                  <w:pPr>
                    <w:pStyle w:val="31"/>
                  </w:pPr>
                  <w:r>
                    <w:rPr>
                      <w:rFonts w:hint="eastAsia"/>
                    </w:rPr>
                    <w:t>大安</w:t>
                  </w:r>
                </w:p>
              </w:tc>
              <w:tc>
                <w:tcPr>
                  <w:tcW w:w="914" w:type="pct"/>
                  <w:vAlign w:val="center"/>
                </w:tcPr>
                <w:p w14:paraId="3DD08112">
                  <w:pPr>
                    <w:pStyle w:val="31"/>
                    <w:rPr>
                      <w:rFonts w:cs="宋体"/>
                    </w:rPr>
                  </w:pPr>
                  <w:r>
                    <w:rPr>
                      <w:rFonts w:hint="eastAsia"/>
                      <w:shd w:val="clear" w:color="auto" w:fill="FFFFFF"/>
                    </w:rPr>
                    <w:t>安居区</w:t>
                  </w:r>
                </w:p>
              </w:tc>
              <w:tc>
                <w:tcPr>
                  <w:tcW w:w="786" w:type="pct"/>
                  <w:vAlign w:val="center"/>
                </w:tcPr>
                <w:p w14:paraId="02F45F31">
                  <w:pPr>
                    <w:pStyle w:val="31"/>
                    <w:rPr>
                      <w:rFonts w:cs="宋体"/>
                    </w:rPr>
                  </w:pPr>
                  <w:r>
                    <w:rPr>
                      <w:rFonts w:hint="eastAsia"/>
                      <w:shd w:val="clear" w:color="auto" w:fill="FFFFFF"/>
                    </w:rPr>
                    <w:t>国控</w:t>
                  </w:r>
                </w:p>
              </w:tc>
              <w:tc>
                <w:tcPr>
                  <w:tcW w:w="786" w:type="pct"/>
                  <w:vAlign w:val="center"/>
                </w:tcPr>
                <w:p w14:paraId="73F4917F">
                  <w:pPr>
                    <w:pStyle w:val="31"/>
                    <w:rPr>
                      <w:rFonts w:cs="Times New Roman"/>
                    </w:rPr>
                  </w:pPr>
                  <w:r>
                    <w:rPr>
                      <w:rFonts w:cs="Times New Roman"/>
                    </w:rPr>
                    <w:t>Ⅲ</w:t>
                  </w:r>
                </w:p>
              </w:tc>
              <w:tc>
                <w:tcPr>
                  <w:tcW w:w="760" w:type="pct"/>
                  <w:vAlign w:val="center"/>
                </w:tcPr>
                <w:p w14:paraId="087EA5E9">
                  <w:pPr>
                    <w:pStyle w:val="31"/>
                  </w:pPr>
                  <w:r>
                    <w:rPr>
                      <w:shd w:val="clear" w:color="auto" w:fill="FFFFFF"/>
                    </w:rPr>
                    <w:t>Ⅲ</w:t>
                  </w:r>
                </w:p>
              </w:tc>
              <w:tc>
                <w:tcPr>
                  <w:tcW w:w="810" w:type="pct"/>
                  <w:vAlign w:val="center"/>
                </w:tcPr>
                <w:p w14:paraId="7DAF8DEB">
                  <w:pPr>
                    <w:pStyle w:val="31"/>
                    <w:rPr>
                      <w:rFonts w:cs="Times New Roman"/>
                    </w:rPr>
                  </w:pPr>
                  <w:r>
                    <w:rPr>
                      <w:rFonts w:cs="Times New Roman"/>
                    </w:rPr>
                    <w:t>Ⅲ</w:t>
                  </w:r>
                </w:p>
              </w:tc>
            </w:tr>
            <w:tr w14:paraId="0D58127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45" w:type="pct"/>
                  <w:vAlign w:val="center"/>
                </w:tcPr>
                <w:p w14:paraId="2010311D">
                  <w:pPr>
                    <w:pStyle w:val="31"/>
                    <w:rPr>
                      <w:b/>
                      <w:bCs/>
                      <w:i/>
                    </w:rPr>
                  </w:pPr>
                  <w:r>
                    <w:rPr>
                      <w:rFonts w:hint="eastAsia"/>
                      <w:b/>
                      <w:bCs/>
                      <w:i/>
                    </w:rPr>
                    <w:t>郪江口</w:t>
                  </w:r>
                </w:p>
              </w:tc>
              <w:tc>
                <w:tcPr>
                  <w:tcW w:w="914" w:type="pct"/>
                  <w:vAlign w:val="center"/>
                </w:tcPr>
                <w:p w14:paraId="2838FBB4">
                  <w:pPr>
                    <w:pStyle w:val="31"/>
                    <w:rPr>
                      <w:b/>
                      <w:bCs/>
                      <w:i/>
                      <w:shd w:val="clear" w:color="auto" w:fill="FFFFFF"/>
                    </w:rPr>
                  </w:pPr>
                  <w:r>
                    <w:rPr>
                      <w:rFonts w:hint="eastAsia"/>
                      <w:b/>
                      <w:bCs/>
                      <w:i/>
                      <w:shd w:val="clear" w:color="auto" w:fill="FFFFFF"/>
                    </w:rPr>
                    <w:t>大英</w:t>
                  </w:r>
                  <w:r>
                    <w:rPr>
                      <w:b/>
                      <w:bCs/>
                      <w:i/>
                      <w:shd w:val="clear" w:color="auto" w:fill="FFFFFF"/>
                    </w:rPr>
                    <w:t>县</w:t>
                  </w:r>
                </w:p>
              </w:tc>
              <w:tc>
                <w:tcPr>
                  <w:tcW w:w="786" w:type="pct"/>
                  <w:vAlign w:val="center"/>
                </w:tcPr>
                <w:p w14:paraId="2D1CFDE3">
                  <w:pPr>
                    <w:pStyle w:val="31"/>
                    <w:rPr>
                      <w:b/>
                      <w:bCs/>
                      <w:i/>
                      <w:shd w:val="clear" w:color="auto" w:fill="FFFFFF"/>
                    </w:rPr>
                  </w:pPr>
                  <w:r>
                    <w:rPr>
                      <w:rFonts w:hint="eastAsia"/>
                      <w:b/>
                      <w:bCs/>
                      <w:i/>
                      <w:shd w:val="clear" w:color="auto" w:fill="FFFFFF"/>
                    </w:rPr>
                    <w:t>国控</w:t>
                  </w:r>
                </w:p>
              </w:tc>
              <w:tc>
                <w:tcPr>
                  <w:tcW w:w="786" w:type="pct"/>
                  <w:vAlign w:val="center"/>
                </w:tcPr>
                <w:p w14:paraId="4C44AA9B">
                  <w:pPr>
                    <w:pStyle w:val="31"/>
                    <w:rPr>
                      <w:b/>
                      <w:bCs/>
                      <w:i/>
                    </w:rPr>
                  </w:pPr>
                  <w:r>
                    <w:rPr>
                      <w:b/>
                      <w:bCs/>
                      <w:i/>
                      <w:shd w:val="clear" w:color="auto" w:fill="FFFFFF"/>
                    </w:rPr>
                    <w:t>Ⅲ</w:t>
                  </w:r>
                </w:p>
              </w:tc>
              <w:tc>
                <w:tcPr>
                  <w:tcW w:w="760" w:type="pct"/>
                  <w:vAlign w:val="center"/>
                </w:tcPr>
                <w:p w14:paraId="0151DE8B">
                  <w:pPr>
                    <w:pStyle w:val="31"/>
                    <w:rPr>
                      <w:b/>
                      <w:bCs/>
                      <w:i/>
                    </w:rPr>
                  </w:pPr>
                  <w:r>
                    <w:rPr>
                      <w:b/>
                      <w:bCs/>
                      <w:i/>
                      <w:shd w:val="clear" w:color="auto" w:fill="FFFFFF"/>
                    </w:rPr>
                    <w:t>Ⅲ</w:t>
                  </w:r>
                </w:p>
              </w:tc>
              <w:tc>
                <w:tcPr>
                  <w:tcW w:w="810" w:type="pct"/>
                  <w:vAlign w:val="center"/>
                </w:tcPr>
                <w:p w14:paraId="3CD332FE">
                  <w:pPr>
                    <w:pStyle w:val="31"/>
                    <w:rPr>
                      <w:b/>
                      <w:bCs/>
                      <w:i/>
                    </w:rPr>
                  </w:pPr>
                  <w:r>
                    <w:rPr>
                      <w:b/>
                      <w:bCs/>
                      <w:i/>
                      <w:shd w:val="clear" w:color="auto" w:fill="FFFFFF"/>
                    </w:rPr>
                    <w:t>Ⅲ</w:t>
                  </w:r>
                </w:p>
              </w:tc>
            </w:tr>
            <w:tr w14:paraId="617F7C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945" w:type="pct"/>
                  <w:vAlign w:val="center"/>
                </w:tcPr>
                <w:p w14:paraId="06C93C85">
                  <w:pPr>
                    <w:pStyle w:val="31"/>
                  </w:pPr>
                  <w:r>
                    <w:rPr>
                      <w:rFonts w:hint="eastAsia"/>
                    </w:rPr>
                    <w:t>梓江大桥</w:t>
                  </w:r>
                </w:p>
              </w:tc>
              <w:tc>
                <w:tcPr>
                  <w:tcW w:w="914" w:type="pct"/>
                  <w:vAlign w:val="center"/>
                </w:tcPr>
                <w:p w14:paraId="71237342">
                  <w:pPr>
                    <w:pStyle w:val="31"/>
                    <w:rPr>
                      <w:shd w:val="clear" w:color="auto" w:fill="FFFFFF"/>
                    </w:rPr>
                  </w:pPr>
                  <w:r>
                    <w:rPr>
                      <w:rFonts w:hint="eastAsia"/>
                      <w:shd w:val="clear" w:color="auto" w:fill="FFFFFF"/>
                    </w:rPr>
                    <w:t>射洪县</w:t>
                  </w:r>
                </w:p>
              </w:tc>
              <w:tc>
                <w:tcPr>
                  <w:tcW w:w="786" w:type="pct"/>
                  <w:vAlign w:val="center"/>
                </w:tcPr>
                <w:p w14:paraId="7809ACF9">
                  <w:pPr>
                    <w:pStyle w:val="31"/>
                    <w:rPr>
                      <w:shd w:val="clear" w:color="auto" w:fill="FFFFFF"/>
                    </w:rPr>
                  </w:pPr>
                  <w:r>
                    <w:rPr>
                      <w:rFonts w:hint="eastAsia"/>
                      <w:shd w:val="clear" w:color="auto" w:fill="FFFFFF"/>
                    </w:rPr>
                    <w:t>国控</w:t>
                  </w:r>
                </w:p>
              </w:tc>
              <w:tc>
                <w:tcPr>
                  <w:tcW w:w="786" w:type="pct"/>
                  <w:vAlign w:val="center"/>
                </w:tcPr>
                <w:p w14:paraId="263DD25B">
                  <w:pPr>
                    <w:pStyle w:val="31"/>
                    <w:rPr>
                      <w:rFonts w:cs="Times New Roman"/>
                    </w:rPr>
                  </w:pPr>
                  <w:r>
                    <w:rPr>
                      <w:rFonts w:cs="Times New Roman"/>
                    </w:rPr>
                    <w:t>Ⅱ</w:t>
                  </w:r>
                </w:p>
              </w:tc>
              <w:tc>
                <w:tcPr>
                  <w:tcW w:w="760" w:type="pct"/>
                  <w:vAlign w:val="center"/>
                </w:tcPr>
                <w:p w14:paraId="2CBBB750">
                  <w:pPr>
                    <w:pStyle w:val="31"/>
                    <w:rPr>
                      <w:rFonts w:cs="Times New Roman"/>
                    </w:rPr>
                  </w:pPr>
                  <w:r>
                    <w:rPr>
                      <w:rFonts w:cs="Times New Roman"/>
                    </w:rPr>
                    <w:t>Ⅱ</w:t>
                  </w:r>
                </w:p>
              </w:tc>
              <w:tc>
                <w:tcPr>
                  <w:tcW w:w="810" w:type="pct"/>
                  <w:vAlign w:val="center"/>
                </w:tcPr>
                <w:p w14:paraId="38745221">
                  <w:pPr>
                    <w:pStyle w:val="31"/>
                    <w:rPr>
                      <w:rFonts w:cs="Times New Roman"/>
                    </w:rPr>
                  </w:pPr>
                  <w:r>
                    <w:rPr>
                      <w:rFonts w:cs="Times New Roman"/>
                    </w:rPr>
                    <w:t>Ⅱ</w:t>
                  </w:r>
                </w:p>
              </w:tc>
            </w:tr>
          </w:tbl>
          <w:p w14:paraId="72CCA3EA">
            <w:pPr>
              <w:ind w:firstLine="480"/>
              <w:rPr>
                <w:shd w:val="clear" w:color="auto" w:fill="FFFFFF"/>
              </w:rPr>
            </w:pPr>
            <w:r>
              <w:rPr>
                <w:rFonts w:hint="eastAsia"/>
                <w:shd w:val="clear" w:color="auto" w:fill="FFFFFF"/>
              </w:rPr>
              <w:t>本项目所在区域郪江口控制断面水质规定类别为</w:t>
            </w:r>
            <w:r>
              <w:rPr>
                <w:rFonts w:cs="Times New Roman"/>
                <w:shd w:val="clear" w:color="auto" w:fill="FFFFFF"/>
              </w:rPr>
              <w:t>Ⅲ</w:t>
            </w:r>
            <w:r>
              <w:rPr>
                <w:rFonts w:hint="eastAsia"/>
                <w:shd w:val="clear" w:color="auto" w:fill="FFFFFF"/>
              </w:rPr>
              <w:t>类，由上表可知，郪江口断面水质类别满足《地表水环境质量标准》（GB3838-2002）</w:t>
            </w:r>
            <w:r>
              <w:rPr>
                <w:rFonts w:cs="Times New Roman"/>
                <w:shd w:val="clear" w:color="auto" w:fill="FFFFFF"/>
              </w:rPr>
              <w:t>Ⅲ</w:t>
            </w:r>
            <w:r>
              <w:rPr>
                <w:rFonts w:hint="eastAsia"/>
                <w:shd w:val="clear" w:color="auto" w:fill="FFFFFF"/>
              </w:rPr>
              <w:t>类水域标准要求，水环境质量较好。</w:t>
            </w:r>
          </w:p>
          <w:p w14:paraId="2FB93DB9">
            <w:pPr>
              <w:ind w:firstLine="482"/>
              <w:rPr>
                <w:b/>
                <w:bCs/>
              </w:rPr>
            </w:pPr>
            <w:r>
              <w:rPr>
                <w:rFonts w:hint="eastAsia"/>
                <w:b/>
                <w:bCs/>
              </w:rPr>
              <w:t>3、声环境质量</w:t>
            </w:r>
          </w:p>
          <w:p w14:paraId="7081A378">
            <w:pPr>
              <w:ind w:firstLine="480"/>
            </w:pPr>
            <w:r>
              <w:rPr>
                <w:rFonts w:hint="eastAsia"/>
              </w:rPr>
              <w:t>本项目为新建项目，位于工业园区内，周边50m范围内无敏感点。根据《建设项目环境影响报告表编制技术指南（污染影响类）试行》厂界外周边50米范围内存在声环境保护目标的建设项目，应监测保护目标声环境质量现状并评价达标情况。根据本项目外环境关系图，本项目厂界外周边50米范围内无声环境保护目标，故不进行声环境质量现状评价。</w:t>
            </w:r>
          </w:p>
        </w:tc>
      </w:tr>
      <w:tr w14:paraId="38FB3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3242624F">
            <w:pPr>
              <w:ind w:firstLine="0" w:firstLineChars="0"/>
              <w:jc w:val="center"/>
              <w:rPr>
                <w:b/>
                <w:bCs/>
              </w:rPr>
            </w:pPr>
            <w:r>
              <w:rPr>
                <w:rFonts w:hint="eastAsia"/>
                <w:b/>
                <w:bCs/>
              </w:rPr>
              <w:t>环境保护目标</w:t>
            </w:r>
          </w:p>
        </w:tc>
        <w:tc>
          <w:tcPr>
            <w:tcW w:w="7840" w:type="dxa"/>
          </w:tcPr>
          <w:p w14:paraId="37C24512">
            <w:pPr>
              <w:ind w:firstLine="482"/>
              <w:rPr>
                <w:b/>
                <w:bCs/>
                <w:kern w:val="0"/>
              </w:rPr>
            </w:pPr>
            <w:r>
              <w:rPr>
                <w:rFonts w:hint="eastAsia"/>
                <w:b/>
                <w:bCs/>
                <w:kern w:val="0"/>
              </w:rPr>
              <w:t>一、主要环境保护目标</w:t>
            </w:r>
          </w:p>
          <w:p w14:paraId="32E08B3F">
            <w:pPr>
              <w:ind w:firstLine="480"/>
            </w:pPr>
            <w:r>
              <w:rPr>
                <w:rFonts w:hint="eastAsia"/>
              </w:rPr>
              <w:t>本项目位于工业园区，周边主要工业企业和闲置空地。项目主要环境保护目标如下。</w:t>
            </w:r>
          </w:p>
          <w:p w14:paraId="6B4AC334">
            <w:pPr>
              <w:pStyle w:val="48"/>
            </w:pPr>
            <w:r>
              <w:rPr>
                <w:rFonts w:hint="eastAsia"/>
              </w:rPr>
              <w:t>项目主要环境保护目标</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41"/>
              <w:gridCol w:w="841"/>
              <w:gridCol w:w="571"/>
              <w:gridCol w:w="1088"/>
              <w:gridCol w:w="571"/>
              <w:gridCol w:w="3872"/>
            </w:tblGrid>
            <w:tr w14:paraId="2EFE4A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40" w:type="pct"/>
                  <w:vAlign w:val="center"/>
                </w:tcPr>
                <w:p w14:paraId="2E2FA17F">
                  <w:pPr>
                    <w:pStyle w:val="31"/>
                    <w:rPr>
                      <w:b/>
                      <w:bCs/>
                    </w:rPr>
                  </w:pPr>
                  <w:r>
                    <w:rPr>
                      <w:rFonts w:hint="eastAsia"/>
                      <w:b/>
                      <w:bCs/>
                    </w:rPr>
                    <w:t>环境因素</w:t>
                  </w:r>
                </w:p>
              </w:tc>
              <w:tc>
                <w:tcPr>
                  <w:tcW w:w="540" w:type="pct"/>
                  <w:vAlign w:val="center"/>
                </w:tcPr>
                <w:p w14:paraId="7453457F">
                  <w:pPr>
                    <w:pStyle w:val="31"/>
                    <w:rPr>
                      <w:b/>
                      <w:bCs/>
                    </w:rPr>
                  </w:pPr>
                  <w:r>
                    <w:rPr>
                      <w:b/>
                      <w:bCs/>
                    </w:rPr>
                    <w:t>保护目标</w:t>
                  </w:r>
                </w:p>
              </w:tc>
              <w:tc>
                <w:tcPr>
                  <w:tcW w:w="367" w:type="pct"/>
                  <w:vAlign w:val="center"/>
                </w:tcPr>
                <w:p w14:paraId="399E1A77">
                  <w:pPr>
                    <w:pStyle w:val="31"/>
                    <w:rPr>
                      <w:b/>
                      <w:bCs/>
                    </w:rPr>
                  </w:pPr>
                  <w:r>
                    <w:rPr>
                      <w:b/>
                      <w:bCs/>
                    </w:rPr>
                    <w:t>方位</w:t>
                  </w:r>
                </w:p>
              </w:tc>
              <w:tc>
                <w:tcPr>
                  <w:tcW w:w="699" w:type="pct"/>
                  <w:vAlign w:val="center"/>
                </w:tcPr>
                <w:p w14:paraId="016A0E7E">
                  <w:pPr>
                    <w:pStyle w:val="31"/>
                    <w:rPr>
                      <w:b/>
                      <w:bCs/>
                    </w:rPr>
                  </w:pPr>
                  <w:r>
                    <w:rPr>
                      <w:rFonts w:hint="eastAsia"/>
                      <w:b/>
                      <w:bCs/>
                    </w:rPr>
                    <w:t>距离（m）</w:t>
                  </w:r>
                </w:p>
              </w:tc>
              <w:tc>
                <w:tcPr>
                  <w:tcW w:w="367" w:type="pct"/>
                  <w:vAlign w:val="center"/>
                </w:tcPr>
                <w:p w14:paraId="5CBAA148">
                  <w:pPr>
                    <w:pStyle w:val="31"/>
                    <w:rPr>
                      <w:b/>
                      <w:bCs/>
                    </w:rPr>
                  </w:pPr>
                  <w:r>
                    <w:rPr>
                      <w:rFonts w:hint="eastAsia"/>
                      <w:b/>
                      <w:bCs/>
                    </w:rPr>
                    <w:t>坐标</w:t>
                  </w:r>
                </w:p>
              </w:tc>
              <w:tc>
                <w:tcPr>
                  <w:tcW w:w="2487" w:type="pct"/>
                  <w:vAlign w:val="center"/>
                </w:tcPr>
                <w:p w14:paraId="7ECA391F">
                  <w:pPr>
                    <w:pStyle w:val="31"/>
                    <w:rPr>
                      <w:b/>
                      <w:bCs/>
                    </w:rPr>
                  </w:pPr>
                  <w:r>
                    <w:rPr>
                      <w:rFonts w:hint="eastAsia"/>
                      <w:b/>
                      <w:bCs/>
                    </w:rPr>
                    <w:t>保护级别</w:t>
                  </w:r>
                </w:p>
              </w:tc>
            </w:tr>
            <w:tr w14:paraId="104021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40" w:type="pct"/>
                  <w:vAlign w:val="center"/>
                </w:tcPr>
                <w:p w14:paraId="6C6EB52B">
                  <w:pPr>
                    <w:pStyle w:val="31"/>
                    <w:rPr>
                      <w:lang w:bidi="ar"/>
                    </w:rPr>
                  </w:pPr>
                  <w:r>
                    <w:rPr>
                      <w:rFonts w:hint="eastAsia"/>
                      <w:lang w:bidi="ar"/>
                    </w:rPr>
                    <w:t>地表水</w:t>
                  </w:r>
                </w:p>
              </w:tc>
              <w:tc>
                <w:tcPr>
                  <w:tcW w:w="540" w:type="pct"/>
                  <w:vAlign w:val="center"/>
                </w:tcPr>
                <w:p w14:paraId="6E292303">
                  <w:pPr>
                    <w:pStyle w:val="31"/>
                    <w:rPr>
                      <w:lang w:bidi="ar"/>
                    </w:rPr>
                  </w:pPr>
                  <w:r>
                    <w:rPr>
                      <w:rFonts w:hint="eastAsia"/>
                      <w:lang w:bidi="ar"/>
                    </w:rPr>
                    <w:t>郪江</w:t>
                  </w:r>
                </w:p>
              </w:tc>
              <w:tc>
                <w:tcPr>
                  <w:tcW w:w="367" w:type="pct"/>
                  <w:vAlign w:val="center"/>
                </w:tcPr>
                <w:p w14:paraId="3B31159D">
                  <w:pPr>
                    <w:pStyle w:val="31"/>
                  </w:pPr>
                  <w:r>
                    <w:rPr>
                      <w:rFonts w:hint="eastAsia"/>
                    </w:rPr>
                    <w:t>西侧</w:t>
                  </w:r>
                </w:p>
              </w:tc>
              <w:tc>
                <w:tcPr>
                  <w:tcW w:w="699" w:type="pct"/>
                  <w:vAlign w:val="center"/>
                </w:tcPr>
                <w:p w14:paraId="6516F4AF">
                  <w:pPr>
                    <w:pStyle w:val="31"/>
                  </w:pPr>
                  <w:r>
                    <w:rPr>
                      <w:rFonts w:hint="eastAsia"/>
                    </w:rPr>
                    <w:t>820</w:t>
                  </w:r>
                </w:p>
              </w:tc>
              <w:tc>
                <w:tcPr>
                  <w:tcW w:w="367" w:type="pct"/>
                  <w:vAlign w:val="center"/>
                </w:tcPr>
                <w:p w14:paraId="3CB5D6CF">
                  <w:pPr>
                    <w:pStyle w:val="31"/>
                  </w:pPr>
                  <w:r>
                    <w:rPr>
                      <w:rFonts w:hint="eastAsia"/>
                    </w:rPr>
                    <w:t>/</w:t>
                  </w:r>
                </w:p>
              </w:tc>
              <w:tc>
                <w:tcPr>
                  <w:tcW w:w="2487" w:type="pct"/>
                  <w:vAlign w:val="center"/>
                </w:tcPr>
                <w:p w14:paraId="26FE98FE">
                  <w:pPr>
                    <w:pStyle w:val="31"/>
                    <w:jc w:val="both"/>
                  </w:pPr>
                  <w:r>
                    <w:rPr>
                      <w:rFonts w:hint="eastAsia"/>
                    </w:rPr>
                    <w:t>《地表水环境质量标准》（GB3838-2002）</w:t>
                  </w:r>
                  <w:r>
                    <w:rPr>
                      <w:rFonts w:cs="Times New Roman"/>
                    </w:rPr>
                    <w:t>Ⅲ</w:t>
                  </w:r>
                  <w:r>
                    <w:rPr>
                      <w:rFonts w:hint="eastAsia"/>
                    </w:rPr>
                    <w:t>类水域标准</w:t>
                  </w:r>
                </w:p>
              </w:tc>
            </w:tr>
          </w:tbl>
          <w:p w14:paraId="0749E5A2">
            <w:pPr>
              <w:ind w:firstLine="480"/>
            </w:pPr>
          </w:p>
        </w:tc>
      </w:tr>
      <w:tr w14:paraId="447D0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25" w:hRule="atLeast"/>
          <w:jc w:val="center"/>
        </w:trPr>
        <w:tc>
          <w:tcPr>
            <w:tcW w:w="456" w:type="dxa"/>
            <w:vAlign w:val="center"/>
          </w:tcPr>
          <w:p w14:paraId="17B41BF0">
            <w:pPr>
              <w:ind w:firstLine="0" w:firstLineChars="0"/>
              <w:jc w:val="center"/>
              <w:rPr>
                <w:b/>
                <w:bCs/>
              </w:rPr>
            </w:pPr>
            <w:r>
              <w:rPr>
                <w:rFonts w:hint="eastAsia"/>
                <w:b/>
                <w:bCs/>
              </w:rPr>
              <w:t>污染物排放控制标准</w:t>
            </w:r>
          </w:p>
        </w:tc>
        <w:tc>
          <w:tcPr>
            <w:tcW w:w="7840" w:type="dxa"/>
          </w:tcPr>
          <w:p w14:paraId="73A09250">
            <w:pPr>
              <w:ind w:firstLine="482"/>
              <w:rPr>
                <w:b/>
                <w:bCs/>
              </w:rPr>
            </w:pPr>
            <w:r>
              <w:rPr>
                <w:rFonts w:hint="eastAsia"/>
                <w:b/>
                <w:bCs/>
              </w:rPr>
              <w:t>1、大气污染物排放标准</w:t>
            </w:r>
          </w:p>
          <w:p w14:paraId="7219F5E1">
            <w:pPr>
              <w:ind w:firstLine="480"/>
              <w:jc w:val="left"/>
              <w:rPr>
                <w:szCs w:val="32"/>
              </w:rPr>
            </w:pPr>
            <w:r>
              <w:rPr>
                <w:rFonts w:cs="Times New Roman"/>
                <w:szCs w:val="32"/>
              </w:rPr>
              <w:t>施工期扬尘执行《四川省施工场地扬尘排放标准》（DB512682-2020）相关要求。</w:t>
            </w:r>
          </w:p>
          <w:p w14:paraId="68FAAB74">
            <w:pPr>
              <w:pStyle w:val="48"/>
            </w:pPr>
            <w:r>
              <w:t>四川省施工场地扬尘排放标准</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86"/>
              <w:gridCol w:w="686"/>
              <w:gridCol w:w="2483"/>
              <w:gridCol w:w="1847"/>
              <w:gridCol w:w="2051"/>
            </w:tblGrid>
            <w:tr w14:paraId="0D5EC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0" w:type="auto"/>
                  <w:vAlign w:val="center"/>
                </w:tcPr>
                <w:p w14:paraId="73905E93">
                  <w:pPr>
                    <w:pStyle w:val="31"/>
                    <w:rPr>
                      <w:b/>
                      <w:bCs/>
                    </w:rPr>
                  </w:pPr>
                  <w:r>
                    <w:rPr>
                      <w:b/>
                      <w:bCs/>
                    </w:rPr>
                    <w:t>名称</w:t>
                  </w:r>
                </w:p>
              </w:tc>
              <w:tc>
                <w:tcPr>
                  <w:tcW w:w="0" w:type="auto"/>
                  <w:gridSpan w:val="2"/>
                  <w:vAlign w:val="center"/>
                </w:tcPr>
                <w:p w14:paraId="04891AA7">
                  <w:pPr>
                    <w:pStyle w:val="31"/>
                    <w:rPr>
                      <w:b/>
                      <w:bCs/>
                    </w:rPr>
                  </w:pPr>
                  <w:r>
                    <w:rPr>
                      <w:b/>
                      <w:bCs/>
                    </w:rPr>
                    <w:t>施工阶段</w:t>
                  </w:r>
                </w:p>
              </w:tc>
              <w:tc>
                <w:tcPr>
                  <w:tcW w:w="0" w:type="auto"/>
                  <w:vAlign w:val="center"/>
                </w:tcPr>
                <w:p w14:paraId="1AD025DA">
                  <w:pPr>
                    <w:pStyle w:val="31"/>
                    <w:rPr>
                      <w:b/>
                      <w:bCs/>
                      <w:spacing w:val="-4"/>
                    </w:rPr>
                  </w:pPr>
                  <w:r>
                    <w:rPr>
                      <w:b/>
                      <w:bCs/>
                    </w:rPr>
                    <w:t>浓度限值（</w:t>
                  </w:r>
                  <w:r>
                    <w:rPr>
                      <w:rFonts w:cs="Times New Roman"/>
                      <w:b/>
                      <w:bCs/>
                    </w:rPr>
                    <w:t>μ</w:t>
                  </w:r>
                  <w:r>
                    <w:rPr>
                      <w:b/>
                      <w:bCs/>
                    </w:rPr>
                    <w:t>g/m</w:t>
                  </w:r>
                  <w:r>
                    <w:rPr>
                      <w:b/>
                      <w:bCs/>
                      <w:vertAlign w:val="superscript"/>
                    </w:rPr>
                    <w:t>3</w:t>
                  </w:r>
                  <w:r>
                    <w:rPr>
                      <w:b/>
                      <w:bCs/>
                    </w:rPr>
                    <w:t>）</w:t>
                  </w:r>
                </w:p>
              </w:tc>
              <w:tc>
                <w:tcPr>
                  <w:tcW w:w="0" w:type="auto"/>
                  <w:vAlign w:val="center"/>
                </w:tcPr>
                <w:p w14:paraId="3E48E3FA">
                  <w:pPr>
                    <w:pStyle w:val="31"/>
                    <w:rPr>
                      <w:b/>
                      <w:bCs/>
                    </w:rPr>
                  </w:pPr>
                  <w:r>
                    <w:rPr>
                      <w:b/>
                      <w:bCs/>
                    </w:rPr>
                    <w:t>监测时间</w:t>
                  </w:r>
                </w:p>
              </w:tc>
            </w:tr>
            <w:tr w14:paraId="45975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0" w:type="auto"/>
                  <w:vMerge w:val="restart"/>
                  <w:vAlign w:val="center"/>
                </w:tcPr>
                <w:p w14:paraId="082FAF4B">
                  <w:pPr>
                    <w:pStyle w:val="31"/>
                    <w:rPr>
                      <w:bCs/>
                    </w:rPr>
                  </w:pPr>
                  <w:r>
                    <w:rPr>
                      <w:rFonts w:hint="eastAsia"/>
                      <w:bCs/>
                    </w:rPr>
                    <w:t>颗粒物</w:t>
                  </w:r>
                </w:p>
              </w:tc>
              <w:tc>
                <w:tcPr>
                  <w:tcW w:w="0" w:type="auto"/>
                  <w:vMerge w:val="restart"/>
                  <w:vAlign w:val="center"/>
                </w:tcPr>
                <w:p w14:paraId="286490E9">
                  <w:pPr>
                    <w:pStyle w:val="31"/>
                    <w:rPr>
                      <w:bCs/>
                    </w:rPr>
                  </w:pPr>
                  <w:r>
                    <w:rPr>
                      <w:rFonts w:hint="eastAsia"/>
                      <w:bCs/>
                    </w:rPr>
                    <w:t>遂宁市</w:t>
                  </w:r>
                </w:p>
              </w:tc>
              <w:tc>
                <w:tcPr>
                  <w:tcW w:w="0" w:type="auto"/>
                  <w:vAlign w:val="center"/>
                </w:tcPr>
                <w:p w14:paraId="35180B1E">
                  <w:pPr>
                    <w:pStyle w:val="31"/>
                    <w:rPr>
                      <w:bCs/>
                    </w:rPr>
                  </w:pPr>
                  <w:r>
                    <w:rPr>
                      <w:bCs/>
                    </w:rPr>
                    <w:t>拆除工程/土方开挖/土方石</w:t>
                  </w:r>
                </w:p>
              </w:tc>
              <w:tc>
                <w:tcPr>
                  <w:tcW w:w="0" w:type="auto"/>
                  <w:vAlign w:val="center"/>
                </w:tcPr>
                <w:p w14:paraId="766F5AE2">
                  <w:pPr>
                    <w:pStyle w:val="31"/>
                    <w:rPr>
                      <w:bCs/>
                    </w:rPr>
                  </w:pPr>
                  <w:r>
                    <w:rPr>
                      <w:bCs/>
                    </w:rPr>
                    <w:t>600</w:t>
                  </w:r>
                </w:p>
              </w:tc>
              <w:tc>
                <w:tcPr>
                  <w:tcW w:w="0" w:type="auto"/>
                  <w:vMerge w:val="restart"/>
                  <w:vAlign w:val="center"/>
                </w:tcPr>
                <w:p w14:paraId="28FE79E7">
                  <w:pPr>
                    <w:pStyle w:val="31"/>
                    <w:rPr>
                      <w:bCs/>
                    </w:rPr>
                  </w:pPr>
                  <w:r>
                    <w:rPr>
                      <w:bCs/>
                    </w:rPr>
                    <w:t>自监测起持续15分钟</w:t>
                  </w:r>
                </w:p>
              </w:tc>
            </w:tr>
            <w:tr w14:paraId="3F0B1D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9" w:hRule="atLeast"/>
                <w:jc w:val="center"/>
              </w:trPr>
              <w:tc>
                <w:tcPr>
                  <w:tcW w:w="0" w:type="auto"/>
                  <w:vMerge w:val="continue"/>
                  <w:vAlign w:val="center"/>
                </w:tcPr>
                <w:p w14:paraId="5A31C2CE">
                  <w:pPr>
                    <w:pStyle w:val="31"/>
                    <w:rPr>
                      <w:bCs/>
                    </w:rPr>
                  </w:pPr>
                </w:p>
              </w:tc>
              <w:tc>
                <w:tcPr>
                  <w:tcW w:w="0" w:type="auto"/>
                  <w:vMerge w:val="continue"/>
                  <w:vAlign w:val="center"/>
                </w:tcPr>
                <w:p w14:paraId="420B507F">
                  <w:pPr>
                    <w:pStyle w:val="31"/>
                    <w:rPr>
                      <w:bCs/>
                    </w:rPr>
                  </w:pPr>
                </w:p>
              </w:tc>
              <w:tc>
                <w:tcPr>
                  <w:tcW w:w="0" w:type="auto"/>
                  <w:vAlign w:val="center"/>
                </w:tcPr>
                <w:p w14:paraId="471BF50C">
                  <w:pPr>
                    <w:pStyle w:val="31"/>
                    <w:rPr>
                      <w:bCs/>
                    </w:rPr>
                  </w:pPr>
                  <w:r>
                    <w:rPr>
                      <w:bCs/>
                    </w:rPr>
                    <w:t>其他工程阶段</w:t>
                  </w:r>
                </w:p>
              </w:tc>
              <w:tc>
                <w:tcPr>
                  <w:tcW w:w="0" w:type="auto"/>
                  <w:vAlign w:val="center"/>
                </w:tcPr>
                <w:p w14:paraId="1694B031">
                  <w:pPr>
                    <w:pStyle w:val="31"/>
                    <w:rPr>
                      <w:bCs/>
                    </w:rPr>
                  </w:pPr>
                  <w:r>
                    <w:rPr>
                      <w:bCs/>
                    </w:rPr>
                    <w:t>250</w:t>
                  </w:r>
                </w:p>
              </w:tc>
              <w:tc>
                <w:tcPr>
                  <w:tcW w:w="0" w:type="auto"/>
                  <w:vMerge w:val="continue"/>
                  <w:vAlign w:val="center"/>
                </w:tcPr>
                <w:p w14:paraId="613811AE">
                  <w:pPr>
                    <w:pStyle w:val="31"/>
                  </w:pPr>
                </w:p>
              </w:tc>
            </w:tr>
          </w:tbl>
          <w:p w14:paraId="2882EFEE">
            <w:pPr>
              <w:ind w:firstLine="480"/>
              <w:rPr>
                <w:b/>
                <w:bCs/>
                <w:szCs w:val="21"/>
              </w:rPr>
            </w:pPr>
            <w:r>
              <w:rPr>
                <w:rFonts w:hint="eastAsia"/>
                <w:szCs w:val="32"/>
              </w:rPr>
              <w:t>本项目燃烧生物质气，根据</w:t>
            </w:r>
            <w:r>
              <w:rPr>
                <w:rFonts w:hint="eastAsia"/>
              </w:rPr>
              <w:t>《四川省生态环境厅关于执行大气污染物特别排放限值的公告》（2020年第2号），本项目</w:t>
            </w:r>
            <w:r>
              <w:rPr>
                <w:szCs w:val="32"/>
              </w:rPr>
              <w:t>营运期</w:t>
            </w:r>
            <w:r>
              <w:t>锅炉废气执行</w:t>
            </w:r>
            <w:r>
              <w:rPr>
                <w:rFonts w:hint="eastAsia"/>
              </w:rPr>
              <w:t>参考</w:t>
            </w:r>
            <w:r>
              <w:t>《锅炉大气污染物排放标准》</w:t>
            </w:r>
            <w:r>
              <w:rPr>
                <w:rFonts w:hint="eastAsia"/>
              </w:rPr>
              <w:t>（</w:t>
            </w:r>
            <w:r>
              <w:t>GB13271-2014</w:t>
            </w:r>
            <w:r>
              <w:rPr>
                <w:rFonts w:hint="eastAsia"/>
              </w:rPr>
              <w:t>）</w:t>
            </w:r>
            <w:r>
              <w:t>表</w:t>
            </w:r>
            <w:r>
              <w:rPr>
                <w:rFonts w:hint="eastAsia"/>
              </w:rPr>
              <w:t>3</w:t>
            </w:r>
            <w:r>
              <w:t>中</w:t>
            </w:r>
            <w:r>
              <w:rPr>
                <w:rFonts w:hint="eastAsia"/>
              </w:rPr>
              <w:t>燃气锅炉</w:t>
            </w:r>
            <w:r>
              <w:t>的</w:t>
            </w:r>
            <w:r>
              <w:rPr>
                <w:rFonts w:hint="eastAsia"/>
              </w:rPr>
              <w:t>大气污染物特别</w:t>
            </w:r>
            <w:r>
              <w:t>排放浓度限值。</w:t>
            </w:r>
          </w:p>
          <w:p w14:paraId="423B489D">
            <w:pPr>
              <w:pStyle w:val="48"/>
            </w:pPr>
            <w:r>
              <w:t>锅炉大气污染物排放标准</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78"/>
              <w:gridCol w:w="1658"/>
              <w:gridCol w:w="2295"/>
              <w:gridCol w:w="2453"/>
            </w:tblGrid>
            <w:tr w14:paraId="25B983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9" w:hRule="atLeast"/>
              </w:trPr>
              <w:tc>
                <w:tcPr>
                  <w:tcW w:w="1350" w:type="dxa"/>
                  <w:tcMar>
                    <w:left w:w="28" w:type="dxa"/>
                    <w:right w:w="28" w:type="dxa"/>
                  </w:tcMar>
                  <w:vAlign w:val="center"/>
                </w:tcPr>
                <w:p w14:paraId="775D8FFD">
                  <w:pPr>
                    <w:pStyle w:val="31"/>
                    <w:rPr>
                      <w:b/>
                      <w:bCs/>
                    </w:rPr>
                  </w:pPr>
                  <w:r>
                    <w:rPr>
                      <w:b/>
                      <w:bCs/>
                    </w:rPr>
                    <w:t>名称</w:t>
                  </w:r>
                </w:p>
              </w:tc>
              <w:tc>
                <w:tcPr>
                  <w:tcW w:w="1624" w:type="dxa"/>
                  <w:tcMar>
                    <w:left w:w="28" w:type="dxa"/>
                    <w:right w:w="28" w:type="dxa"/>
                  </w:tcMar>
                  <w:vAlign w:val="center"/>
                </w:tcPr>
                <w:p w14:paraId="5B69DEC2">
                  <w:pPr>
                    <w:pStyle w:val="31"/>
                    <w:rPr>
                      <w:b/>
                      <w:bCs/>
                    </w:rPr>
                  </w:pPr>
                  <w:r>
                    <w:rPr>
                      <w:b/>
                      <w:bCs/>
                    </w:rPr>
                    <w:t>污染物</w:t>
                  </w:r>
                </w:p>
              </w:tc>
              <w:tc>
                <w:tcPr>
                  <w:tcW w:w="2248" w:type="dxa"/>
                  <w:tcMar>
                    <w:left w:w="28" w:type="dxa"/>
                    <w:right w:w="28" w:type="dxa"/>
                  </w:tcMar>
                  <w:vAlign w:val="center"/>
                </w:tcPr>
                <w:p w14:paraId="0793B071">
                  <w:pPr>
                    <w:pStyle w:val="31"/>
                    <w:rPr>
                      <w:b/>
                      <w:bCs/>
                      <w:spacing w:val="-4"/>
                    </w:rPr>
                  </w:pPr>
                  <w:r>
                    <w:rPr>
                      <w:b/>
                      <w:bCs/>
                    </w:rPr>
                    <w:t>浓度限值（mg/m</w:t>
                  </w:r>
                  <w:r>
                    <w:rPr>
                      <w:b/>
                      <w:bCs/>
                      <w:vertAlign w:val="superscript"/>
                    </w:rPr>
                    <w:t>3</w:t>
                  </w:r>
                  <w:r>
                    <w:rPr>
                      <w:b/>
                      <w:bCs/>
                    </w:rPr>
                    <w:t>）</w:t>
                  </w:r>
                </w:p>
              </w:tc>
              <w:tc>
                <w:tcPr>
                  <w:tcW w:w="2402" w:type="dxa"/>
                  <w:tcMar>
                    <w:left w:w="28" w:type="dxa"/>
                    <w:right w:w="28" w:type="dxa"/>
                  </w:tcMar>
                  <w:vAlign w:val="center"/>
                </w:tcPr>
                <w:p w14:paraId="47E48B1C">
                  <w:pPr>
                    <w:pStyle w:val="31"/>
                    <w:rPr>
                      <w:b/>
                      <w:bCs/>
                    </w:rPr>
                  </w:pPr>
                  <w:r>
                    <w:rPr>
                      <w:b/>
                      <w:bCs/>
                    </w:rPr>
                    <w:t>污染物监测位置</w:t>
                  </w:r>
                </w:p>
              </w:tc>
            </w:tr>
            <w:tr w14:paraId="034FB8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restart"/>
                  <w:tcMar>
                    <w:left w:w="28" w:type="dxa"/>
                    <w:right w:w="28" w:type="dxa"/>
                  </w:tcMar>
                  <w:vAlign w:val="center"/>
                </w:tcPr>
                <w:p w14:paraId="58F750B1">
                  <w:pPr>
                    <w:pStyle w:val="31"/>
                    <w:rPr>
                      <w:bCs/>
                    </w:rPr>
                  </w:pPr>
                  <w:r>
                    <w:rPr>
                      <w:bCs/>
                    </w:rPr>
                    <w:t>锅炉烟气</w:t>
                  </w:r>
                </w:p>
              </w:tc>
              <w:tc>
                <w:tcPr>
                  <w:tcW w:w="1624" w:type="dxa"/>
                  <w:tcMar>
                    <w:left w:w="28" w:type="dxa"/>
                    <w:right w:w="28" w:type="dxa"/>
                  </w:tcMar>
                  <w:vAlign w:val="center"/>
                </w:tcPr>
                <w:p w14:paraId="22DF8C2A">
                  <w:pPr>
                    <w:pStyle w:val="31"/>
                    <w:rPr>
                      <w:bCs/>
                    </w:rPr>
                  </w:pPr>
                  <w:r>
                    <w:rPr>
                      <w:bCs/>
                    </w:rPr>
                    <w:t>颗粒物</w:t>
                  </w:r>
                </w:p>
              </w:tc>
              <w:tc>
                <w:tcPr>
                  <w:tcW w:w="2248" w:type="dxa"/>
                  <w:tcMar>
                    <w:left w:w="28" w:type="dxa"/>
                    <w:right w:w="28" w:type="dxa"/>
                  </w:tcMar>
                  <w:vAlign w:val="center"/>
                </w:tcPr>
                <w:p w14:paraId="7510F661">
                  <w:pPr>
                    <w:pStyle w:val="31"/>
                    <w:rPr>
                      <w:bCs/>
                    </w:rPr>
                  </w:pPr>
                  <w:r>
                    <w:rPr>
                      <w:bCs/>
                    </w:rPr>
                    <w:t>20</w:t>
                  </w:r>
                </w:p>
              </w:tc>
              <w:tc>
                <w:tcPr>
                  <w:tcW w:w="2402" w:type="dxa"/>
                  <w:vMerge w:val="restart"/>
                  <w:tcMar>
                    <w:left w:w="28" w:type="dxa"/>
                    <w:right w:w="28" w:type="dxa"/>
                  </w:tcMar>
                  <w:vAlign w:val="center"/>
                </w:tcPr>
                <w:p w14:paraId="26C8E040">
                  <w:pPr>
                    <w:pStyle w:val="31"/>
                    <w:rPr>
                      <w:bCs/>
                    </w:rPr>
                  </w:pPr>
                  <w:r>
                    <w:rPr>
                      <w:bCs/>
                    </w:rPr>
                    <w:t>烟囱或烟道</w:t>
                  </w:r>
                </w:p>
              </w:tc>
            </w:tr>
            <w:tr w14:paraId="5A41A2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continue"/>
                  <w:tcMar>
                    <w:left w:w="28" w:type="dxa"/>
                    <w:right w:w="28" w:type="dxa"/>
                  </w:tcMar>
                  <w:vAlign w:val="center"/>
                </w:tcPr>
                <w:p w14:paraId="245ADBF7">
                  <w:pPr>
                    <w:pStyle w:val="31"/>
                    <w:rPr>
                      <w:bCs/>
                    </w:rPr>
                  </w:pPr>
                </w:p>
              </w:tc>
              <w:tc>
                <w:tcPr>
                  <w:tcW w:w="1624" w:type="dxa"/>
                  <w:tcMar>
                    <w:left w:w="28" w:type="dxa"/>
                    <w:right w:w="28" w:type="dxa"/>
                  </w:tcMar>
                  <w:vAlign w:val="center"/>
                </w:tcPr>
                <w:p w14:paraId="4CB55F3C">
                  <w:pPr>
                    <w:pStyle w:val="31"/>
                    <w:rPr>
                      <w:bCs/>
                    </w:rPr>
                  </w:pPr>
                  <w:r>
                    <w:rPr>
                      <w:bCs/>
                    </w:rPr>
                    <w:t>二氧化硫</w:t>
                  </w:r>
                </w:p>
              </w:tc>
              <w:tc>
                <w:tcPr>
                  <w:tcW w:w="2248" w:type="dxa"/>
                  <w:tcMar>
                    <w:left w:w="28" w:type="dxa"/>
                    <w:right w:w="28" w:type="dxa"/>
                  </w:tcMar>
                  <w:vAlign w:val="center"/>
                </w:tcPr>
                <w:p w14:paraId="65135CBB">
                  <w:pPr>
                    <w:pStyle w:val="31"/>
                    <w:rPr>
                      <w:bCs/>
                    </w:rPr>
                  </w:pPr>
                  <w:r>
                    <w:rPr>
                      <w:bCs/>
                    </w:rPr>
                    <w:t>50</w:t>
                  </w:r>
                </w:p>
              </w:tc>
              <w:tc>
                <w:tcPr>
                  <w:tcW w:w="2402" w:type="dxa"/>
                  <w:vMerge w:val="continue"/>
                  <w:tcMar>
                    <w:left w:w="28" w:type="dxa"/>
                    <w:right w:w="28" w:type="dxa"/>
                  </w:tcMar>
                  <w:vAlign w:val="center"/>
                </w:tcPr>
                <w:p w14:paraId="32D96D44">
                  <w:pPr>
                    <w:pStyle w:val="31"/>
                    <w:rPr>
                      <w:bCs/>
                    </w:rPr>
                  </w:pPr>
                </w:p>
              </w:tc>
            </w:tr>
            <w:tr w14:paraId="3FB5D3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continue"/>
                  <w:tcMar>
                    <w:left w:w="28" w:type="dxa"/>
                    <w:right w:w="28" w:type="dxa"/>
                  </w:tcMar>
                  <w:vAlign w:val="center"/>
                </w:tcPr>
                <w:p w14:paraId="230F1E77">
                  <w:pPr>
                    <w:pStyle w:val="31"/>
                    <w:rPr>
                      <w:bCs/>
                    </w:rPr>
                  </w:pPr>
                </w:p>
              </w:tc>
              <w:tc>
                <w:tcPr>
                  <w:tcW w:w="1624" w:type="dxa"/>
                  <w:tcMar>
                    <w:left w:w="28" w:type="dxa"/>
                    <w:right w:w="28" w:type="dxa"/>
                  </w:tcMar>
                  <w:vAlign w:val="center"/>
                </w:tcPr>
                <w:p w14:paraId="1610711B">
                  <w:pPr>
                    <w:pStyle w:val="31"/>
                    <w:rPr>
                      <w:bCs/>
                      <w:highlight w:val="yellow"/>
                    </w:rPr>
                  </w:pPr>
                  <w:r>
                    <w:rPr>
                      <w:bCs/>
                    </w:rPr>
                    <w:t>氮氧化物</w:t>
                  </w:r>
                </w:p>
              </w:tc>
              <w:tc>
                <w:tcPr>
                  <w:tcW w:w="2248" w:type="dxa"/>
                  <w:tcMar>
                    <w:left w:w="28" w:type="dxa"/>
                    <w:right w:w="28" w:type="dxa"/>
                  </w:tcMar>
                  <w:vAlign w:val="center"/>
                </w:tcPr>
                <w:p w14:paraId="0FCFE34A">
                  <w:pPr>
                    <w:pStyle w:val="31"/>
                    <w:rPr>
                      <w:bCs/>
                      <w:highlight w:val="yellow"/>
                    </w:rPr>
                  </w:pPr>
                  <w:r>
                    <w:rPr>
                      <w:rFonts w:hint="eastAsia"/>
                      <w:bCs/>
                    </w:rPr>
                    <w:t>150</w:t>
                  </w:r>
                </w:p>
              </w:tc>
              <w:tc>
                <w:tcPr>
                  <w:tcW w:w="2402" w:type="dxa"/>
                  <w:vMerge w:val="continue"/>
                  <w:tcMar>
                    <w:left w:w="28" w:type="dxa"/>
                    <w:right w:w="28" w:type="dxa"/>
                  </w:tcMar>
                  <w:vAlign w:val="center"/>
                </w:tcPr>
                <w:p w14:paraId="354F567D">
                  <w:pPr>
                    <w:pStyle w:val="31"/>
                    <w:rPr>
                      <w:bCs/>
                    </w:rPr>
                  </w:pPr>
                </w:p>
              </w:tc>
            </w:tr>
            <w:tr w14:paraId="1F52D5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continue"/>
                  <w:tcMar>
                    <w:left w:w="28" w:type="dxa"/>
                    <w:right w:w="28" w:type="dxa"/>
                  </w:tcMar>
                  <w:vAlign w:val="center"/>
                </w:tcPr>
                <w:p w14:paraId="3D846F47">
                  <w:pPr>
                    <w:pStyle w:val="31"/>
                    <w:rPr>
                      <w:bCs/>
                    </w:rPr>
                  </w:pPr>
                </w:p>
              </w:tc>
              <w:tc>
                <w:tcPr>
                  <w:tcW w:w="1624" w:type="dxa"/>
                  <w:tcMar>
                    <w:left w:w="28" w:type="dxa"/>
                    <w:right w:w="28" w:type="dxa"/>
                  </w:tcMar>
                  <w:vAlign w:val="center"/>
                </w:tcPr>
                <w:p w14:paraId="1CADBB94">
                  <w:pPr>
                    <w:pStyle w:val="31"/>
                    <w:rPr>
                      <w:bCs/>
                    </w:rPr>
                  </w:pPr>
                  <w:r>
                    <w:rPr>
                      <w:bCs/>
                    </w:rPr>
                    <w:t>汞及其化合物</w:t>
                  </w:r>
                </w:p>
              </w:tc>
              <w:tc>
                <w:tcPr>
                  <w:tcW w:w="2248" w:type="dxa"/>
                  <w:tcMar>
                    <w:left w:w="28" w:type="dxa"/>
                    <w:right w:w="28" w:type="dxa"/>
                  </w:tcMar>
                  <w:vAlign w:val="center"/>
                </w:tcPr>
                <w:p w14:paraId="5001ECDD">
                  <w:pPr>
                    <w:pStyle w:val="31"/>
                    <w:rPr>
                      <w:bCs/>
                    </w:rPr>
                  </w:pPr>
                  <w:r>
                    <w:rPr>
                      <w:bCs/>
                    </w:rPr>
                    <w:t>-</w:t>
                  </w:r>
                </w:p>
              </w:tc>
              <w:tc>
                <w:tcPr>
                  <w:tcW w:w="2402" w:type="dxa"/>
                  <w:vMerge w:val="continue"/>
                  <w:tcMar>
                    <w:left w:w="28" w:type="dxa"/>
                    <w:right w:w="28" w:type="dxa"/>
                  </w:tcMar>
                  <w:vAlign w:val="center"/>
                </w:tcPr>
                <w:p w14:paraId="74E8BACA">
                  <w:pPr>
                    <w:pStyle w:val="31"/>
                    <w:rPr>
                      <w:bCs/>
                    </w:rPr>
                  </w:pPr>
                </w:p>
              </w:tc>
            </w:tr>
            <w:tr w14:paraId="0E5E44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350" w:type="dxa"/>
                  <w:vMerge w:val="continue"/>
                  <w:tcMar>
                    <w:left w:w="28" w:type="dxa"/>
                    <w:right w:w="28" w:type="dxa"/>
                  </w:tcMar>
                  <w:vAlign w:val="center"/>
                </w:tcPr>
                <w:p w14:paraId="47E06A58">
                  <w:pPr>
                    <w:pStyle w:val="31"/>
                    <w:rPr>
                      <w:bCs/>
                    </w:rPr>
                  </w:pPr>
                </w:p>
              </w:tc>
              <w:tc>
                <w:tcPr>
                  <w:tcW w:w="1624" w:type="dxa"/>
                  <w:tcMar>
                    <w:left w:w="28" w:type="dxa"/>
                    <w:right w:w="28" w:type="dxa"/>
                  </w:tcMar>
                  <w:vAlign w:val="center"/>
                </w:tcPr>
                <w:p w14:paraId="075C8225">
                  <w:pPr>
                    <w:pStyle w:val="31"/>
                    <w:rPr>
                      <w:bCs/>
                    </w:rPr>
                  </w:pPr>
                  <w:r>
                    <w:rPr>
                      <w:bCs/>
                    </w:rPr>
                    <w:t>烟气黑度</w:t>
                  </w:r>
                </w:p>
              </w:tc>
              <w:tc>
                <w:tcPr>
                  <w:tcW w:w="2248" w:type="dxa"/>
                  <w:tcMar>
                    <w:left w:w="28" w:type="dxa"/>
                    <w:right w:w="28" w:type="dxa"/>
                  </w:tcMar>
                  <w:vAlign w:val="center"/>
                </w:tcPr>
                <w:p w14:paraId="02F9868F">
                  <w:pPr>
                    <w:pStyle w:val="31"/>
                    <w:rPr>
                      <w:bCs/>
                    </w:rPr>
                  </w:pPr>
                  <w:r>
                    <w:rPr>
                      <w:bCs/>
                    </w:rPr>
                    <w:t>≤1</w:t>
                  </w:r>
                </w:p>
              </w:tc>
              <w:tc>
                <w:tcPr>
                  <w:tcW w:w="2402" w:type="dxa"/>
                  <w:tcMar>
                    <w:left w:w="28" w:type="dxa"/>
                    <w:right w:w="28" w:type="dxa"/>
                  </w:tcMar>
                  <w:vAlign w:val="center"/>
                </w:tcPr>
                <w:p w14:paraId="39ABC982">
                  <w:pPr>
                    <w:pStyle w:val="31"/>
                    <w:rPr>
                      <w:bCs/>
                    </w:rPr>
                  </w:pPr>
                  <w:r>
                    <w:rPr>
                      <w:bCs/>
                    </w:rPr>
                    <w:t>烟囱排放口</w:t>
                  </w:r>
                </w:p>
              </w:tc>
            </w:tr>
          </w:tbl>
          <w:p w14:paraId="51764C19">
            <w:pPr>
              <w:autoSpaceDE w:val="0"/>
              <w:autoSpaceDN w:val="0"/>
              <w:adjustRightInd w:val="0"/>
              <w:spacing w:before="78" w:beforeLines="25"/>
              <w:ind w:firstLine="482"/>
              <w:jc w:val="left"/>
              <w:rPr>
                <w:b/>
                <w:bCs/>
              </w:rPr>
            </w:pPr>
            <w:r>
              <w:rPr>
                <w:rFonts w:hint="eastAsia"/>
                <w:b/>
                <w:bCs/>
              </w:rPr>
              <w:t>2、</w:t>
            </w:r>
            <w:r>
              <w:rPr>
                <w:b/>
                <w:bCs/>
              </w:rPr>
              <w:t>水污染物排放标准</w:t>
            </w:r>
          </w:p>
          <w:p w14:paraId="42522902">
            <w:pPr>
              <w:ind w:firstLine="480"/>
            </w:pPr>
            <w:r>
              <w:rPr>
                <w:rFonts w:hint="eastAsia"/>
              </w:rPr>
              <w:t>本</w:t>
            </w:r>
            <w:r>
              <w:t>项目</w:t>
            </w:r>
            <w:r>
              <w:rPr>
                <w:rFonts w:hint="eastAsia"/>
              </w:rPr>
              <w:t>生活污水和锅炉排污水执行</w:t>
            </w:r>
            <w:bookmarkStart w:id="9" w:name="_Hlk172021984"/>
            <w:r>
              <w:rPr>
                <w:rFonts w:hint="eastAsia"/>
              </w:rPr>
              <w:t>《污水综合排放标准》（GB8978-1996）表</w:t>
            </w:r>
            <w:r>
              <w:t>4</w:t>
            </w:r>
            <w:r>
              <w:rPr>
                <w:rFonts w:hint="eastAsia"/>
              </w:rPr>
              <w:t>三级标准</w:t>
            </w:r>
            <w:bookmarkEnd w:id="9"/>
            <w:r>
              <w:rPr>
                <w:rFonts w:hint="eastAsia"/>
              </w:rPr>
              <w:t>，氨氮参考《污水排入城镇下水道水质标准》（GB/T-31962-2015）表1中B级标准。</w:t>
            </w:r>
            <w:r>
              <w:t>详见</w:t>
            </w:r>
            <w:r>
              <w:rPr>
                <w:rFonts w:hint="eastAsia"/>
              </w:rPr>
              <w:t>下表。</w:t>
            </w:r>
          </w:p>
          <w:p w14:paraId="64FC07F8">
            <w:pPr>
              <w:pStyle w:val="48"/>
            </w:pPr>
            <w:r>
              <w:t>污水综合排放标准</w:t>
            </w:r>
            <w:r>
              <w:rPr>
                <w:rFonts w:hint="eastAsia"/>
              </w:rPr>
              <w:t xml:space="preserve">   </w:t>
            </w:r>
            <w:r>
              <w:t>单位：mg/</w:t>
            </w:r>
            <w:r>
              <w:rPr>
                <w:rFonts w:hint="eastAsia"/>
              </w:rPr>
              <w:t>L，pH无量纲</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0"/>
              <w:gridCol w:w="1848"/>
              <w:gridCol w:w="4356"/>
            </w:tblGrid>
            <w:tr w14:paraId="0F38B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33CA918E">
                  <w:pPr>
                    <w:pStyle w:val="31"/>
                  </w:pPr>
                  <w:r>
                    <w:rPr>
                      <w:rFonts w:hint="eastAsia"/>
                      <w:b/>
                      <w:bCs/>
                    </w:rPr>
                    <w:t>污染物名称</w:t>
                  </w:r>
                </w:p>
              </w:tc>
              <w:tc>
                <w:tcPr>
                  <w:tcW w:w="1848" w:type="dxa"/>
                  <w:vAlign w:val="center"/>
                </w:tcPr>
                <w:p w14:paraId="7D3ED3F7">
                  <w:pPr>
                    <w:pStyle w:val="31"/>
                    <w:rPr>
                      <w:b/>
                      <w:bCs/>
                    </w:rPr>
                  </w:pPr>
                  <w:r>
                    <w:rPr>
                      <w:rFonts w:hint="eastAsia"/>
                      <w:b/>
                      <w:bCs/>
                    </w:rPr>
                    <w:t>排放标准</w:t>
                  </w:r>
                </w:p>
              </w:tc>
              <w:tc>
                <w:tcPr>
                  <w:tcW w:w="4356" w:type="dxa"/>
                  <w:vAlign w:val="center"/>
                </w:tcPr>
                <w:p w14:paraId="6E56B3B2">
                  <w:pPr>
                    <w:pStyle w:val="31"/>
                    <w:rPr>
                      <w:b/>
                      <w:bCs/>
                    </w:rPr>
                  </w:pPr>
                  <w:r>
                    <w:rPr>
                      <w:rFonts w:hint="eastAsia"/>
                      <w:b/>
                      <w:bCs/>
                    </w:rPr>
                    <w:t>标准来源</w:t>
                  </w:r>
                </w:p>
              </w:tc>
            </w:tr>
            <w:tr w14:paraId="209A9C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0D929AD0">
                  <w:pPr>
                    <w:pStyle w:val="31"/>
                  </w:pPr>
                  <w:r>
                    <w:rPr>
                      <w:rFonts w:hint="eastAsia"/>
                    </w:rPr>
                    <w:t>p</w:t>
                  </w:r>
                  <w:r>
                    <w:t>H</w:t>
                  </w:r>
                </w:p>
              </w:tc>
              <w:tc>
                <w:tcPr>
                  <w:tcW w:w="1848" w:type="dxa"/>
                  <w:vAlign w:val="center"/>
                </w:tcPr>
                <w:p w14:paraId="4C49D1DD">
                  <w:pPr>
                    <w:pStyle w:val="31"/>
                  </w:pPr>
                  <w:r>
                    <w:t>6~9</w:t>
                  </w:r>
                </w:p>
              </w:tc>
              <w:tc>
                <w:tcPr>
                  <w:tcW w:w="4356" w:type="dxa"/>
                  <w:vMerge w:val="restart"/>
                  <w:vAlign w:val="center"/>
                </w:tcPr>
                <w:p w14:paraId="4704DCE2">
                  <w:pPr>
                    <w:pStyle w:val="31"/>
                  </w:pPr>
                  <w:r>
                    <w:rPr>
                      <w:rFonts w:hint="eastAsia"/>
                    </w:rPr>
                    <w:t>《污水综合排放标准》（GB8978-1996）表</w:t>
                  </w:r>
                  <w:r>
                    <w:t>4</w:t>
                  </w:r>
                  <w:r>
                    <w:rPr>
                      <w:rFonts w:hint="eastAsia"/>
                    </w:rPr>
                    <w:t>三级标准</w:t>
                  </w:r>
                </w:p>
              </w:tc>
            </w:tr>
            <w:tr w14:paraId="74F6D3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66739306">
                  <w:pPr>
                    <w:pStyle w:val="31"/>
                  </w:pPr>
                  <w:r>
                    <w:rPr>
                      <w:rFonts w:hint="eastAsia"/>
                    </w:rPr>
                    <w:t>COD</w:t>
                  </w:r>
                </w:p>
              </w:tc>
              <w:tc>
                <w:tcPr>
                  <w:tcW w:w="1848" w:type="dxa"/>
                  <w:vAlign w:val="center"/>
                </w:tcPr>
                <w:p w14:paraId="7ADC3EEB">
                  <w:pPr>
                    <w:pStyle w:val="31"/>
                  </w:pPr>
                  <w:r>
                    <w:rPr>
                      <w:rFonts w:hint="eastAsia"/>
                    </w:rPr>
                    <w:t>500</w:t>
                  </w:r>
                </w:p>
              </w:tc>
              <w:tc>
                <w:tcPr>
                  <w:tcW w:w="4356" w:type="dxa"/>
                  <w:vMerge w:val="continue"/>
                  <w:vAlign w:val="center"/>
                </w:tcPr>
                <w:p w14:paraId="6E66B33B">
                  <w:pPr>
                    <w:pStyle w:val="31"/>
                  </w:pPr>
                </w:p>
              </w:tc>
            </w:tr>
            <w:tr w14:paraId="23AEE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3C2FB754">
                  <w:pPr>
                    <w:pStyle w:val="31"/>
                  </w:pPr>
                  <w:r>
                    <w:rPr>
                      <w:rFonts w:hint="eastAsia"/>
                    </w:rPr>
                    <w:t>BOD</w:t>
                  </w:r>
                  <w:r>
                    <w:rPr>
                      <w:rFonts w:hint="eastAsia"/>
                      <w:vertAlign w:val="subscript"/>
                    </w:rPr>
                    <w:t>5</w:t>
                  </w:r>
                </w:p>
              </w:tc>
              <w:tc>
                <w:tcPr>
                  <w:tcW w:w="1848" w:type="dxa"/>
                  <w:vAlign w:val="center"/>
                </w:tcPr>
                <w:p w14:paraId="0D98D554">
                  <w:pPr>
                    <w:pStyle w:val="31"/>
                  </w:pPr>
                  <w:r>
                    <w:rPr>
                      <w:rFonts w:hint="eastAsia"/>
                    </w:rPr>
                    <w:t>300</w:t>
                  </w:r>
                </w:p>
              </w:tc>
              <w:tc>
                <w:tcPr>
                  <w:tcW w:w="4356" w:type="dxa"/>
                  <w:vMerge w:val="continue"/>
                  <w:vAlign w:val="center"/>
                </w:tcPr>
                <w:p w14:paraId="3B3CB9C1">
                  <w:pPr>
                    <w:pStyle w:val="31"/>
                  </w:pPr>
                </w:p>
              </w:tc>
            </w:tr>
            <w:tr w14:paraId="2F6E46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0865D0C5">
                  <w:pPr>
                    <w:pStyle w:val="31"/>
                  </w:pPr>
                  <w:r>
                    <w:rPr>
                      <w:rFonts w:hint="eastAsia"/>
                    </w:rPr>
                    <w:t>SS</w:t>
                  </w:r>
                </w:p>
              </w:tc>
              <w:tc>
                <w:tcPr>
                  <w:tcW w:w="1848" w:type="dxa"/>
                  <w:vAlign w:val="center"/>
                </w:tcPr>
                <w:p w14:paraId="4506BA82">
                  <w:pPr>
                    <w:pStyle w:val="31"/>
                  </w:pPr>
                  <w:r>
                    <w:rPr>
                      <w:rFonts w:hint="eastAsia"/>
                    </w:rPr>
                    <w:t>400</w:t>
                  </w:r>
                </w:p>
              </w:tc>
              <w:tc>
                <w:tcPr>
                  <w:tcW w:w="4356" w:type="dxa"/>
                  <w:vMerge w:val="continue"/>
                  <w:vAlign w:val="center"/>
                </w:tcPr>
                <w:p w14:paraId="2E2DD5C2">
                  <w:pPr>
                    <w:pStyle w:val="31"/>
                  </w:pPr>
                </w:p>
              </w:tc>
            </w:tr>
            <w:tr w14:paraId="5DD2F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349BF97B">
                  <w:pPr>
                    <w:pStyle w:val="31"/>
                  </w:pPr>
                  <w:r>
                    <w:rPr>
                      <w:rFonts w:hint="eastAsia"/>
                    </w:rPr>
                    <w:t>石油类</w:t>
                  </w:r>
                </w:p>
              </w:tc>
              <w:tc>
                <w:tcPr>
                  <w:tcW w:w="1848" w:type="dxa"/>
                  <w:vAlign w:val="center"/>
                </w:tcPr>
                <w:p w14:paraId="5EBEA817">
                  <w:pPr>
                    <w:pStyle w:val="31"/>
                  </w:pPr>
                  <w:r>
                    <w:rPr>
                      <w:rFonts w:hint="eastAsia"/>
                    </w:rPr>
                    <w:t>20</w:t>
                  </w:r>
                </w:p>
              </w:tc>
              <w:tc>
                <w:tcPr>
                  <w:tcW w:w="4356" w:type="dxa"/>
                  <w:vMerge w:val="continue"/>
                  <w:vAlign w:val="center"/>
                </w:tcPr>
                <w:p w14:paraId="53437456">
                  <w:pPr>
                    <w:pStyle w:val="31"/>
                  </w:pPr>
                </w:p>
              </w:tc>
            </w:tr>
            <w:tr w14:paraId="23DFD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10" w:type="dxa"/>
                  <w:vAlign w:val="center"/>
                </w:tcPr>
                <w:p w14:paraId="0228053B">
                  <w:pPr>
                    <w:pStyle w:val="31"/>
                  </w:pPr>
                  <w:r>
                    <w:rPr>
                      <w:rFonts w:hint="eastAsia"/>
                    </w:rPr>
                    <w:t>氨氮</w:t>
                  </w:r>
                </w:p>
              </w:tc>
              <w:tc>
                <w:tcPr>
                  <w:tcW w:w="1848" w:type="dxa"/>
                  <w:vAlign w:val="center"/>
                </w:tcPr>
                <w:p w14:paraId="545D5790">
                  <w:pPr>
                    <w:pStyle w:val="31"/>
                  </w:pPr>
                  <w:r>
                    <w:rPr>
                      <w:rFonts w:hint="eastAsia"/>
                    </w:rPr>
                    <w:t>45</w:t>
                  </w:r>
                </w:p>
              </w:tc>
              <w:tc>
                <w:tcPr>
                  <w:tcW w:w="4356" w:type="dxa"/>
                  <w:vAlign w:val="center"/>
                </w:tcPr>
                <w:p w14:paraId="1BF512D2">
                  <w:pPr>
                    <w:pStyle w:val="31"/>
                  </w:pPr>
                  <w:r>
                    <w:rPr>
                      <w:rFonts w:hint="eastAsia"/>
                    </w:rPr>
                    <w:t>《污水排入城镇下水道水质标准》（GB/T-31962-2015）B级标准</w:t>
                  </w:r>
                </w:p>
              </w:tc>
            </w:tr>
          </w:tbl>
          <w:p w14:paraId="5D015BB0">
            <w:pPr>
              <w:ind w:firstLine="480"/>
            </w:pPr>
            <w:r>
              <w:rPr>
                <w:rFonts w:hint="eastAsia"/>
              </w:rPr>
              <w:t>用于绿化的水执行</w:t>
            </w:r>
            <w:r>
              <w:t>《城市污水再生利用 城市杂用水水质》</w:t>
            </w:r>
            <w:r>
              <w:rPr>
                <w:rFonts w:hint="eastAsia"/>
              </w:rPr>
              <w:t>（GB/T18920-2020）中表1城市绿化。</w:t>
            </w:r>
            <w:r>
              <w:t>详见</w:t>
            </w:r>
            <w:r>
              <w:rPr>
                <w:rFonts w:hint="eastAsia"/>
              </w:rPr>
              <w:t>下表。</w:t>
            </w:r>
          </w:p>
          <w:p w14:paraId="182747F4">
            <w:pPr>
              <w:pStyle w:val="48"/>
              <w:rPr>
                <w:bCs/>
              </w:rPr>
            </w:pPr>
            <w:r>
              <w:rPr>
                <w:rFonts w:hint="eastAsia"/>
              </w:rPr>
              <w:t>城市杂用水水质基本控制项目及限值</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62"/>
              <w:gridCol w:w="5217"/>
              <w:gridCol w:w="1705"/>
            </w:tblGrid>
            <w:tr w14:paraId="022589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36002D63">
                  <w:pPr>
                    <w:pStyle w:val="31"/>
                    <w:rPr>
                      <w:b/>
                      <w:bCs/>
                    </w:rPr>
                  </w:pPr>
                  <w:r>
                    <w:rPr>
                      <w:rFonts w:hint="eastAsia"/>
                      <w:b/>
                      <w:bCs/>
                    </w:rPr>
                    <w:t>序号</w:t>
                  </w:r>
                </w:p>
              </w:tc>
              <w:tc>
                <w:tcPr>
                  <w:tcW w:w="3351" w:type="pct"/>
                  <w:vAlign w:val="center"/>
                </w:tcPr>
                <w:p w14:paraId="3FDA0F53">
                  <w:pPr>
                    <w:pStyle w:val="31"/>
                    <w:rPr>
                      <w:b/>
                      <w:bCs/>
                    </w:rPr>
                  </w:pPr>
                  <w:r>
                    <w:rPr>
                      <w:rFonts w:hint="eastAsia"/>
                      <w:b/>
                      <w:bCs/>
                    </w:rPr>
                    <w:t>项目</w:t>
                  </w:r>
                </w:p>
              </w:tc>
              <w:tc>
                <w:tcPr>
                  <w:tcW w:w="1095" w:type="pct"/>
                  <w:vAlign w:val="center"/>
                </w:tcPr>
                <w:p w14:paraId="2B8AAD42">
                  <w:pPr>
                    <w:pStyle w:val="31"/>
                    <w:rPr>
                      <w:b/>
                      <w:bCs/>
                    </w:rPr>
                  </w:pPr>
                  <w:r>
                    <w:rPr>
                      <w:rFonts w:hint="eastAsia"/>
                      <w:b/>
                      <w:bCs/>
                    </w:rPr>
                    <w:t>城市绿化</w:t>
                  </w:r>
                </w:p>
              </w:tc>
            </w:tr>
            <w:tr w14:paraId="21CDE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75099943">
                  <w:pPr>
                    <w:pStyle w:val="31"/>
                  </w:pPr>
                  <w:r>
                    <w:rPr>
                      <w:rFonts w:hint="eastAsia"/>
                    </w:rPr>
                    <w:t>1</w:t>
                  </w:r>
                </w:p>
              </w:tc>
              <w:tc>
                <w:tcPr>
                  <w:tcW w:w="3351" w:type="pct"/>
                  <w:vAlign w:val="center"/>
                </w:tcPr>
                <w:p w14:paraId="0C4991FC">
                  <w:pPr>
                    <w:pStyle w:val="31"/>
                  </w:pPr>
                  <w:r>
                    <w:rPr>
                      <w:rFonts w:hint="eastAsia"/>
                    </w:rPr>
                    <w:t>pH</w:t>
                  </w:r>
                </w:p>
              </w:tc>
              <w:tc>
                <w:tcPr>
                  <w:tcW w:w="1095" w:type="pct"/>
                  <w:vAlign w:val="center"/>
                </w:tcPr>
                <w:p w14:paraId="7D7237A7">
                  <w:pPr>
                    <w:pStyle w:val="31"/>
                  </w:pPr>
                  <w:r>
                    <w:rPr>
                      <w:rFonts w:hint="eastAsia"/>
                    </w:rPr>
                    <w:t>6.0~9.0</w:t>
                  </w:r>
                </w:p>
              </w:tc>
            </w:tr>
            <w:tr w14:paraId="6D3DEF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7395A2F0">
                  <w:pPr>
                    <w:pStyle w:val="31"/>
                  </w:pPr>
                  <w:r>
                    <w:rPr>
                      <w:rFonts w:hint="eastAsia"/>
                    </w:rPr>
                    <w:t>2</w:t>
                  </w:r>
                </w:p>
              </w:tc>
              <w:tc>
                <w:tcPr>
                  <w:tcW w:w="3351" w:type="pct"/>
                  <w:vAlign w:val="center"/>
                </w:tcPr>
                <w:p w14:paraId="4E98B4D7">
                  <w:pPr>
                    <w:pStyle w:val="31"/>
                  </w:pPr>
                  <w:r>
                    <w:rPr>
                      <w:rFonts w:hint="eastAsia"/>
                    </w:rPr>
                    <w:t>色度，铂钴色度单位 ≤</w:t>
                  </w:r>
                </w:p>
              </w:tc>
              <w:tc>
                <w:tcPr>
                  <w:tcW w:w="1095" w:type="pct"/>
                  <w:vAlign w:val="center"/>
                </w:tcPr>
                <w:p w14:paraId="535E8C6C">
                  <w:pPr>
                    <w:pStyle w:val="31"/>
                  </w:pPr>
                  <w:r>
                    <w:rPr>
                      <w:rFonts w:hint="eastAsia"/>
                    </w:rPr>
                    <w:t>30</w:t>
                  </w:r>
                </w:p>
              </w:tc>
            </w:tr>
            <w:tr w14:paraId="4D088F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7C24E914">
                  <w:pPr>
                    <w:pStyle w:val="31"/>
                  </w:pPr>
                  <w:r>
                    <w:rPr>
                      <w:rFonts w:hint="eastAsia"/>
                    </w:rPr>
                    <w:t>3</w:t>
                  </w:r>
                </w:p>
              </w:tc>
              <w:tc>
                <w:tcPr>
                  <w:tcW w:w="3351" w:type="pct"/>
                  <w:vAlign w:val="center"/>
                </w:tcPr>
                <w:p w14:paraId="2F0E963C">
                  <w:pPr>
                    <w:pStyle w:val="31"/>
                  </w:pPr>
                  <w:r>
                    <w:rPr>
                      <w:rFonts w:hint="eastAsia"/>
                    </w:rPr>
                    <w:t>嗅</w:t>
                  </w:r>
                </w:p>
              </w:tc>
              <w:tc>
                <w:tcPr>
                  <w:tcW w:w="1095" w:type="pct"/>
                  <w:vAlign w:val="center"/>
                </w:tcPr>
                <w:p w14:paraId="5DA639E9">
                  <w:pPr>
                    <w:pStyle w:val="31"/>
                  </w:pPr>
                  <w:r>
                    <w:rPr>
                      <w:rFonts w:hint="eastAsia"/>
                    </w:rPr>
                    <w:t>无不快感</w:t>
                  </w:r>
                </w:p>
              </w:tc>
            </w:tr>
            <w:tr w14:paraId="2B3A3D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5C7F154F">
                  <w:pPr>
                    <w:pStyle w:val="31"/>
                  </w:pPr>
                  <w:r>
                    <w:rPr>
                      <w:rFonts w:hint="eastAsia"/>
                    </w:rPr>
                    <w:t>4</w:t>
                  </w:r>
                </w:p>
              </w:tc>
              <w:tc>
                <w:tcPr>
                  <w:tcW w:w="3351" w:type="pct"/>
                  <w:vAlign w:val="center"/>
                </w:tcPr>
                <w:p w14:paraId="126154C3">
                  <w:pPr>
                    <w:pStyle w:val="31"/>
                  </w:pPr>
                  <w:r>
                    <w:rPr>
                      <w:rFonts w:hint="eastAsia"/>
                    </w:rPr>
                    <w:t>浊度/NTU ≤</w:t>
                  </w:r>
                </w:p>
              </w:tc>
              <w:tc>
                <w:tcPr>
                  <w:tcW w:w="1095" w:type="pct"/>
                  <w:vAlign w:val="center"/>
                </w:tcPr>
                <w:p w14:paraId="3AFD873F">
                  <w:pPr>
                    <w:pStyle w:val="31"/>
                  </w:pPr>
                  <w:r>
                    <w:rPr>
                      <w:rFonts w:hint="eastAsia"/>
                    </w:rPr>
                    <w:t>10</w:t>
                  </w:r>
                </w:p>
              </w:tc>
            </w:tr>
            <w:tr w14:paraId="0AC825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74571C03">
                  <w:pPr>
                    <w:pStyle w:val="31"/>
                  </w:pPr>
                  <w:r>
                    <w:rPr>
                      <w:rFonts w:hint="eastAsia"/>
                    </w:rPr>
                    <w:t>5</w:t>
                  </w:r>
                </w:p>
              </w:tc>
              <w:tc>
                <w:tcPr>
                  <w:tcW w:w="3351" w:type="pct"/>
                  <w:vAlign w:val="center"/>
                </w:tcPr>
                <w:p w14:paraId="4CDA933A">
                  <w:pPr>
                    <w:pStyle w:val="31"/>
                  </w:pPr>
                  <w:r>
                    <w:rPr>
                      <w:rFonts w:hint="eastAsia"/>
                    </w:rPr>
                    <w:t>五日生化需氧量（BOD5）/（mg/L） ≤</w:t>
                  </w:r>
                </w:p>
              </w:tc>
              <w:tc>
                <w:tcPr>
                  <w:tcW w:w="1095" w:type="pct"/>
                  <w:vAlign w:val="center"/>
                </w:tcPr>
                <w:p w14:paraId="784F06E3">
                  <w:pPr>
                    <w:pStyle w:val="31"/>
                  </w:pPr>
                  <w:r>
                    <w:rPr>
                      <w:rFonts w:hint="eastAsia"/>
                    </w:rPr>
                    <w:t>10</w:t>
                  </w:r>
                </w:p>
              </w:tc>
            </w:tr>
            <w:tr w14:paraId="03E8D3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3B44535A">
                  <w:pPr>
                    <w:pStyle w:val="31"/>
                  </w:pPr>
                  <w:r>
                    <w:rPr>
                      <w:rFonts w:hint="eastAsia"/>
                    </w:rPr>
                    <w:t>6</w:t>
                  </w:r>
                </w:p>
              </w:tc>
              <w:tc>
                <w:tcPr>
                  <w:tcW w:w="3351" w:type="pct"/>
                  <w:vAlign w:val="center"/>
                </w:tcPr>
                <w:p w14:paraId="473E75AB">
                  <w:pPr>
                    <w:pStyle w:val="31"/>
                  </w:pPr>
                  <w:r>
                    <w:rPr>
                      <w:rFonts w:hint="eastAsia"/>
                    </w:rPr>
                    <w:t>氨氮/（mg/L） ≤</w:t>
                  </w:r>
                </w:p>
              </w:tc>
              <w:tc>
                <w:tcPr>
                  <w:tcW w:w="1095" w:type="pct"/>
                  <w:vAlign w:val="center"/>
                </w:tcPr>
                <w:p w14:paraId="4234F005">
                  <w:pPr>
                    <w:pStyle w:val="31"/>
                  </w:pPr>
                  <w:r>
                    <w:rPr>
                      <w:rFonts w:hint="eastAsia"/>
                    </w:rPr>
                    <w:t>8</w:t>
                  </w:r>
                </w:p>
              </w:tc>
            </w:tr>
            <w:tr w14:paraId="4F96C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1616D1FD">
                  <w:pPr>
                    <w:pStyle w:val="31"/>
                  </w:pPr>
                  <w:r>
                    <w:rPr>
                      <w:rFonts w:hint="eastAsia"/>
                    </w:rPr>
                    <w:t>7</w:t>
                  </w:r>
                </w:p>
              </w:tc>
              <w:tc>
                <w:tcPr>
                  <w:tcW w:w="3351" w:type="pct"/>
                  <w:vAlign w:val="center"/>
                </w:tcPr>
                <w:p w14:paraId="048294CE">
                  <w:pPr>
                    <w:pStyle w:val="31"/>
                  </w:pPr>
                  <w:r>
                    <w:rPr>
                      <w:rFonts w:hint="eastAsia"/>
                    </w:rPr>
                    <w:t>阴离子表面活性剂 ≤</w:t>
                  </w:r>
                </w:p>
              </w:tc>
              <w:tc>
                <w:tcPr>
                  <w:tcW w:w="1095" w:type="pct"/>
                  <w:vAlign w:val="center"/>
                </w:tcPr>
                <w:p w14:paraId="209357AA">
                  <w:pPr>
                    <w:pStyle w:val="31"/>
                  </w:pPr>
                  <w:r>
                    <w:rPr>
                      <w:rFonts w:hint="eastAsia"/>
                    </w:rPr>
                    <w:t>0.5</w:t>
                  </w:r>
                </w:p>
              </w:tc>
            </w:tr>
            <w:tr w14:paraId="4AB65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66DFD3B7">
                  <w:pPr>
                    <w:pStyle w:val="31"/>
                  </w:pPr>
                  <w:r>
                    <w:rPr>
                      <w:rFonts w:hint="eastAsia"/>
                    </w:rPr>
                    <w:t>8</w:t>
                  </w:r>
                </w:p>
              </w:tc>
              <w:tc>
                <w:tcPr>
                  <w:tcW w:w="3351" w:type="pct"/>
                  <w:vAlign w:val="center"/>
                </w:tcPr>
                <w:p w14:paraId="33CA0ED0">
                  <w:pPr>
                    <w:pStyle w:val="31"/>
                  </w:pPr>
                  <w:r>
                    <w:rPr>
                      <w:rFonts w:hint="eastAsia"/>
                    </w:rPr>
                    <w:t>铁/（mg/L） ≤</w:t>
                  </w:r>
                </w:p>
              </w:tc>
              <w:tc>
                <w:tcPr>
                  <w:tcW w:w="1095" w:type="pct"/>
                  <w:vAlign w:val="center"/>
                </w:tcPr>
                <w:p w14:paraId="69A71AA6">
                  <w:pPr>
                    <w:pStyle w:val="31"/>
                  </w:pPr>
                  <w:r>
                    <w:rPr>
                      <w:rFonts w:hint="eastAsia"/>
                    </w:rPr>
                    <w:t>/</w:t>
                  </w:r>
                </w:p>
              </w:tc>
            </w:tr>
            <w:tr w14:paraId="58335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4F5CF8D6">
                  <w:pPr>
                    <w:pStyle w:val="31"/>
                  </w:pPr>
                  <w:r>
                    <w:rPr>
                      <w:rFonts w:hint="eastAsia"/>
                    </w:rPr>
                    <w:t>9</w:t>
                  </w:r>
                </w:p>
              </w:tc>
              <w:tc>
                <w:tcPr>
                  <w:tcW w:w="3351" w:type="pct"/>
                  <w:vAlign w:val="center"/>
                </w:tcPr>
                <w:p w14:paraId="3CC31A96">
                  <w:pPr>
                    <w:pStyle w:val="31"/>
                  </w:pPr>
                  <w:r>
                    <w:rPr>
                      <w:rFonts w:hint="eastAsia"/>
                    </w:rPr>
                    <w:t>锰/（mg/L） ≤</w:t>
                  </w:r>
                </w:p>
              </w:tc>
              <w:tc>
                <w:tcPr>
                  <w:tcW w:w="1095" w:type="pct"/>
                  <w:vAlign w:val="center"/>
                </w:tcPr>
                <w:p w14:paraId="23DFB51A">
                  <w:pPr>
                    <w:pStyle w:val="31"/>
                  </w:pPr>
                  <w:r>
                    <w:rPr>
                      <w:rFonts w:hint="eastAsia"/>
                    </w:rPr>
                    <w:t>/</w:t>
                  </w:r>
                </w:p>
              </w:tc>
            </w:tr>
            <w:tr w14:paraId="4012E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451BE3C2">
                  <w:pPr>
                    <w:pStyle w:val="31"/>
                  </w:pPr>
                  <w:r>
                    <w:rPr>
                      <w:rFonts w:hint="eastAsia"/>
                    </w:rPr>
                    <w:t>10</w:t>
                  </w:r>
                </w:p>
              </w:tc>
              <w:tc>
                <w:tcPr>
                  <w:tcW w:w="3351" w:type="pct"/>
                  <w:vAlign w:val="center"/>
                </w:tcPr>
                <w:p w14:paraId="59FD749F">
                  <w:pPr>
                    <w:pStyle w:val="31"/>
                  </w:pPr>
                  <w:r>
                    <w:rPr>
                      <w:rFonts w:hint="eastAsia"/>
                    </w:rPr>
                    <w:t>溶解性固体/（mg/L） ≤</w:t>
                  </w:r>
                </w:p>
              </w:tc>
              <w:tc>
                <w:tcPr>
                  <w:tcW w:w="1095" w:type="pct"/>
                  <w:vAlign w:val="center"/>
                </w:tcPr>
                <w:p w14:paraId="6B6FEE39">
                  <w:pPr>
                    <w:pStyle w:val="31"/>
                  </w:pPr>
                  <w:r>
                    <w:rPr>
                      <w:rFonts w:hint="eastAsia"/>
                    </w:rPr>
                    <w:t>1000</w:t>
                  </w:r>
                </w:p>
              </w:tc>
            </w:tr>
            <w:tr w14:paraId="0B11EE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2F56D306">
                  <w:pPr>
                    <w:pStyle w:val="31"/>
                  </w:pPr>
                  <w:r>
                    <w:rPr>
                      <w:rFonts w:hint="eastAsia"/>
                    </w:rPr>
                    <w:t>11</w:t>
                  </w:r>
                </w:p>
              </w:tc>
              <w:tc>
                <w:tcPr>
                  <w:tcW w:w="3351" w:type="pct"/>
                  <w:vAlign w:val="center"/>
                </w:tcPr>
                <w:p w14:paraId="30EA5111">
                  <w:pPr>
                    <w:pStyle w:val="31"/>
                  </w:pPr>
                  <w:r>
                    <w:rPr>
                      <w:rFonts w:hint="eastAsia"/>
                    </w:rPr>
                    <w:t>溶解氧/（mg/L） ≥</w:t>
                  </w:r>
                </w:p>
              </w:tc>
              <w:tc>
                <w:tcPr>
                  <w:tcW w:w="1095" w:type="pct"/>
                  <w:vAlign w:val="center"/>
                </w:tcPr>
                <w:p w14:paraId="2834C262">
                  <w:pPr>
                    <w:pStyle w:val="31"/>
                  </w:pPr>
                  <w:r>
                    <w:rPr>
                      <w:rFonts w:hint="eastAsia"/>
                    </w:rPr>
                    <w:t>2.0</w:t>
                  </w:r>
                </w:p>
              </w:tc>
            </w:tr>
            <w:tr w14:paraId="09443A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4A045B49">
                  <w:pPr>
                    <w:pStyle w:val="31"/>
                  </w:pPr>
                  <w:r>
                    <w:rPr>
                      <w:rFonts w:hint="eastAsia"/>
                    </w:rPr>
                    <w:t>12</w:t>
                  </w:r>
                </w:p>
              </w:tc>
              <w:tc>
                <w:tcPr>
                  <w:tcW w:w="3351" w:type="pct"/>
                  <w:vAlign w:val="center"/>
                </w:tcPr>
                <w:p w14:paraId="242EEDAB">
                  <w:pPr>
                    <w:pStyle w:val="31"/>
                  </w:pPr>
                  <w:r>
                    <w:rPr>
                      <w:rFonts w:hint="eastAsia"/>
                    </w:rPr>
                    <w:t>总氯/（mg/L） ≥</w:t>
                  </w:r>
                </w:p>
              </w:tc>
              <w:tc>
                <w:tcPr>
                  <w:tcW w:w="1095" w:type="pct"/>
                  <w:vAlign w:val="center"/>
                </w:tcPr>
                <w:p w14:paraId="37606D0C">
                  <w:pPr>
                    <w:pStyle w:val="31"/>
                  </w:pPr>
                  <w:r>
                    <w:rPr>
                      <w:rFonts w:hint="eastAsia"/>
                    </w:rPr>
                    <w:t>2.5</w:t>
                  </w:r>
                </w:p>
              </w:tc>
            </w:tr>
            <w:tr w14:paraId="4CC46C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54" w:type="pct"/>
                  <w:vAlign w:val="center"/>
                </w:tcPr>
                <w:p w14:paraId="19844159">
                  <w:pPr>
                    <w:pStyle w:val="31"/>
                  </w:pPr>
                  <w:r>
                    <w:rPr>
                      <w:rFonts w:hint="eastAsia"/>
                    </w:rPr>
                    <w:t>13</w:t>
                  </w:r>
                </w:p>
              </w:tc>
              <w:tc>
                <w:tcPr>
                  <w:tcW w:w="3351" w:type="pct"/>
                  <w:vAlign w:val="center"/>
                </w:tcPr>
                <w:p w14:paraId="01CBC3CF">
                  <w:pPr>
                    <w:pStyle w:val="31"/>
                  </w:pPr>
                  <w:r>
                    <w:rPr>
                      <w:rFonts w:hint="eastAsia"/>
                    </w:rPr>
                    <w:t>大肠埃希氏菌/（MPN/100mL或CFU/100mL）</w:t>
                  </w:r>
                </w:p>
              </w:tc>
              <w:tc>
                <w:tcPr>
                  <w:tcW w:w="1095" w:type="pct"/>
                  <w:vAlign w:val="center"/>
                </w:tcPr>
                <w:p w14:paraId="012392D3">
                  <w:pPr>
                    <w:pStyle w:val="31"/>
                  </w:pPr>
                  <w:r>
                    <w:rPr>
                      <w:rFonts w:hint="eastAsia"/>
                    </w:rPr>
                    <w:t>无</w:t>
                  </w:r>
                </w:p>
              </w:tc>
            </w:tr>
          </w:tbl>
          <w:p w14:paraId="26738B1D">
            <w:pPr>
              <w:ind w:firstLine="482"/>
              <w:rPr>
                <w:b/>
                <w:bCs/>
              </w:rPr>
            </w:pPr>
            <w:r>
              <w:rPr>
                <w:b/>
                <w:bCs/>
              </w:rPr>
              <w:t>3、噪声排放标准</w:t>
            </w:r>
          </w:p>
          <w:p w14:paraId="39AC9953">
            <w:pPr>
              <w:ind w:firstLine="480"/>
            </w:pPr>
            <w:r>
              <w:rPr>
                <w:rFonts w:hint="eastAsia"/>
                <w:kern w:val="0"/>
                <w:szCs w:val="20"/>
              </w:rPr>
              <w:t>施工期</w:t>
            </w:r>
            <w:r>
              <w:rPr>
                <w:kern w:val="0"/>
                <w:szCs w:val="20"/>
              </w:rPr>
              <w:t>执行《建筑施工场界环境噪声排放标准》(GB12523-2011)表1中的噪声标准排放；</w:t>
            </w:r>
            <w:r>
              <w:rPr>
                <w:rFonts w:hint="eastAsia"/>
                <w:kern w:val="0"/>
                <w:szCs w:val="20"/>
              </w:rPr>
              <w:t>运营期</w:t>
            </w:r>
            <w:r>
              <w:t>执行《工业企业厂界环境噪声排放标准》(GB12348-2008)中</w:t>
            </w:r>
            <w:r>
              <w:rPr>
                <w:rFonts w:hint="eastAsia"/>
              </w:rPr>
              <w:t>3类</w:t>
            </w:r>
            <w:r>
              <w:t>标准；</w:t>
            </w:r>
            <w:r>
              <w:rPr>
                <w:kern w:val="0"/>
              </w:rPr>
              <w:t>标准限值见表</w:t>
            </w:r>
            <w:r>
              <w:rPr>
                <w:rFonts w:hint="eastAsia"/>
                <w:kern w:val="0"/>
              </w:rPr>
              <w:t>3-9</w:t>
            </w:r>
            <w:r>
              <w:rPr>
                <w:kern w:val="0"/>
              </w:rPr>
              <w:t>表</w:t>
            </w:r>
            <w:r>
              <w:rPr>
                <w:rFonts w:hint="eastAsia"/>
                <w:kern w:val="0"/>
              </w:rPr>
              <w:t>3-10。</w:t>
            </w:r>
          </w:p>
          <w:p w14:paraId="2D82CB10">
            <w:pPr>
              <w:pStyle w:val="48"/>
            </w:pPr>
            <w:r>
              <w:t>建筑施工场界噪声排放标准</w:t>
            </w:r>
            <w:r>
              <w:rPr>
                <w:rFonts w:hint="eastAsia"/>
              </w:rPr>
              <w:t xml:space="preserve">  </w:t>
            </w:r>
            <w:r>
              <w:t>单位：Leq[dB(A)]</w:t>
            </w:r>
          </w:p>
          <w:tbl>
            <w:tblPr>
              <w:tblStyle w:val="22"/>
              <w:tblW w:w="7551"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3722"/>
              <w:gridCol w:w="3829"/>
            </w:tblGrid>
            <w:tr w14:paraId="3E00B0A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6" w:hRule="atLeast"/>
                <w:jc w:val="center"/>
              </w:trPr>
              <w:tc>
                <w:tcPr>
                  <w:tcW w:w="3722" w:type="dxa"/>
                  <w:vAlign w:val="center"/>
                </w:tcPr>
                <w:p w14:paraId="0DB4EA59">
                  <w:pPr>
                    <w:pStyle w:val="31"/>
                    <w:rPr>
                      <w:b/>
                      <w:bCs/>
                    </w:rPr>
                  </w:pPr>
                  <w:r>
                    <w:rPr>
                      <w:b/>
                      <w:bCs/>
                    </w:rPr>
                    <w:t>昼间</w:t>
                  </w:r>
                </w:p>
              </w:tc>
              <w:tc>
                <w:tcPr>
                  <w:tcW w:w="3829" w:type="dxa"/>
                  <w:vAlign w:val="center"/>
                </w:tcPr>
                <w:p w14:paraId="708F2162">
                  <w:pPr>
                    <w:pStyle w:val="31"/>
                    <w:rPr>
                      <w:b/>
                      <w:bCs/>
                    </w:rPr>
                  </w:pPr>
                  <w:r>
                    <w:rPr>
                      <w:b/>
                      <w:bCs/>
                    </w:rPr>
                    <w:t>夜间</w:t>
                  </w:r>
                </w:p>
              </w:tc>
            </w:tr>
            <w:tr w14:paraId="2DBC59B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3722" w:type="dxa"/>
                  <w:vAlign w:val="center"/>
                </w:tcPr>
                <w:p w14:paraId="3B84C610">
                  <w:pPr>
                    <w:pStyle w:val="31"/>
                  </w:pPr>
                  <w:r>
                    <w:t>70</w:t>
                  </w:r>
                </w:p>
              </w:tc>
              <w:tc>
                <w:tcPr>
                  <w:tcW w:w="3829" w:type="dxa"/>
                  <w:vAlign w:val="center"/>
                </w:tcPr>
                <w:p w14:paraId="6FAF28C7">
                  <w:pPr>
                    <w:pStyle w:val="31"/>
                  </w:pPr>
                  <w:r>
                    <w:t>55</w:t>
                  </w:r>
                </w:p>
              </w:tc>
            </w:tr>
          </w:tbl>
          <w:p w14:paraId="2DCBCD2E">
            <w:pPr>
              <w:pStyle w:val="48"/>
            </w:pPr>
            <w:r>
              <w:t>工业企业厂界环境噪声排放标准</w:t>
            </w:r>
            <w:r>
              <w:rPr>
                <w:rFonts w:hint="eastAsia"/>
              </w:rPr>
              <w:t xml:space="preserve">  </w:t>
            </w:r>
            <w:r>
              <w:t>等效声级LAeq：dB(A)</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78"/>
              <w:gridCol w:w="1803"/>
              <w:gridCol w:w="1803"/>
            </w:tblGrid>
            <w:tr w14:paraId="7B281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4" w:type="pct"/>
                </w:tcPr>
                <w:p w14:paraId="7E8B1A8D">
                  <w:pPr>
                    <w:pStyle w:val="31"/>
                    <w:rPr>
                      <w:b/>
                      <w:bCs/>
                    </w:rPr>
                  </w:pPr>
                  <w:r>
                    <w:rPr>
                      <w:rFonts w:hint="eastAsia"/>
                      <w:b/>
                      <w:bCs/>
                    </w:rPr>
                    <w:t>声功能区类别</w:t>
                  </w:r>
                </w:p>
              </w:tc>
              <w:tc>
                <w:tcPr>
                  <w:tcW w:w="1158" w:type="pct"/>
                </w:tcPr>
                <w:p w14:paraId="39867FF2">
                  <w:pPr>
                    <w:pStyle w:val="31"/>
                    <w:rPr>
                      <w:b/>
                      <w:bCs/>
                    </w:rPr>
                  </w:pPr>
                  <w:r>
                    <w:rPr>
                      <w:b/>
                      <w:bCs/>
                    </w:rPr>
                    <w:t>昼间</w:t>
                  </w:r>
                </w:p>
              </w:tc>
              <w:tc>
                <w:tcPr>
                  <w:tcW w:w="1158" w:type="pct"/>
                </w:tcPr>
                <w:p w14:paraId="77E72FF7">
                  <w:pPr>
                    <w:pStyle w:val="31"/>
                    <w:rPr>
                      <w:b/>
                      <w:bCs/>
                    </w:rPr>
                  </w:pPr>
                  <w:r>
                    <w:rPr>
                      <w:b/>
                      <w:bCs/>
                    </w:rPr>
                    <w:t>夜间</w:t>
                  </w:r>
                </w:p>
              </w:tc>
            </w:tr>
            <w:tr w14:paraId="51932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84" w:type="pct"/>
                </w:tcPr>
                <w:p w14:paraId="4C973A0D">
                  <w:pPr>
                    <w:pStyle w:val="31"/>
                  </w:pPr>
                  <w:r>
                    <w:t>3</w:t>
                  </w:r>
                  <w:r>
                    <w:rPr>
                      <w:rFonts w:hint="eastAsia"/>
                    </w:rPr>
                    <w:t>类</w:t>
                  </w:r>
                </w:p>
              </w:tc>
              <w:tc>
                <w:tcPr>
                  <w:tcW w:w="1158" w:type="pct"/>
                </w:tcPr>
                <w:p w14:paraId="609AD9C4">
                  <w:pPr>
                    <w:pStyle w:val="31"/>
                  </w:pPr>
                  <w:r>
                    <w:t>65</w:t>
                  </w:r>
                </w:p>
              </w:tc>
              <w:tc>
                <w:tcPr>
                  <w:tcW w:w="1158" w:type="pct"/>
                </w:tcPr>
                <w:p w14:paraId="2FA11443">
                  <w:pPr>
                    <w:pStyle w:val="31"/>
                  </w:pPr>
                  <w:r>
                    <w:rPr>
                      <w:rFonts w:hint="eastAsia"/>
                    </w:rPr>
                    <w:t>5</w:t>
                  </w:r>
                  <w:r>
                    <w:t>5</w:t>
                  </w:r>
                </w:p>
              </w:tc>
            </w:tr>
          </w:tbl>
          <w:p w14:paraId="14B00770">
            <w:pPr>
              <w:ind w:firstLine="482"/>
              <w:rPr>
                <w:b/>
                <w:bCs/>
              </w:rPr>
            </w:pPr>
            <w:r>
              <w:rPr>
                <w:b/>
                <w:bCs/>
              </w:rPr>
              <w:t>4、固体废物</w:t>
            </w:r>
          </w:p>
          <w:p w14:paraId="401A1AA5">
            <w:pPr>
              <w:ind w:firstLine="480"/>
            </w:pPr>
            <w:r>
              <w:rPr>
                <w:rFonts w:hint="eastAsia"/>
              </w:rPr>
              <w:t>一般工业固体废物：执行《一般工业固体废物贮存、处置场污染控制标准》（GB18599-2020）；危险废物执行《危险废物贮存污染控制标准》（GB18597-20</w:t>
            </w:r>
            <w:r>
              <w:t>23</w:t>
            </w:r>
            <w:r>
              <w:rPr>
                <w:rFonts w:hint="eastAsia"/>
              </w:rPr>
              <w:t>）。</w:t>
            </w:r>
          </w:p>
        </w:tc>
      </w:tr>
      <w:tr w14:paraId="211A7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0B67BA6D">
            <w:pPr>
              <w:ind w:firstLine="0" w:firstLineChars="0"/>
              <w:jc w:val="center"/>
              <w:rPr>
                <w:b/>
                <w:bCs/>
              </w:rPr>
            </w:pPr>
            <w:r>
              <w:rPr>
                <w:rFonts w:hint="eastAsia"/>
                <w:b/>
                <w:bCs/>
              </w:rPr>
              <w:t>总量控制指标</w:t>
            </w:r>
          </w:p>
        </w:tc>
        <w:tc>
          <w:tcPr>
            <w:tcW w:w="7840" w:type="dxa"/>
          </w:tcPr>
          <w:p w14:paraId="2567A424">
            <w:pPr>
              <w:ind w:firstLine="480"/>
              <w:rPr>
                <w:kern w:val="0"/>
              </w:rPr>
            </w:pPr>
            <w:r>
              <w:rPr>
                <w:rFonts w:hint="eastAsia"/>
                <w:kern w:val="0"/>
              </w:rPr>
              <w:t>根据本项目污染物排放特点，本评价确定的污染物排放总量控制因子为：</w:t>
            </w:r>
          </w:p>
          <w:p w14:paraId="1410C9EE">
            <w:pPr>
              <w:ind w:firstLine="480"/>
              <w:rPr>
                <w:kern w:val="0"/>
              </w:rPr>
            </w:pPr>
            <w:r>
              <w:rPr>
                <w:rFonts w:hint="eastAsia"/>
                <w:kern w:val="0"/>
              </w:rPr>
              <w:t>废水污染物指标：</w:t>
            </w:r>
            <w:r>
              <w:rPr>
                <w:kern w:val="0"/>
              </w:rPr>
              <w:t>COD</w:t>
            </w:r>
            <w:r>
              <w:rPr>
                <w:rFonts w:hint="eastAsia"/>
                <w:kern w:val="0"/>
              </w:rPr>
              <w:t>、</w:t>
            </w:r>
            <w:r>
              <w:rPr>
                <w:kern w:val="0"/>
              </w:rPr>
              <w:t>NH</w:t>
            </w:r>
            <w:r>
              <w:rPr>
                <w:kern w:val="0"/>
                <w:vertAlign w:val="subscript"/>
              </w:rPr>
              <w:t>3</w:t>
            </w:r>
            <w:r>
              <w:rPr>
                <w:kern w:val="0"/>
              </w:rPr>
              <w:t>-N</w:t>
            </w:r>
            <w:r>
              <w:rPr>
                <w:rFonts w:hint="eastAsia"/>
                <w:kern w:val="0"/>
              </w:rPr>
              <w:t>；</w:t>
            </w:r>
          </w:p>
          <w:p w14:paraId="631F628F">
            <w:pPr>
              <w:ind w:firstLine="480"/>
              <w:rPr>
                <w:kern w:val="0"/>
              </w:rPr>
            </w:pPr>
            <w:r>
              <w:rPr>
                <w:rFonts w:hint="eastAsia"/>
                <w:kern w:val="0"/>
              </w:rPr>
              <w:t>废气污染物：颗粒物、氮氧化物、二氧化硫</w:t>
            </w:r>
          </w:p>
          <w:p w14:paraId="46150382">
            <w:pPr>
              <w:ind w:firstLine="480"/>
              <w:rPr>
                <w:kern w:val="0"/>
              </w:rPr>
            </w:pPr>
            <w:r>
              <w:rPr>
                <w:rFonts w:hint="eastAsia"/>
                <w:kern w:val="0"/>
              </w:rPr>
              <w:t>根据工程分析，本环评建议的污染物排放总量控制指标如下：</w:t>
            </w:r>
          </w:p>
          <w:p w14:paraId="2F3459DC">
            <w:pPr>
              <w:ind w:firstLine="482"/>
              <w:rPr>
                <w:b/>
                <w:bCs/>
                <w:kern w:val="0"/>
              </w:rPr>
            </w:pPr>
            <w:r>
              <w:rPr>
                <w:b/>
                <w:bCs/>
                <w:kern w:val="0"/>
              </w:rPr>
              <w:t>1</w:t>
            </w:r>
            <w:r>
              <w:rPr>
                <w:rFonts w:hint="eastAsia"/>
                <w:b/>
                <w:bCs/>
                <w:kern w:val="0"/>
              </w:rPr>
              <w:t>、废水总量控制指标</w:t>
            </w:r>
          </w:p>
          <w:p w14:paraId="06681947">
            <w:pPr>
              <w:ind w:firstLine="480"/>
            </w:pPr>
            <w:r>
              <w:rPr>
                <w:rFonts w:hint="eastAsia"/>
              </w:rPr>
              <w:t>厂区进入大英经济开发区污水处理厂的量：</w:t>
            </w:r>
          </w:p>
          <w:p w14:paraId="629E6FCA">
            <w:pPr>
              <w:ind w:firstLine="480"/>
            </w:pPr>
            <w:r>
              <w:t>COD</w:t>
            </w:r>
            <w:r>
              <w:rPr>
                <w:rFonts w:hint="eastAsia"/>
              </w:rPr>
              <w:t>：91257.17</w:t>
            </w:r>
            <w:r>
              <w:t>m</w:t>
            </w:r>
            <w:r>
              <w:rPr>
                <w:vertAlign w:val="superscript"/>
              </w:rPr>
              <w:t>3</w:t>
            </w:r>
            <w:r>
              <w:t>/a×500mg/L×10</w:t>
            </w:r>
            <w:r>
              <w:rPr>
                <w:vertAlign w:val="superscript"/>
              </w:rPr>
              <w:t>-6</w:t>
            </w:r>
            <w:r>
              <w:t>=</w:t>
            </w:r>
            <w:r>
              <w:rPr>
                <w:rFonts w:hint="eastAsia"/>
              </w:rPr>
              <w:t>45.63（</w:t>
            </w:r>
            <w:r>
              <w:t>t/a</w:t>
            </w:r>
            <w:r>
              <w:rPr>
                <w:rFonts w:hint="eastAsia"/>
              </w:rPr>
              <w:t>）</w:t>
            </w:r>
          </w:p>
          <w:p w14:paraId="73337EA8">
            <w:pPr>
              <w:ind w:firstLine="480"/>
            </w:pPr>
            <w:r>
              <w:t>NH</w:t>
            </w:r>
            <w:r>
              <w:rPr>
                <w:vertAlign w:val="subscript"/>
              </w:rPr>
              <w:t>3</w:t>
            </w:r>
            <w:r>
              <w:t>-N</w:t>
            </w:r>
            <w:r>
              <w:rPr>
                <w:rFonts w:hint="eastAsia"/>
              </w:rPr>
              <w:t>：91257.17</w:t>
            </w:r>
            <w:r>
              <w:t>m</w:t>
            </w:r>
            <w:r>
              <w:rPr>
                <w:vertAlign w:val="superscript"/>
              </w:rPr>
              <w:t>3</w:t>
            </w:r>
            <w:r>
              <w:t>/a×45mg/L×10</w:t>
            </w:r>
            <w:r>
              <w:rPr>
                <w:vertAlign w:val="superscript"/>
              </w:rPr>
              <w:t>-6</w:t>
            </w:r>
            <w:r>
              <w:t>=</w:t>
            </w:r>
            <w:r>
              <w:rPr>
                <w:rFonts w:hint="eastAsia"/>
              </w:rPr>
              <w:t>4.11（</w:t>
            </w:r>
            <w:r>
              <w:t>t/a</w:t>
            </w:r>
            <w:r>
              <w:rPr>
                <w:rFonts w:hint="eastAsia"/>
              </w:rPr>
              <w:t>）</w:t>
            </w:r>
          </w:p>
          <w:p w14:paraId="198EF0EA">
            <w:pPr>
              <w:ind w:firstLine="480"/>
            </w:pPr>
            <w:r>
              <w:rPr>
                <w:rFonts w:hint="eastAsia"/>
              </w:rPr>
              <w:t>大英经济开发区污水处理厂进入郪江的量：</w:t>
            </w:r>
          </w:p>
          <w:p w14:paraId="1BBCFA7B">
            <w:pPr>
              <w:ind w:firstLine="480"/>
            </w:pPr>
            <w:r>
              <w:t>COD</w:t>
            </w:r>
            <w:r>
              <w:rPr>
                <w:rFonts w:hint="eastAsia"/>
              </w:rPr>
              <w:t>：91257.17</w:t>
            </w:r>
            <w:r>
              <w:t>m</w:t>
            </w:r>
            <w:r>
              <w:rPr>
                <w:vertAlign w:val="superscript"/>
              </w:rPr>
              <w:t>3</w:t>
            </w:r>
            <w:r>
              <w:t>/a×</w:t>
            </w:r>
            <w:r>
              <w:rPr>
                <w:rFonts w:hint="eastAsia"/>
              </w:rPr>
              <w:t>4</w:t>
            </w:r>
            <w:r>
              <w:t>0mg/L×10</w:t>
            </w:r>
            <w:r>
              <w:rPr>
                <w:vertAlign w:val="superscript"/>
              </w:rPr>
              <w:t>-6</w:t>
            </w:r>
            <w:r>
              <w:t>=</w:t>
            </w:r>
            <w:r>
              <w:rPr>
                <w:rFonts w:hint="eastAsia"/>
              </w:rPr>
              <w:t>3.65（</w:t>
            </w:r>
            <w:r>
              <w:t>t/a</w:t>
            </w:r>
            <w:r>
              <w:rPr>
                <w:rFonts w:hint="eastAsia"/>
              </w:rPr>
              <w:t>）</w:t>
            </w:r>
          </w:p>
          <w:p w14:paraId="3BE20060">
            <w:pPr>
              <w:ind w:firstLine="480"/>
            </w:pPr>
            <w:r>
              <w:t>NH</w:t>
            </w:r>
            <w:r>
              <w:rPr>
                <w:vertAlign w:val="subscript"/>
              </w:rPr>
              <w:t>3</w:t>
            </w:r>
            <w:r>
              <w:t>-N</w:t>
            </w:r>
            <w:r>
              <w:rPr>
                <w:rFonts w:hint="eastAsia"/>
              </w:rPr>
              <w:t>：91257.17</w:t>
            </w:r>
            <w:r>
              <w:t>m</w:t>
            </w:r>
            <w:r>
              <w:rPr>
                <w:vertAlign w:val="superscript"/>
              </w:rPr>
              <w:t>3</w:t>
            </w:r>
            <w:r>
              <w:t>/a×</w:t>
            </w:r>
            <w:r>
              <w:rPr>
                <w:rFonts w:hint="eastAsia"/>
              </w:rPr>
              <w:t>5</w:t>
            </w:r>
            <w:r>
              <w:t>mg/L×10</w:t>
            </w:r>
            <w:r>
              <w:rPr>
                <w:vertAlign w:val="superscript"/>
              </w:rPr>
              <w:t>-6</w:t>
            </w:r>
            <w:r>
              <w:t>=</w:t>
            </w:r>
            <w:r>
              <w:rPr>
                <w:rFonts w:hint="eastAsia"/>
              </w:rPr>
              <w:t>0.46（</w:t>
            </w:r>
            <w:r>
              <w:t>t/a</w:t>
            </w:r>
            <w:r>
              <w:rPr>
                <w:rFonts w:hint="eastAsia"/>
              </w:rPr>
              <w:t>）</w:t>
            </w:r>
          </w:p>
          <w:p w14:paraId="6835257C">
            <w:pPr>
              <w:ind w:firstLine="482"/>
              <w:rPr>
                <w:b/>
                <w:bCs/>
              </w:rPr>
            </w:pPr>
            <w:r>
              <w:rPr>
                <w:rFonts w:hint="eastAsia"/>
                <w:b/>
                <w:bCs/>
              </w:rPr>
              <w:t>2、</w:t>
            </w:r>
            <w:bookmarkStart w:id="10" w:name="OLE_LINK1"/>
            <w:r>
              <w:rPr>
                <w:rFonts w:hint="eastAsia"/>
                <w:b/>
                <w:bCs/>
              </w:rPr>
              <w:t>废气总量控制指标</w:t>
            </w:r>
            <w:bookmarkEnd w:id="10"/>
          </w:p>
          <w:p w14:paraId="59EBF23E">
            <w:pPr>
              <w:pStyle w:val="48"/>
            </w:pPr>
            <w:r>
              <w:rPr>
                <w:rFonts w:hint="eastAsia"/>
              </w:rPr>
              <w:t>废气总量控制指标一览表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01"/>
              <w:gridCol w:w="5183"/>
            </w:tblGrid>
            <w:tr w14:paraId="32D3B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71" w:type="pct"/>
                </w:tcPr>
                <w:p w14:paraId="4BB91974">
                  <w:pPr>
                    <w:pStyle w:val="31"/>
                    <w:rPr>
                      <w:b/>
                      <w:bCs/>
                    </w:rPr>
                  </w:pPr>
                  <w:r>
                    <w:rPr>
                      <w:rFonts w:hint="eastAsia"/>
                      <w:b/>
                      <w:bCs/>
                    </w:rPr>
                    <w:t>类别</w:t>
                  </w:r>
                </w:p>
              </w:tc>
              <w:tc>
                <w:tcPr>
                  <w:tcW w:w="3329" w:type="pct"/>
                </w:tcPr>
                <w:p w14:paraId="17124452">
                  <w:pPr>
                    <w:pStyle w:val="31"/>
                    <w:rPr>
                      <w:b/>
                      <w:bCs/>
                    </w:rPr>
                  </w:pPr>
                  <w:r>
                    <w:rPr>
                      <w:rFonts w:hint="eastAsia"/>
                      <w:b/>
                      <w:bCs/>
                    </w:rPr>
                    <w:t>排放量（t/a）</w:t>
                  </w:r>
                </w:p>
              </w:tc>
            </w:tr>
            <w:tr w14:paraId="198F3B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71" w:type="pct"/>
                  <w:vAlign w:val="center"/>
                </w:tcPr>
                <w:p w14:paraId="7EC8896C">
                  <w:pPr>
                    <w:pStyle w:val="31"/>
                  </w:pPr>
                  <w:r>
                    <w:rPr>
                      <w:rFonts w:hint="eastAsia"/>
                    </w:rPr>
                    <w:t>氮氧化物</w:t>
                  </w:r>
                </w:p>
              </w:tc>
              <w:tc>
                <w:tcPr>
                  <w:tcW w:w="3329" w:type="pct"/>
                </w:tcPr>
                <w:p w14:paraId="6E4CF63C">
                  <w:pPr>
                    <w:pStyle w:val="31"/>
                  </w:pPr>
                  <w:r>
                    <w:rPr>
                      <w:rFonts w:hint="eastAsia"/>
                    </w:rPr>
                    <w:t>35.87</w:t>
                  </w:r>
                </w:p>
              </w:tc>
            </w:tr>
            <w:tr w14:paraId="7A27D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71" w:type="pct"/>
                </w:tcPr>
                <w:p w14:paraId="26E3F622">
                  <w:pPr>
                    <w:pStyle w:val="31"/>
                  </w:pPr>
                  <w:r>
                    <w:rPr>
                      <w:rFonts w:hint="eastAsia"/>
                    </w:rPr>
                    <w:t>颗粒物</w:t>
                  </w:r>
                </w:p>
              </w:tc>
              <w:tc>
                <w:tcPr>
                  <w:tcW w:w="3329" w:type="pct"/>
                </w:tcPr>
                <w:p w14:paraId="1266506B">
                  <w:pPr>
                    <w:pStyle w:val="31"/>
                  </w:pPr>
                  <w:r>
                    <w:rPr>
                      <w:rFonts w:hint="eastAsia"/>
                    </w:rPr>
                    <w:t>7.54</w:t>
                  </w:r>
                </w:p>
              </w:tc>
            </w:tr>
            <w:tr w14:paraId="27A04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671" w:type="pct"/>
                </w:tcPr>
                <w:p w14:paraId="16383195">
                  <w:pPr>
                    <w:pStyle w:val="31"/>
                  </w:pPr>
                  <w:r>
                    <w:rPr>
                      <w:rFonts w:hint="eastAsia"/>
                    </w:rPr>
                    <w:t>二氧化硫</w:t>
                  </w:r>
                </w:p>
              </w:tc>
              <w:tc>
                <w:tcPr>
                  <w:tcW w:w="3329" w:type="pct"/>
                </w:tcPr>
                <w:p w14:paraId="04D2D775">
                  <w:pPr>
                    <w:pStyle w:val="31"/>
                  </w:pPr>
                  <w:r>
                    <w:rPr>
                      <w:rFonts w:hint="eastAsia"/>
                    </w:rPr>
                    <w:t>0.35</w:t>
                  </w:r>
                </w:p>
              </w:tc>
            </w:tr>
          </w:tbl>
          <w:p w14:paraId="65BFEE04">
            <w:pPr>
              <w:ind w:firstLine="480"/>
              <w:rPr>
                <w:b/>
                <w:bCs/>
              </w:rPr>
            </w:pPr>
            <w:r>
              <w:rPr>
                <w:rFonts w:hint="eastAsia"/>
              </w:rPr>
              <w:t>3、</w:t>
            </w:r>
            <w:r>
              <w:rPr>
                <w:rFonts w:hint="eastAsia"/>
                <w:b/>
                <w:bCs/>
              </w:rPr>
              <w:t>总量控制指标</w:t>
            </w:r>
          </w:p>
          <w:p w14:paraId="0F1B052B">
            <w:pPr>
              <w:pStyle w:val="48"/>
            </w:pPr>
            <w:r>
              <w:rPr>
                <w:rFonts w:hint="eastAsia"/>
              </w:rPr>
              <w:t>本项目总量控制指标一览表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16"/>
              <w:gridCol w:w="2223"/>
              <w:gridCol w:w="1410"/>
              <w:gridCol w:w="3035"/>
            </w:tblGrid>
            <w:tr w14:paraId="41C2E7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7" w:type="pct"/>
                  <w:vAlign w:val="center"/>
                </w:tcPr>
                <w:p w14:paraId="1AA203D0">
                  <w:pPr>
                    <w:pStyle w:val="31"/>
                    <w:rPr>
                      <w:b/>
                      <w:bCs/>
                    </w:rPr>
                  </w:pPr>
                  <w:r>
                    <w:rPr>
                      <w:rFonts w:hint="eastAsia"/>
                      <w:b/>
                      <w:bCs/>
                    </w:rPr>
                    <w:t>项目</w:t>
                  </w:r>
                </w:p>
              </w:tc>
              <w:tc>
                <w:tcPr>
                  <w:tcW w:w="2334" w:type="pct"/>
                  <w:gridSpan w:val="2"/>
                  <w:vAlign w:val="center"/>
                </w:tcPr>
                <w:p w14:paraId="5478F716">
                  <w:pPr>
                    <w:pStyle w:val="31"/>
                    <w:rPr>
                      <w:b/>
                      <w:bCs/>
                    </w:rPr>
                  </w:pPr>
                  <w:r>
                    <w:rPr>
                      <w:rFonts w:hint="eastAsia"/>
                      <w:b/>
                      <w:bCs/>
                    </w:rPr>
                    <w:t>污染物</w:t>
                  </w:r>
                </w:p>
              </w:tc>
              <w:tc>
                <w:tcPr>
                  <w:tcW w:w="1949" w:type="pct"/>
                  <w:vAlign w:val="center"/>
                </w:tcPr>
                <w:p w14:paraId="3FABED7F">
                  <w:pPr>
                    <w:pStyle w:val="31"/>
                    <w:rPr>
                      <w:b/>
                      <w:bCs/>
                    </w:rPr>
                  </w:pPr>
                  <w:r>
                    <w:rPr>
                      <w:rFonts w:hint="eastAsia"/>
                      <w:b/>
                      <w:bCs/>
                    </w:rPr>
                    <w:t>总量控制指标（t/a）</w:t>
                  </w:r>
                </w:p>
              </w:tc>
            </w:tr>
            <w:tr w14:paraId="43EB51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3" w:hRule="atLeast"/>
                <w:jc w:val="center"/>
              </w:trPr>
              <w:tc>
                <w:tcPr>
                  <w:tcW w:w="717" w:type="pct"/>
                  <w:vMerge w:val="restart"/>
                  <w:vAlign w:val="center"/>
                </w:tcPr>
                <w:p w14:paraId="6D2C3CA2">
                  <w:pPr>
                    <w:pStyle w:val="31"/>
                  </w:pPr>
                  <w:r>
                    <w:rPr>
                      <w:rFonts w:hint="eastAsia"/>
                    </w:rPr>
                    <w:t>废水</w:t>
                  </w:r>
                </w:p>
              </w:tc>
              <w:tc>
                <w:tcPr>
                  <w:tcW w:w="1428" w:type="pct"/>
                  <w:vMerge w:val="restart"/>
                  <w:vAlign w:val="center"/>
                </w:tcPr>
                <w:p w14:paraId="551EFA07">
                  <w:pPr>
                    <w:pStyle w:val="31"/>
                  </w:pPr>
                  <w:r>
                    <w:rPr>
                      <w:rFonts w:hint="eastAsia"/>
                    </w:rPr>
                    <w:t>进入污染处理厂前</w:t>
                  </w:r>
                </w:p>
              </w:tc>
              <w:tc>
                <w:tcPr>
                  <w:tcW w:w="906" w:type="pct"/>
                  <w:vAlign w:val="center"/>
                </w:tcPr>
                <w:p w14:paraId="206ABD08">
                  <w:pPr>
                    <w:pStyle w:val="31"/>
                  </w:pPr>
                  <w:r>
                    <w:t>COD</w:t>
                  </w:r>
                </w:p>
              </w:tc>
              <w:tc>
                <w:tcPr>
                  <w:tcW w:w="1949" w:type="pct"/>
                  <w:vAlign w:val="center"/>
                </w:tcPr>
                <w:p w14:paraId="39E29142">
                  <w:pPr>
                    <w:pStyle w:val="31"/>
                  </w:pPr>
                  <w:r>
                    <w:rPr>
                      <w:rFonts w:hint="eastAsia"/>
                    </w:rPr>
                    <w:t>45.63</w:t>
                  </w:r>
                </w:p>
              </w:tc>
            </w:tr>
            <w:tr w14:paraId="02636C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7" w:type="pct"/>
                  <w:vMerge w:val="continue"/>
                  <w:vAlign w:val="center"/>
                </w:tcPr>
                <w:p w14:paraId="3590D216">
                  <w:pPr>
                    <w:pStyle w:val="31"/>
                  </w:pPr>
                </w:p>
              </w:tc>
              <w:tc>
                <w:tcPr>
                  <w:tcW w:w="1428" w:type="pct"/>
                  <w:vMerge w:val="continue"/>
                  <w:vAlign w:val="center"/>
                </w:tcPr>
                <w:p w14:paraId="0FD86D96">
                  <w:pPr>
                    <w:pStyle w:val="31"/>
                  </w:pPr>
                </w:p>
              </w:tc>
              <w:tc>
                <w:tcPr>
                  <w:tcW w:w="906" w:type="pct"/>
                  <w:vAlign w:val="center"/>
                </w:tcPr>
                <w:p w14:paraId="7CF0D3ED">
                  <w:pPr>
                    <w:pStyle w:val="31"/>
                  </w:pPr>
                  <w:r>
                    <w:t>NH</w:t>
                  </w:r>
                  <w:r>
                    <w:rPr>
                      <w:vertAlign w:val="subscript"/>
                    </w:rPr>
                    <w:t>3</w:t>
                  </w:r>
                  <w:r>
                    <w:t>-N</w:t>
                  </w:r>
                </w:p>
              </w:tc>
              <w:tc>
                <w:tcPr>
                  <w:tcW w:w="1949" w:type="pct"/>
                  <w:vAlign w:val="center"/>
                </w:tcPr>
                <w:p w14:paraId="3DFF3365">
                  <w:pPr>
                    <w:pStyle w:val="31"/>
                  </w:pPr>
                  <w:r>
                    <w:rPr>
                      <w:rFonts w:hint="eastAsia"/>
                    </w:rPr>
                    <w:t>4.11</w:t>
                  </w:r>
                </w:p>
              </w:tc>
            </w:tr>
            <w:tr w14:paraId="5B8622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7" w:type="pct"/>
                  <w:vMerge w:val="continue"/>
                  <w:vAlign w:val="center"/>
                </w:tcPr>
                <w:p w14:paraId="3B4FF165">
                  <w:pPr>
                    <w:pStyle w:val="31"/>
                  </w:pPr>
                </w:p>
              </w:tc>
              <w:tc>
                <w:tcPr>
                  <w:tcW w:w="1428" w:type="pct"/>
                  <w:vMerge w:val="restart"/>
                  <w:vAlign w:val="center"/>
                </w:tcPr>
                <w:p w14:paraId="04EC7BE6">
                  <w:pPr>
                    <w:pStyle w:val="31"/>
                  </w:pPr>
                  <w:r>
                    <w:rPr>
                      <w:rFonts w:hint="eastAsia"/>
                    </w:rPr>
                    <w:t>进入污染处理厂后</w:t>
                  </w:r>
                </w:p>
              </w:tc>
              <w:tc>
                <w:tcPr>
                  <w:tcW w:w="906" w:type="pct"/>
                  <w:vAlign w:val="center"/>
                </w:tcPr>
                <w:p w14:paraId="7F59E69D">
                  <w:pPr>
                    <w:pStyle w:val="31"/>
                  </w:pPr>
                  <w:r>
                    <w:t>COD</w:t>
                  </w:r>
                </w:p>
              </w:tc>
              <w:tc>
                <w:tcPr>
                  <w:tcW w:w="1949" w:type="pct"/>
                  <w:vAlign w:val="center"/>
                </w:tcPr>
                <w:p w14:paraId="36F120DA">
                  <w:pPr>
                    <w:pStyle w:val="31"/>
                  </w:pPr>
                  <w:r>
                    <w:rPr>
                      <w:rFonts w:hint="eastAsia"/>
                    </w:rPr>
                    <w:t>3.65</w:t>
                  </w:r>
                </w:p>
              </w:tc>
            </w:tr>
            <w:tr w14:paraId="25AD88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7" w:type="pct"/>
                  <w:vMerge w:val="continue"/>
                  <w:vAlign w:val="center"/>
                </w:tcPr>
                <w:p w14:paraId="43F71F90">
                  <w:pPr>
                    <w:pStyle w:val="31"/>
                  </w:pPr>
                </w:p>
              </w:tc>
              <w:tc>
                <w:tcPr>
                  <w:tcW w:w="1428" w:type="pct"/>
                  <w:vMerge w:val="continue"/>
                  <w:vAlign w:val="center"/>
                </w:tcPr>
                <w:p w14:paraId="7A82B100">
                  <w:pPr>
                    <w:pStyle w:val="31"/>
                  </w:pPr>
                </w:p>
              </w:tc>
              <w:tc>
                <w:tcPr>
                  <w:tcW w:w="906" w:type="pct"/>
                  <w:vAlign w:val="center"/>
                </w:tcPr>
                <w:p w14:paraId="02CD371A">
                  <w:pPr>
                    <w:pStyle w:val="31"/>
                  </w:pPr>
                  <w:r>
                    <w:t>NH</w:t>
                  </w:r>
                  <w:r>
                    <w:rPr>
                      <w:vertAlign w:val="subscript"/>
                    </w:rPr>
                    <w:t>3</w:t>
                  </w:r>
                  <w:r>
                    <w:t>-N</w:t>
                  </w:r>
                </w:p>
              </w:tc>
              <w:tc>
                <w:tcPr>
                  <w:tcW w:w="1949" w:type="pct"/>
                  <w:vAlign w:val="center"/>
                </w:tcPr>
                <w:p w14:paraId="15C79BB7">
                  <w:pPr>
                    <w:pStyle w:val="31"/>
                  </w:pPr>
                  <w:r>
                    <w:rPr>
                      <w:rFonts w:hint="eastAsia"/>
                    </w:rPr>
                    <w:t>0.46</w:t>
                  </w:r>
                </w:p>
              </w:tc>
            </w:tr>
            <w:tr w14:paraId="6C3893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17" w:type="pct"/>
                  <w:vMerge w:val="restart"/>
                  <w:vAlign w:val="center"/>
                </w:tcPr>
                <w:p w14:paraId="0D6C08CE">
                  <w:pPr>
                    <w:pStyle w:val="31"/>
                  </w:pPr>
                  <w:r>
                    <w:rPr>
                      <w:rFonts w:hint="eastAsia"/>
                    </w:rPr>
                    <w:t>废气</w:t>
                  </w:r>
                </w:p>
              </w:tc>
              <w:tc>
                <w:tcPr>
                  <w:tcW w:w="2334" w:type="pct"/>
                  <w:gridSpan w:val="2"/>
                  <w:vAlign w:val="center"/>
                </w:tcPr>
                <w:p w14:paraId="049A8C99">
                  <w:pPr>
                    <w:pStyle w:val="31"/>
                  </w:pPr>
                  <w:r>
                    <w:rPr>
                      <w:rFonts w:hint="eastAsia"/>
                    </w:rPr>
                    <w:t>氮氧化物</w:t>
                  </w:r>
                </w:p>
              </w:tc>
              <w:tc>
                <w:tcPr>
                  <w:tcW w:w="1949" w:type="pct"/>
                </w:tcPr>
                <w:p w14:paraId="3810812E">
                  <w:pPr>
                    <w:pStyle w:val="31"/>
                  </w:pPr>
                  <w:r>
                    <w:rPr>
                      <w:rFonts w:hint="eastAsia"/>
                    </w:rPr>
                    <w:t>35.87</w:t>
                  </w:r>
                </w:p>
              </w:tc>
            </w:tr>
            <w:tr w14:paraId="26C265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717" w:type="pct"/>
                  <w:vMerge w:val="continue"/>
                  <w:vAlign w:val="center"/>
                </w:tcPr>
                <w:p w14:paraId="602A1B8A">
                  <w:pPr>
                    <w:pStyle w:val="31"/>
                  </w:pPr>
                </w:p>
              </w:tc>
              <w:tc>
                <w:tcPr>
                  <w:tcW w:w="2334" w:type="pct"/>
                  <w:gridSpan w:val="2"/>
                  <w:vAlign w:val="center"/>
                </w:tcPr>
                <w:p w14:paraId="4A6F7671">
                  <w:pPr>
                    <w:pStyle w:val="31"/>
                  </w:pPr>
                  <w:r>
                    <w:rPr>
                      <w:rFonts w:hint="eastAsia"/>
                    </w:rPr>
                    <w:t>颗粒物</w:t>
                  </w:r>
                </w:p>
              </w:tc>
              <w:tc>
                <w:tcPr>
                  <w:tcW w:w="1949" w:type="pct"/>
                </w:tcPr>
                <w:p w14:paraId="311FA9D0">
                  <w:pPr>
                    <w:pStyle w:val="31"/>
                  </w:pPr>
                  <w:r>
                    <w:rPr>
                      <w:rFonts w:hint="eastAsia"/>
                    </w:rPr>
                    <w:t>7.54</w:t>
                  </w:r>
                </w:p>
              </w:tc>
            </w:tr>
            <w:tr w14:paraId="3DA11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27" w:hRule="atLeast"/>
                <w:jc w:val="center"/>
              </w:trPr>
              <w:tc>
                <w:tcPr>
                  <w:tcW w:w="717" w:type="pct"/>
                  <w:vMerge w:val="continue"/>
                  <w:vAlign w:val="center"/>
                </w:tcPr>
                <w:p w14:paraId="516C90A3">
                  <w:pPr>
                    <w:pStyle w:val="31"/>
                  </w:pPr>
                </w:p>
              </w:tc>
              <w:tc>
                <w:tcPr>
                  <w:tcW w:w="2334" w:type="pct"/>
                  <w:gridSpan w:val="2"/>
                </w:tcPr>
                <w:p w14:paraId="4CF5A00B">
                  <w:pPr>
                    <w:pStyle w:val="31"/>
                  </w:pPr>
                  <w:r>
                    <w:rPr>
                      <w:rFonts w:hint="eastAsia"/>
                    </w:rPr>
                    <w:t>二氧化硫</w:t>
                  </w:r>
                </w:p>
              </w:tc>
              <w:tc>
                <w:tcPr>
                  <w:tcW w:w="1949" w:type="pct"/>
                </w:tcPr>
                <w:p w14:paraId="0609B63E">
                  <w:pPr>
                    <w:pStyle w:val="31"/>
                  </w:pPr>
                  <w:r>
                    <w:rPr>
                      <w:rFonts w:hint="eastAsia"/>
                    </w:rPr>
                    <w:t>0.35</w:t>
                  </w:r>
                </w:p>
              </w:tc>
            </w:tr>
          </w:tbl>
          <w:p w14:paraId="694BB734">
            <w:pPr>
              <w:ind w:firstLine="480"/>
            </w:pPr>
          </w:p>
          <w:p w14:paraId="18C03769">
            <w:pPr>
              <w:ind w:firstLine="0" w:firstLineChars="0"/>
              <w:rPr>
                <w:b/>
                <w:bCs/>
              </w:rPr>
            </w:pPr>
          </w:p>
        </w:tc>
      </w:tr>
    </w:tbl>
    <w:p w14:paraId="0E8A3B27">
      <w:pPr>
        <w:ind w:firstLine="0" w:firstLineChars="0"/>
        <w:sectPr>
          <w:pgSz w:w="11906" w:h="16838"/>
          <w:pgMar w:top="1440" w:right="1800" w:bottom="1440" w:left="1800" w:header="851" w:footer="992" w:gutter="0"/>
          <w:cols w:space="425" w:num="1"/>
          <w:docGrid w:type="lines" w:linePitch="312" w:charSpace="0"/>
        </w:sectPr>
      </w:pPr>
    </w:p>
    <w:p w14:paraId="680BF253">
      <w:pPr>
        <w:pStyle w:val="2"/>
        <w:rPr>
          <w:snapToGrid w:val="0"/>
        </w:rPr>
      </w:pPr>
      <w:r>
        <w:rPr>
          <w:snapToGrid w:val="0"/>
        </w:rPr>
        <w:t>四、主要环境影响和保护措施</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56"/>
        <w:gridCol w:w="7856"/>
      </w:tblGrid>
      <w:tr w14:paraId="69B7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2D5C4BF8">
            <w:pPr>
              <w:ind w:firstLine="0" w:firstLineChars="0"/>
              <w:jc w:val="center"/>
              <w:rPr>
                <w:b/>
                <w:bCs/>
              </w:rPr>
            </w:pPr>
            <w:r>
              <w:rPr>
                <w:rFonts w:hint="eastAsia"/>
                <w:b/>
                <w:bCs/>
              </w:rPr>
              <w:t>施工期环境保护措施</w:t>
            </w:r>
          </w:p>
        </w:tc>
        <w:tc>
          <w:tcPr>
            <w:tcW w:w="7761" w:type="dxa"/>
          </w:tcPr>
          <w:p w14:paraId="48DB3F90">
            <w:pPr>
              <w:ind w:firstLine="482"/>
              <w:rPr>
                <w:b/>
                <w:bCs/>
              </w:rPr>
            </w:pPr>
            <w:r>
              <w:rPr>
                <w:b/>
                <w:bCs/>
              </w:rPr>
              <w:t>1、大气环境保护措施</w:t>
            </w:r>
          </w:p>
          <w:p w14:paraId="1E224251">
            <w:pPr>
              <w:ind w:firstLine="482"/>
              <w:rPr>
                <w:b/>
                <w:bCs/>
              </w:rPr>
            </w:pPr>
            <w:r>
              <w:rPr>
                <w:b/>
                <w:bCs/>
              </w:rPr>
              <w:t>（1）施工扬尘防治措施</w:t>
            </w:r>
          </w:p>
          <w:p w14:paraId="2356F073">
            <w:pPr>
              <w:pStyle w:val="90"/>
              <w:ind w:firstLine="480"/>
              <w:rPr>
                <w:rFonts w:ascii="Times New Roman" w:hAnsi="Times New Roman" w:eastAsia="宋体"/>
              </w:rPr>
            </w:pPr>
            <w:r>
              <w:rPr>
                <w:rFonts w:ascii="Times New Roman" w:hAnsi="Times New Roman" w:eastAsia="宋体"/>
              </w:rPr>
              <w:t>根据《四川省建筑工程扬尘污染防治技术导则（试行）》的通知，川建发〔2018〕16号，《住房和城乡建设部办公厅关于进一步加强施工工地和道路扬尘管控工作的通知》（建办质〔2019〕23号）、《四川省人民政府关于印发四川省打赢蓝天保卫战等九个实施方案的通知》（川府发〔2019〕4号），本环评要求采取以下扬尘防治措施：</w:t>
            </w:r>
          </w:p>
          <w:p w14:paraId="59532924">
            <w:pPr>
              <w:ind w:firstLine="480"/>
            </w:pPr>
            <w:r>
              <w:t>A、施工现场围</w:t>
            </w:r>
            <w:r>
              <w:rPr>
                <w:rFonts w:hint="eastAsia"/>
              </w:rPr>
              <w:t>挡</w:t>
            </w:r>
          </w:p>
          <w:p w14:paraId="665E4136">
            <w:pPr>
              <w:ind w:firstLine="480"/>
            </w:pPr>
            <w:r>
              <w:t>①施工现场应沿四周连续设置封闭围挡，围挡设置应安全可靠。</w:t>
            </w:r>
          </w:p>
          <w:p w14:paraId="48F8AD7A">
            <w:pPr>
              <w:ind w:firstLine="480"/>
            </w:pPr>
            <w:r>
              <w:t>②施工现场应优先选用装配式彩钢围挡，不得使用彩色编织布、竹笆或安全网等易变形材料。</w:t>
            </w:r>
          </w:p>
          <w:p w14:paraId="0723FAA3">
            <w:pPr>
              <w:ind w:firstLine="480"/>
            </w:pPr>
            <w:r>
              <w:t>③围档颜色应和周边建筑、道路等风格相统一。</w:t>
            </w:r>
          </w:p>
          <w:p w14:paraId="0A53067A">
            <w:pPr>
              <w:ind w:firstLine="480"/>
            </w:pPr>
            <w:r>
              <w:t>④围档底部应当密封，不得有泥浆外漏。</w:t>
            </w:r>
          </w:p>
          <w:p w14:paraId="2E2C1FD5">
            <w:pPr>
              <w:ind w:firstLine="480"/>
            </w:pPr>
            <w:r>
              <w:t>⑤禁止倚靠围挡墙堆放物料、器具等。</w:t>
            </w:r>
          </w:p>
          <w:p w14:paraId="6DCDF9FB">
            <w:pPr>
              <w:ind w:firstLine="480"/>
            </w:pPr>
            <w:r>
              <w:t>⑥围挡顶端应设置喷雾装置和警示顶灯，喷雾喷头水平间隔不大于5m，喷射水雾方向应向工地内部倾斜。</w:t>
            </w:r>
          </w:p>
          <w:p w14:paraId="11FBF697">
            <w:pPr>
              <w:ind w:firstLine="480"/>
            </w:pPr>
            <w:r>
              <w:t>⑦施工单位应同建设、监理单位对围挡进行验收，验收合格后方可使用，并定期巡查，恶劣天气条件下必须进行重点检查。</w:t>
            </w:r>
          </w:p>
          <w:p w14:paraId="0A2FC19F">
            <w:pPr>
              <w:ind w:firstLine="480"/>
            </w:pPr>
            <w:r>
              <w:t>⑧工程结束前，不得拆除施工现场围挡。做好围挡维护工作，出现破损及时更换。</w:t>
            </w:r>
          </w:p>
          <w:p w14:paraId="65239E2B">
            <w:pPr>
              <w:ind w:firstLine="480"/>
            </w:pPr>
            <w:r>
              <w:t>B、车辆冲洗设施</w:t>
            </w:r>
          </w:p>
          <w:p w14:paraId="2277B44F">
            <w:pPr>
              <w:ind w:firstLine="480"/>
            </w:pPr>
            <w:r>
              <w:t>①施工现场车辆出入口应设置车辆冲洗设施，包括冲洗平台、冲洗设备、挡水带、排水沟（沟宽×深≥300×300mm，排水坡度应大于3%）、三级沉淀池（池体容积≥4m³），冲洗设施宜采用冲洗平台（出水量应不低于50m³/小时）及设立循环用水装置。</w:t>
            </w:r>
          </w:p>
          <w:p w14:paraId="654D089F">
            <w:pPr>
              <w:ind w:firstLine="480"/>
            </w:pPr>
            <w:r>
              <w:t>②因受场地等条件因素影响，施工期不具备设置自动冲洗设施的工地出入口，应配备高压水枪的人工冲洗设施，冲洗设备额定压力不小于15Mpa，出水量应不低于0.25L/S。</w:t>
            </w:r>
          </w:p>
          <w:p w14:paraId="5750B85E">
            <w:pPr>
              <w:ind w:firstLine="480"/>
            </w:pPr>
            <w:r>
              <w:t>③出场车辆应冲洗干净，车身外部、车轮、底盘处目视不得粘有污物和泥土，严禁带泥出场。</w:t>
            </w:r>
          </w:p>
          <w:p w14:paraId="4EBDCA9C">
            <w:pPr>
              <w:ind w:firstLine="480"/>
            </w:pPr>
            <w:r>
              <w:t>④车辆冲洗应注意安全，设专人负责对出场车辆清洗和登记，定期清理排水沟、沉淀池，确保场区无积水，防止污水外溢污染道路。</w:t>
            </w:r>
          </w:p>
          <w:p w14:paraId="6212A20E">
            <w:pPr>
              <w:ind w:firstLine="480"/>
            </w:pPr>
            <w:r>
              <w:t>⑤冲洗设施应从工程开工之日起设置，并保留至工程竣工，对损坏的设备要及时进行维修，保证正常使用。</w:t>
            </w:r>
          </w:p>
          <w:p w14:paraId="7FDFD5B0">
            <w:pPr>
              <w:ind w:firstLine="480"/>
            </w:pPr>
            <w:r>
              <w:t>C、湿法作业</w:t>
            </w:r>
          </w:p>
          <w:p w14:paraId="4915C2A3">
            <w:pPr>
              <w:ind w:firstLine="480"/>
            </w:pPr>
            <w:r>
              <w:t>①施工现场进行易产生扬尘的施工作业活动时，应采取喷淋、喷雾等湿法降尘措施。</w:t>
            </w:r>
          </w:p>
          <w:p w14:paraId="62D8D13D">
            <w:pPr>
              <w:ind w:firstLine="480"/>
            </w:pPr>
            <w:r>
              <w:t>②基坑土方开挖时，应在基坑四周设置雾状固定喷淋装置，喷头水平间距不大于5m，设置于临时防护架上。对于基坑周边固定喷淋装置无法覆盖的中心区域和其他场平工程，应增设移动式雾炮。</w:t>
            </w:r>
          </w:p>
          <w:p w14:paraId="32DFEBD3">
            <w:pPr>
              <w:ind w:firstLine="480"/>
            </w:pPr>
            <w:r>
              <w:t>③施工现场进行清理、钻孔、铣刨、拆除、切割、开挖、现场等作业时，应在密闭空间进行或采取洒水喷淋等湿法作业法进行施工，防止微尘、碎屑、纤维飘散。</w:t>
            </w:r>
          </w:p>
          <w:p w14:paraId="5366CF40">
            <w:pPr>
              <w:ind w:firstLine="480"/>
            </w:pPr>
            <w:r>
              <w:t>④做到“六必须”（必须围挡作业；必须硬化道路；必须设置冲洗设施；必须及时洒水作业；必须配齐保洁人员；必须及时清扫施工现场）、“六不准”（不准车辆带泥出门；不准运渣车辆冒载；不准高空抛洒建筑垃圾；不准现场搅拌混凝土；不准场地积水；不准现场焚烧废弃物），加强建设工地监督检查，督促责任单位落实降尘、压尘和抑尘措施。</w:t>
            </w:r>
          </w:p>
          <w:p w14:paraId="2A299CAC">
            <w:pPr>
              <w:ind w:firstLine="480"/>
            </w:pPr>
            <w:r>
              <w:t>D、车辆密闭运输</w:t>
            </w:r>
          </w:p>
          <w:p w14:paraId="196C44D5">
            <w:pPr>
              <w:ind w:firstLine="480"/>
            </w:pPr>
            <w:r>
              <w:t>①施工单位应当建立工程渣土（建筑垃圾）运输扬尘污染防治管理制度和相关措施，使用合规车辆，加强对渣土运输车辆、人员管理；</w:t>
            </w:r>
          </w:p>
          <w:p w14:paraId="69996AC1">
            <w:pPr>
              <w:ind w:firstLine="480"/>
            </w:pPr>
            <w:r>
              <w:t>②施工现场渣土运输车辆必须采取覆盖措施，宜采用密闭式运输车辆，装载不得冒出车辆栏板，防止道路遗撒。</w:t>
            </w:r>
          </w:p>
          <w:p w14:paraId="3DA163FA">
            <w:pPr>
              <w:ind w:firstLine="480"/>
            </w:pPr>
            <w:r>
              <w:t>③建渣及渣土运输单位应安排专人对其运输车辆及运输沿线进行巡视，确保车辆按核准的线路、时间行驶，并运送到核准的处置地点，不得随意变更、随处倾倒。</w:t>
            </w:r>
          </w:p>
          <w:p w14:paraId="73853CF1">
            <w:pPr>
              <w:ind w:firstLine="482"/>
            </w:pPr>
            <w:r>
              <w:rPr>
                <w:b/>
                <w:bCs/>
              </w:rPr>
              <w:t>（2）施工机械及车辆废气防治措施</w:t>
            </w:r>
          </w:p>
          <w:p w14:paraId="597FE28F">
            <w:pPr>
              <w:ind w:firstLine="480"/>
            </w:pPr>
            <w:r>
              <w:t>施工过程中车辆及施工机械产生的尾气主要含CO、碳氢化合物、NO</w:t>
            </w:r>
            <w:r>
              <w:rPr>
                <w:vertAlign w:val="subscript"/>
              </w:rPr>
              <w:t>2</w:t>
            </w:r>
            <w:r>
              <w:t>等污染物。</w:t>
            </w:r>
          </w:p>
          <w:p w14:paraId="1A236F47">
            <w:pPr>
              <w:ind w:firstLine="480"/>
            </w:pPr>
            <w:r>
              <w:t>防治措施如下：</w:t>
            </w:r>
          </w:p>
          <w:p w14:paraId="5C70BCC6">
            <w:pPr>
              <w:ind w:firstLine="480"/>
            </w:pPr>
            <w:r>
              <w:t>①加强施工机械的保养维护，提高机械的正常使用率。</w:t>
            </w:r>
          </w:p>
          <w:p w14:paraId="6C06EACB">
            <w:pPr>
              <w:ind w:firstLine="480"/>
            </w:pPr>
            <w:r>
              <w:rPr>
                <w:rFonts w:hint="eastAsia" w:ascii="宋体" w:hAnsi="宋体" w:cs="宋体"/>
              </w:rPr>
              <w:t>②</w:t>
            </w:r>
            <w:r>
              <w:t>加强对机械、车辆的维修保养，禁止以柴油为燃料的施工机械超负荷工作，减少烟度和颗粒物排放。</w:t>
            </w:r>
          </w:p>
          <w:p w14:paraId="606A590B">
            <w:pPr>
              <w:ind w:firstLine="480"/>
            </w:pPr>
            <w:r>
              <w:rPr>
                <w:rFonts w:hint="eastAsia" w:ascii="宋体" w:hAnsi="宋体" w:cs="宋体"/>
              </w:rPr>
              <w:t>③</w:t>
            </w:r>
            <w:r>
              <w:t>动力机械多选择使用电动工具，严格控制内燃机械的使用，场内施工内燃机械（如铲车、挖掘机、发电机等）安置有效的空气滤清装置，并定期清理。</w:t>
            </w:r>
          </w:p>
          <w:p w14:paraId="6AE6D907">
            <w:pPr>
              <w:ind w:firstLine="480"/>
            </w:pPr>
            <w:r>
              <w:rPr>
                <w:rFonts w:hint="eastAsia" w:ascii="宋体" w:hAnsi="宋体" w:cs="宋体"/>
              </w:rPr>
              <w:t>④</w:t>
            </w:r>
            <w:r>
              <w:t>禁止使用废气排放超标的车辆。</w:t>
            </w:r>
          </w:p>
          <w:p w14:paraId="3520E02C">
            <w:pPr>
              <w:ind w:firstLine="480"/>
            </w:pPr>
            <w:r>
              <w:t>采取</w:t>
            </w:r>
            <w:r>
              <w:rPr>
                <w:rFonts w:hint="eastAsia"/>
              </w:rPr>
              <w:t>上述</w:t>
            </w:r>
            <w:r>
              <w:t>措施后，可大大降低施工扬尘产生量，施工场地扬尘排放能够满足《四川省施工场地扬尘排放标准》（DB51/2682-2020）中相关限值要求，施工期对周围环境影响减至最低。</w:t>
            </w:r>
          </w:p>
          <w:p w14:paraId="4944D0ED">
            <w:pPr>
              <w:pStyle w:val="81"/>
              <w:ind w:firstLine="482"/>
              <w:rPr>
                <w:rFonts w:ascii="Times New Roman" w:hAnsi="Times New Roman"/>
                <w:b/>
                <w:sz w:val="24"/>
                <w:szCs w:val="24"/>
                <w:lang w:eastAsia="zh-CN"/>
              </w:rPr>
            </w:pPr>
            <w:r>
              <w:rPr>
                <w:rFonts w:ascii="Times New Roman" w:hAnsi="Times New Roman"/>
                <w:b/>
                <w:sz w:val="24"/>
                <w:szCs w:val="24"/>
                <w:lang w:eastAsia="zh-CN"/>
              </w:rPr>
              <w:t>2、地表水环境保护措施</w:t>
            </w:r>
          </w:p>
          <w:p w14:paraId="700FDEE0">
            <w:pPr>
              <w:pStyle w:val="90"/>
              <w:ind w:firstLine="480"/>
              <w:rPr>
                <w:rFonts w:ascii="Times New Roman" w:hAnsi="Times New Roman" w:eastAsia="宋体"/>
              </w:rPr>
            </w:pPr>
            <w:r>
              <w:rPr>
                <w:rFonts w:ascii="Times New Roman" w:hAnsi="Times New Roman" w:eastAsia="宋体"/>
              </w:rPr>
              <w:t>施工期产生废水包括施工人员的生活污水和施工本身产生的废水，施工废水主要包括土方阶段排水，结构阶段混凝土养护排水，以及各种车辆冲洗水。</w:t>
            </w:r>
          </w:p>
          <w:p w14:paraId="2BE61BDB">
            <w:pPr>
              <w:pStyle w:val="90"/>
              <w:ind w:firstLine="480"/>
              <w:rPr>
                <w:rFonts w:ascii="Times New Roman" w:hAnsi="Times New Roman" w:eastAsia="宋体"/>
              </w:rPr>
            </w:pPr>
            <w:r>
              <w:rPr>
                <w:rFonts w:ascii="Times New Roman" w:hAnsi="Times New Roman" w:eastAsia="宋体"/>
              </w:rPr>
              <w:t>本项目工程施工高峰期施工人员数可达20人左右，施工人员生活污水排放按0.05m</w:t>
            </w:r>
            <w:r>
              <w:rPr>
                <w:rFonts w:ascii="Times New Roman" w:hAnsi="Times New Roman" w:eastAsia="宋体"/>
                <w:vertAlign w:val="superscript"/>
              </w:rPr>
              <w:t>3</w:t>
            </w:r>
            <w:r>
              <w:rPr>
                <w:rFonts w:ascii="Times New Roman" w:hAnsi="Times New Roman" w:eastAsia="宋体"/>
              </w:rPr>
              <w:t>/d计算，日产生活污水约1m</w:t>
            </w:r>
            <w:r>
              <w:rPr>
                <w:rFonts w:ascii="Times New Roman" w:hAnsi="Times New Roman" w:eastAsia="宋体"/>
                <w:vertAlign w:val="superscript"/>
              </w:rPr>
              <w:t>3</w:t>
            </w:r>
            <w:r>
              <w:rPr>
                <w:rFonts w:ascii="Times New Roman" w:hAnsi="Times New Roman" w:eastAsia="宋体"/>
              </w:rPr>
              <w:t>/d。</w:t>
            </w:r>
          </w:p>
          <w:p w14:paraId="35C76A5D">
            <w:pPr>
              <w:pStyle w:val="90"/>
              <w:ind w:firstLine="482"/>
              <w:rPr>
                <w:rFonts w:ascii="Times New Roman" w:hAnsi="Times New Roman" w:eastAsia="宋体"/>
              </w:rPr>
            </w:pPr>
            <w:r>
              <w:rPr>
                <w:rFonts w:ascii="Times New Roman" w:hAnsi="Times New Roman" w:eastAsia="宋体"/>
                <w:b/>
                <w:bCs/>
              </w:rPr>
              <w:t>治理措施：</w:t>
            </w:r>
            <w:r>
              <w:rPr>
                <w:rFonts w:ascii="Times New Roman" w:hAnsi="Times New Roman" w:eastAsia="宋体"/>
              </w:rPr>
              <w:t>在工程的整个施工期，土方阶段降尘用水、混凝土养护用水全部蒸发损失，车辆冲洗水经沉淀后回用，不外排；生活污水</w:t>
            </w:r>
            <w:r>
              <w:rPr>
                <w:rFonts w:hint="eastAsia" w:ascii="Times New Roman" w:hAnsi="Times New Roman" w:eastAsia="宋体"/>
              </w:rPr>
              <w:t>依托园区已经污水处理设施</w:t>
            </w:r>
            <w:r>
              <w:rPr>
                <w:rFonts w:ascii="Times New Roman" w:hAnsi="Times New Roman" w:eastAsia="宋体"/>
              </w:rPr>
              <w:t>。</w:t>
            </w:r>
          </w:p>
          <w:p w14:paraId="3E484867">
            <w:pPr>
              <w:pStyle w:val="81"/>
              <w:ind w:firstLine="482"/>
              <w:rPr>
                <w:rFonts w:ascii="Times New Roman" w:hAnsi="Times New Roman"/>
                <w:b/>
                <w:sz w:val="24"/>
                <w:szCs w:val="24"/>
                <w:lang w:eastAsia="zh-CN"/>
              </w:rPr>
            </w:pPr>
            <w:r>
              <w:rPr>
                <w:rFonts w:ascii="Times New Roman" w:hAnsi="Times New Roman"/>
                <w:b/>
                <w:sz w:val="24"/>
                <w:szCs w:val="24"/>
                <w:lang w:eastAsia="zh-CN"/>
              </w:rPr>
              <w:t>3、声环境保护措施</w:t>
            </w:r>
          </w:p>
          <w:p w14:paraId="760E705B">
            <w:pPr>
              <w:ind w:firstLine="480"/>
              <w:rPr>
                <w:bCs/>
              </w:rPr>
            </w:pPr>
            <w:r>
              <w:t>建筑噪声是本项目施工主要的污染因素，主要为施工机械设备噪声和运输车辆噪声。结合项目施工内容，机械噪声主要为设备撞击噪声及装卸材料碰击噪声。</w:t>
            </w:r>
            <w:r>
              <w:rPr>
                <w:bCs/>
              </w:rPr>
              <w:t>噪声值在65dB（A）</w:t>
            </w:r>
            <w:r>
              <w:rPr>
                <w:rFonts w:hint="eastAsia"/>
                <w:bCs/>
              </w:rPr>
              <w:t>~</w:t>
            </w:r>
            <w:r>
              <w:rPr>
                <w:bCs/>
              </w:rPr>
              <w:t>104dB（A），其产生的噪声具有阶段性、临时性和不固定性。</w:t>
            </w:r>
          </w:p>
          <w:p w14:paraId="22F94434">
            <w:pPr>
              <w:ind w:firstLine="480"/>
            </w:pPr>
            <w:r>
              <w:t>根据《建筑施工场界环境噪声排放标准》（GB12523-2011）的规定，施工场界昼间的噪声限值为70dB（A），夜间的噪声限值为55dB（A）。为减轻施工期噪声的影响，环评要求项目在施工的过程中应当严格执行环评提出的措施，以减小对附近声环境的影响，主要包括以下方面：</w:t>
            </w:r>
          </w:p>
          <w:p w14:paraId="4FBA3D28">
            <w:pPr>
              <w:ind w:firstLine="480"/>
            </w:pPr>
            <w:r>
              <w:t>①尽量采用低噪声机械设备，项目施工所用的施工机械设备应事先对其进行常规工作状态下的噪声测量，超过国家标准的机械设备禁止其入场施工，施工过程中应经常对设备进行维修保养，避免由于机械设备性能差而产生严重噪声污染的情况发生；</w:t>
            </w:r>
          </w:p>
          <w:p w14:paraId="36C8FF33">
            <w:pPr>
              <w:ind w:firstLine="480"/>
            </w:pPr>
            <w:r>
              <w:t>②加强施工期施工人员的环保宣传教育，从根本上培养施工人员环保理念，从而杜绝野蛮施工，粗放施工；</w:t>
            </w:r>
          </w:p>
          <w:p w14:paraId="57F30EEF">
            <w:pPr>
              <w:ind w:firstLine="480"/>
            </w:pPr>
            <w:r>
              <w:t>③在设备选型时尽量采用低噪声设备，并采取有效的隔声减振措施</w:t>
            </w:r>
            <w:r>
              <w:rPr>
                <w:rFonts w:hint="eastAsia"/>
              </w:rPr>
              <w:t>；</w:t>
            </w:r>
          </w:p>
          <w:p w14:paraId="2290C4A3">
            <w:pPr>
              <w:ind w:firstLine="480"/>
            </w:pPr>
            <w:r>
              <w:t>④合理设计施工总平面图。为了尽可能的减轻项目施工对周边产生噪声污染，项目施工过程中应尽可能将产生高噪声的作业点置于施工场地中部区域，以有效利用施工场地的距离衰减作用减少对项目周边影响。</w:t>
            </w:r>
          </w:p>
          <w:p w14:paraId="26D46494">
            <w:pPr>
              <w:ind w:firstLine="360" w:firstLineChars="150"/>
            </w:pPr>
            <w:r>
              <w:t>采取上述措施后，施工期间的场界噪声可达标排放，满足《建筑施工场界环境噪声排放标准》（GBl2523-2011）要求</w:t>
            </w:r>
            <w:r>
              <w:rPr>
                <w:rFonts w:hint="eastAsia"/>
              </w:rPr>
              <w:t>，且</w:t>
            </w:r>
            <w:r>
              <w:t>施工期的噪声影响是短期的，随着施工期的结束而消失。</w:t>
            </w:r>
          </w:p>
          <w:p w14:paraId="3D23408E">
            <w:pPr>
              <w:pStyle w:val="81"/>
              <w:ind w:firstLine="482"/>
              <w:rPr>
                <w:rFonts w:ascii="Times New Roman" w:hAnsi="Times New Roman"/>
                <w:b/>
                <w:sz w:val="24"/>
                <w:szCs w:val="24"/>
                <w:lang w:eastAsia="zh-CN"/>
              </w:rPr>
            </w:pPr>
            <w:r>
              <w:rPr>
                <w:rFonts w:ascii="Times New Roman" w:hAnsi="Times New Roman"/>
                <w:b/>
                <w:sz w:val="24"/>
                <w:szCs w:val="24"/>
                <w:lang w:eastAsia="zh-CN"/>
              </w:rPr>
              <w:t>4、固体废物</w:t>
            </w:r>
          </w:p>
          <w:p w14:paraId="0C7069AC">
            <w:pPr>
              <w:ind w:firstLine="480"/>
            </w:pPr>
            <w:r>
              <w:t>施工期固体废弃物主要为施工人员的生活垃圾、施工渣土</w:t>
            </w:r>
            <w:r>
              <w:rPr>
                <w:rFonts w:hint="eastAsia"/>
              </w:rPr>
              <w:t>。</w:t>
            </w:r>
          </w:p>
          <w:p w14:paraId="4F92960B">
            <w:pPr>
              <w:ind w:firstLine="480"/>
            </w:pPr>
            <w:r>
              <w:t>建筑垃圾：施工期间建筑垃圾产生量约0.2t。评价要求：施工单位应将建筑垃圾定期运至政府指定建筑垃圾堆放点。废钢材收集后定期交由废品收购商进行回收。</w:t>
            </w:r>
            <w:r>
              <w:rPr>
                <w:rFonts w:hint="eastAsia"/>
              </w:rPr>
              <w:t>由于项目在已征临时用地范围内，现状为空地，故挖方量较少。施工期废油</w:t>
            </w:r>
            <w:r>
              <w:t>定期交由有相应资质的危废处理单位处理</w:t>
            </w:r>
            <w:r>
              <w:rPr>
                <w:rFonts w:hint="eastAsia"/>
              </w:rPr>
              <w:t>。</w:t>
            </w:r>
          </w:p>
          <w:p w14:paraId="4593046E">
            <w:pPr>
              <w:pStyle w:val="28"/>
              <w:spacing w:line="360" w:lineRule="auto"/>
              <w:ind w:firstLine="480" w:firstLineChars="200"/>
              <w:jc w:val="both"/>
              <w:rPr>
                <w:rFonts w:hint="eastAsia" w:ascii="Times New Roman" w:cs="Times New Roman"/>
                <w:color w:val="auto"/>
              </w:rPr>
            </w:pPr>
            <w:r>
              <w:rPr>
                <w:rFonts w:ascii="Times New Roman" w:cs="Times New Roman"/>
                <w:color w:val="auto"/>
              </w:rPr>
              <w:t>生活垃圾：生活垃圾产生量按照0.5kg/人·d计，施工期生活垃圾为10kg/d。</w:t>
            </w:r>
          </w:p>
          <w:p w14:paraId="341DC109">
            <w:pPr>
              <w:ind w:firstLine="480"/>
            </w:pPr>
            <w:r>
              <w:t>拟采取的治理措施如下：</w:t>
            </w:r>
          </w:p>
          <w:p w14:paraId="74833E46">
            <w:pPr>
              <w:pStyle w:val="28"/>
              <w:spacing w:line="360" w:lineRule="auto"/>
              <w:ind w:firstLine="480" w:firstLineChars="200"/>
              <w:jc w:val="both"/>
              <w:rPr>
                <w:rFonts w:hint="eastAsia" w:ascii="Times New Roman" w:cs="Times New Roman"/>
                <w:color w:val="auto"/>
              </w:rPr>
            </w:pPr>
            <w:r>
              <w:rPr>
                <w:rFonts w:ascii="Times New Roman" w:cs="Times New Roman"/>
                <w:color w:val="auto"/>
              </w:rPr>
              <w:t>①</w:t>
            </w:r>
            <w:r>
              <w:rPr>
                <w:rFonts w:hint="eastAsia" w:ascii="Times New Roman" w:cs="Times New Roman"/>
                <w:color w:val="auto"/>
              </w:rPr>
              <w:t>加强管理，严禁废油、生活垃圾、土石方下河。</w:t>
            </w:r>
          </w:p>
          <w:p w14:paraId="69F8F29F">
            <w:pPr>
              <w:ind w:firstLine="480"/>
            </w:pPr>
            <w:r>
              <w:t>②施工单位应将建筑垃圾定期运至政府指定建筑垃圾堆放点</w:t>
            </w:r>
            <w:r>
              <w:rPr>
                <w:rFonts w:hint="eastAsia"/>
              </w:rPr>
              <w:t>；</w:t>
            </w:r>
            <w:r>
              <w:t>废钢材收集后定期交由废品收购商进行回收。</w:t>
            </w:r>
          </w:p>
          <w:p w14:paraId="0E80ACE2">
            <w:pPr>
              <w:ind w:firstLine="480"/>
            </w:pPr>
            <w:r>
              <w:t>③</w:t>
            </w:r>
            <w:r>
              <w:rPr>
                <w:rFonts w:hint="eastAsia"/>
              </w:rPr>
              <w:t>运输车辆</w:t>
            </w:r>
            <w:r>
              <w:t>选择合理的运输路线，</w:t>
            </w:r>
            <w:r>
              <w:rPr>
                <w:rFonts w:hint="eastAsia"/>
              </w:rPr>
              <w:t>将</w:t>
            </w:r>
            <w:r>
              <w:t>外环境影响减小到最小程度。</w:t>
            </w:r>
          </w:p>
          <w:p w14:paraId="79751BE3">
            <w:pPr>
              <w:ind w:firstLine="480"/>
            </w:pPr>
            <w:r>
              <w:t>④生活垃圾</w:t>
            </w:r>
            <w:r>
              <w:rPr>
                <w:lang w:val="fr-FR"/>
              </w:rPr>
              <w:t>统一</w:t>
            </w:r>
            <w:r>
              <w:t>收集后，</w:t>
            </w:r>
            <w:r>
              <w:rPr>
                <w:rFonts w:hint="eastAsia"/>
              </w:rPr>
              <w:t>交</w:t>
            </w:r>
            <w:r>
              <w:t>当地环卫部门清运。</w:t>
            </w:r>
          </w:p>
          <w:p w14:paraId="1CBBBFBD">
            <w:pPr>
              <w:ind w:firstLine="480"/>
            </w:pPr>
            <w:r>
              <w:rPr>
                <w:rFonts w:hint="eastAsia"/>
              </w:rPr>
              <w:t>⑤施工期废油</w:t>
            </w:r>
            <w:r>
              <w:t>定期交由有相应资质的危废处理单位处理</w:t>
            </w:r>
            <w:r>
              <w:rPr>
                <w:rFonts w:hint="eastAsia"/>
              </w:rPr>
              <w:t>。</w:t>
            </w:r>
          </w:p>
        </w:tc>
      </w:tr>
      <w:tr w14:paraId="0C528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456" w:type="dxa"/>
            <w:vAlign w:val="center"/>
          </w:tcPr>
          <w:p w14:paraId="3F00D617">
            <w:pPr>
              <w:ind w:firstLine="0" w:firstLineChars="0"/>
              <w:jc w:val="center"/>
              <w:rPr>
                <w:b/>
                <w:bCs/>
              </w:rPr>
            </w:pPr>
            <w:r>
              <w:rPr>
                <w:rFonts w:hint="eastAsia"/>
                <w:b/>
                <w:bCs/>
              </w:rPr>
              <w:t>运营期环境影响和保护措施</w:t>
            </w:r>
          </w:p>
        </w:tc>
        <w:tc>
          <w:tcPr>
            <w:tcW w:w="7761" w:type="dxa"/>
          </w:tcPr>
          <w:p w14:paraId="1E2209E6">
            <w:pPr>
              <w:ind w:firstLine="482"/>
              <w:rPr>
                <w:b/>
                <w:bCs/>
              </w:rPr>
            </w:pPr>
            <w:r>
              <w:rPr>
                <w:rFonts w:hint="eastAsia"/>
                <w:b/>
                <w:bCs/>
              </w:rPr>
              <w:t>一、运营期环境影响和保护措施</w:t>
            </w:r>
          </w:p>
          <w:p w14:paraId="1AE2725B">
            <w:pPr>
              <w:ind w:firstLine="482"/>
              <w:rPr>
                <w:b/>
                <w:bCs/>
              </w:rPr>
            </w:pPr>
            <w:r>
              <w:rPr>
                <w:b/>
                <w:bCs/>
              </w:rPr>
              <w:t>1.1</w:t>
            </w:r>
            <w:r>
              <w:rPr>
                <w:rFonts w:hint="eastAsia"/>
                <w:b/>
                <w:bCs/>
              </w:rPr>
              <w:t>运营期大气污染源分析</w:t>
            </w:r>
          </w:p>
          <w:p w14:paraId="7C49D091">
            <w:pPr>
              <w:adjustRightInd w:val="0"/>
              <w:snapToGrid w:val="0"/>
              <w:ind w:firstLine="480"/>
            </w:pPr>
            <w:r>
              <w:rPr>
                <w:rFonts w:cs="Times New Roman"/>
              </w:rPr>
              <w:t>本项目运营期产生的废气产生节点主要为</w:t>
            </w:r>
            <w:r>
              <w:rPr>
                <w:rFonts w:hint="eastAsia" w:cs="Times New Roman"/>
              </w:rPr>
              <w:t>原料存储粉尘、上料粉尘和</w:t>
            </w:r>
            <w:r>
              <w:rPr>
                <w:rFonts w:cs="Times New Roman"/>
              </w:rPr>
              <w:t>锅炉废气</w:t>
            </w:r>
            <w:r>
              <w:rPr>
                <w:rFonts w:hint="eastAsia" w:cs="Times New Roman"/>
              </w:rPr>
              <w:t>。</w:t>
            </w:r>
          </w:p>
          <w:p w14:paraId="36D33DC4">
            <w:pPr>
              <w:pStyle w:val="52"/>
              <w:numPr>
                <w:ilvl w:val="0"/>
                <w:numId w:val="9"/>
              </w:numPr>
              <w:ind w:firstLineChars="0"/>
              <w:rPr>
                <w:b/>
                <w:bCs/>
              </w:rPr>
            </w:pPr>
            <w:bookmarkStart w:id="11" w:name="_Hlk182989357"/>
            <w:r>
              <w:rPr>
                <w:rFonts w:hint="eastAsia"/>
                <w:b/>
                <w:bCs/>
              </w:rPr>
              <w:t>源强核算</w:t>
            </w:r>
          </w:p>
          <w:p w14:paraId="60F5620A">
            <w:pPr>
              <w:ind w:firstLine="480"/>
            </w:pPr>
            <w:r>
              <w:rPr>
                <w:rFonts w:hint="eastAsia"/>
              </w:rPr>
              <w:t>1）原料存储粉尘</w:t>
            </w:r>
          </w:p>
          <w:p w14:paraId="40BF11AB">
            <w:pPr>
              <w:ind w:firstLine="480"/>
            </w:pPr>
            <w:r>
              <w:rPr>
                <w:rFonts w:hint="eastAsia"/>
              </w:rPr>
              <w:t>本项目选用尺寸约</w:t>
            </w:r>
            <w:r>
              <w:t>20mm~200mm</w:t>
            </w:r>
            <w:r>
              <w:rPr>
                <w:rFonts w:hint="eastAsia"/>
              </w:rPr>
              <w:t>的成品生物质原料，原料运输过程车辆覆盖篷布密闭，卸料过程位于密闭的材料库内，粉尘产生量极小，故仅进行定性分析。</w:t>
            </w:r>
          </w:p>
          <w:p w14:paraId="7D15A682">
            <w:pPr>
              <w:ind w:firstLine="480"/>
            </w:pPr>
            <w:r>
              <w:rPr>
                <w:rFonts w:hint="eastAsia"/>
              </w:rPr>
              <w:t>2）上料粉尘</w:t>
            </w:r>
          </w:p>
          <w:p w14:paraId="42A1BDD1">
            <w:pPr>
              <w:ind w:firstLine="480"/>
            </w:pPr>
            <w:r>
              <w:rPr>
                <w:rFonts w:hint="eastAsia"/>
              </w:rPr>
              <w:t>本项目生物质原料由2#材料库装机运至过密闭的自动板链上料输送机从气化炉顶部送入炉本体内，上料过程为机器上料。该过程密闭，输送带密闭，粉尘产量极小，故仅进行定性分析。</w:t>
            </w:r>
          </w:p>
          <w:p w14:paraId="51FBC6AD">
            <w:pPr>
              <w:ind w:firstLine="480"/>
            </w:pPr>
            <w:r>
              <w:rPr>
                <w:rFonts w:hint="eastAsia"/>
              </w:rPr>
              <w:t>3）锅炉废气</w:t>
            </w:r>
          </w:p>
          <w:p w14:paraId="4301CD30">
            <w:pPr>
              <w:ind w:firstLine="480"/>
              <w:rPr>
                <w:bCs/>
                <w:szCs w:val="24"/>
              </w:rPr>
            </w:pPr>
            <w:r>
              <w:rPr>
                <w:bCs/>
                <w:szCs w:val="24"/>
              </w:rPr>
              <w:t>本项目</w:t>
            </w:r>
            <w:r>
              <w:rPr>
                <w:rFonts w:hint="eastAsia"/>
                <w:bCs/>
                <w:szCs w:val="24"/>
              </w:rPr>
              <w:t>生产过程中使用4</w:t>
            </w:r>
            <w:r>
              <w:rPr>
                <w:bCs/>
                <w:szCs w:val="24"/>
              </w:rPr>
              <w:t>台</w:t>
            </w:r>
            <w:r>
              <w:rPr>
                <w:rFonts w:hint="eastAsia"/>
                <w:bCs/>
                <w:szCs w:val="24"/>
              </w:rPr>
              <w:t>35t/h的生物质燃气</w:t>
            </w:r>
            <w:r>
              <w:rPr>
                <w:bCs/>
                <w:szCs w:val="24"/>
              </w:rPr>
              <w:t>锅炉，锅炉燃料为气化炉</w:t>
            </w:r>
            <w:r>
              <w:rPr>
                <w:rFonts w:hint="eastAsia"/>
                <w:bCs/>
                <w:szCs w:val="24"/>
              </w:rPr>
              <w:t>热</w:t>
            </w:r>
            <w:r>
              <w:rPr>
                <w:bCs/>
                <w:szCs w:val="24"/>
              </w:rPr>
              <w:t>解生物质原料产生的</w:t>
            </w:r>
            <w:r>
              <w:rPr>
                <w:rFonts w:hint="eastAsia"/>
                <w:bCs/>
                <w:szCs w:val="24"/>
              </w:rPr>
              <w:t>气体，气体</w:t>
            </w:r>
            <w:r>
              <w:rPr>
                <w:bCs/>
                <w:szCs w:val="24"/>
              </w:rPr>
              <w:t>燃烧将产生锅炉烟气，其主要污染物为SO</w:t>
            </w:r>
            <w:r>
              <w:rPr>
                <w:bCs/>
                <w:szCs w:val="24"/>
                <w:vertAlign w:val="subscript"/>
              </w:rPr>
              <w:t>2</w:t>
            </w:r>
            <w:r>
              <w:rPr>
                <w:bCs/>
                <w:szCs w:val="24"/>
              </w:rPr>
              <w:t>、NOx、颗粒物。</w:t>
            </w:r>
          </w:p>
          <w:p w14:paraId="37298B52">
            <w:pPr>
              <w:pStyle w:val="8"/>
              <w:adjustRightInd w:val="0"/>
              <w:spacing w:before="0" w:after="0" w:line="360" w:lineRule="auto"/>
              <w:ind w:right="0" w:firstLine="480" w:firstLineChars="200"/>
              <w:rPr>
                <w:sz w:val="24"/>
                <w:szCs w:val="24"/>
              </w:rPr>
            </w:pPr>
            <w:r>
              <w:rPr>
                <w:sz w:val="24"/>
                <w:szCs w:val="24"/>
              </w:rPr>
              <w:t>参考《生物质热解气化原理与技术》（孙立、张晓东编著），生物质气化炉的气体产率为2.0</w:t>
            </w:r>
            <w:r>
              <w:rPr>
                <w:rFonts w:hint="eastAsia"/>
                <w:sz w:val="24"/>
                <w:szCs w:val="24"/>
              </w:rPr>
              <w:t>~</w:t>
            </w:r>
            <w:r>
              <w:rPr>
                <w:sz w:val="24"/>
                <w:szCs w:val="24"/>
              </w:rPr>
              <w:t>2.5m</w:t>
            </w:r>
            <w:r>
              <w:rPr>
                <w:sz w:val="24"/>
                <w:szCs w:val="24"/>
                <w:vertAlign w:val="superscript"/>
              </w:rPr>
              <w:t>3</w:t>
            </w:r>
            <w:r>
              <w:rPr>
                <w:sz w:val="24"/>
                <w:szCs w:val="24"/>
              </w:rPr>
              <w:t>/kg本项目按2</w:t>
            </w:r>
            <w:r>
              <w:rPr>
                <w:rFonts w:hint="eastAsia"/>
                <w:sz w:val="24"/>
                <w:szCs w:val="24"/>
              </w:rPr>
              <w:t>.0</w:t>
            </w:r>
            <w:r>
              <w:rPr>
                <w:sz w:val="24"/>
                <w:szCs w:val="24"/>
              </w:rPr>
              <w:t>m</w:t>
            </w:r>
            <w:r>
              <w:rPr>
                <w:sz w:val="24"/>
                <w:szCs w:val="24"/>
                <w:vertAlign w:val="superscript"/>
              </w:rPr>
              <w:t>3</w:t>
            </w:r>
            <w:r>
              <w:rPr>
                <w:sz w:val="24"/>
                <w:szCs w:val="24"/>
              </w:rPr>
              <w:t>/kg计，本项目生物质燃料年消耗量为</w:t>
            </w:r>
            <w:r>
              <w:rPr>
                <w:rFonts w:hint="eastAsia"/>
                <w:sz w:val="24"/>
                <w:szCs w:val="24"/>
              </w:rPr>
              <w:t>260000</w:t>
            </w:r>
            <w:r>
              <w:rPr>
                <w:sz w:val="24"/>
                <w:szCs w:val="24"/>
              </w:rPr>
              <w:t>t，则项目生物质气化炉的燃气气体量为</w:t>
            </w:r>
            <w:r>
              <w:rPr>
                <w:rFonts w:hint="eastAsia"/>
                <w:sz w:val="24"/>
                <w:szCs w:val="24"/>
              </w:rPr>
              <w:t>52000</w:t>
            </w:r>
            <w:r>
              <w:rPr>
                <w:sz w:val="24"/>
                <w:szCs w:val="24"/>
              </w:rPr>
              <w:t>万m</w:t>
            </w:r>
            <w:r>
              <w:rPr>
                <w:sz w:val="24"/>
                <w:szCs w:val="24"/>
                <w:vertAlign w:val="superscript"/>
              </w:rPr>
              <w:t>3</w:t>
            </w:r>
            <w:r>
              <w:rPr>
                <w:sz w:val="24"/>
                <w:szCs w:val="24"/>
              </w:rPr>
              <w:t>/a。</w:t>
            </w:r>
          </w:p>
          <w:p w14:paraId="4FD29D4F">
            <w:pPr>
              <w:pStyle w:val="8"/>
              <w:adjustRightInd w:val="0"/>
              <w:spacing w:before="0" w:after="0" w:line="360" w:lineRule="auto"/>
              <w:ind w:right="0" w:firstLine="482" w:firstLineChars="200"/>
              <w:rPr>
                <w:b/>
                <w:bCs/>
                <w:sz w:val="24"/>
                <w:szCs w:val="24"/>
              </w:rPr>
            </w:pPr>
            <w:r>
              <w:rPr>
                <w:b/>
                <w:bCs/>
                <w:sz w:val="24"/>
                <w:szCs w:val="24"/>
              </w:rPr>
              <w:t>锅炉烟气量：</w:t>
            </w:r>
          </w:p>
          <w:p w14:paraId="5DE9B557">
            <w:pPr>
              <w:pStyle w:val="8"/>
              <w:adjustRightInd w:val="0"/>
              <w:spacing w:before="0" w:after="0" w:line="360" w:lineRule="auto"/>
              <w:ind w:right="0" w:firstLine="480" w:firstLineChars="200"/>
              <w:rPr>
                <w:bCs/>
                <w:sz w:val="24"/>
                <w:szCs w:val="24"/>
              </w:rPr>
            </w:pPr>
            <w:r>
              <w:rPr>
                <w:rFonts w:hint="eastAsia"/>
                <w:bCs/>
                <w:sz w:val="24"/>
                <w:szCs w:val="24"/>
              </w:rPr>
              <w:t>根据同类型企业检测数据（见附件），本项目收到</w:t>
            </w:r>
            <w:r>
              <w:rPr>
                <w:bCs/>
                <w:sz w:val="24"/>
                <w:szCs w:val="24"/>
              </w:rPr>
              <w:t>基低位发热量Q</w:t>
            </w:r>
            <w:r>
              <w:rPr>
                <w:bCs/>
                <w:sz w:val="24"/>
                <w:szCs w:val="24"/>
                <w:vertAlign w:val="subscript"/>
              </w:rPr>
              <w:t>net，ar</w:t>
            </w:r>
            <w:r>
              <w:rPr>
                <w:bCs/>
                <w:sz w:val="24"/>
                <w:szCs w:val="24"/>
              </w:rPr>
              <w:t>=</w:t>
            </w:r>
            <w:r>
              <w:rPr>
                <w:rFonts w:hint="eastAsia"/>
                <w:bCs/>
                <w:sz w:val="24"/>
                <w:szCs w:val="24"/>
              </w:rPr>
              <w:t>5700</w:t>
            </w:r>
            <w:r>
              <w:rPr>
                <w:sz w:val="24"/>
                <w:szCs w:val="24"/>
              </w:rPr>
              <w:t>kJ/m</w:t>
            </w:r>
            <w:r>
              <w:rPr>
                <w:sz w:val="24"/>
                <w:szCs w:val="24"/>
                <w:vertAlign w:val="superscript"/>
              </w:rPr>
              <w:t>3</w:t>
            </w:r>
            <w:r>
              <w:rPr>
                <w:rFonts w:hint="eastAsia"/>
                <w:sz w:val="24"/>
                <w:szCs w:val="24"/>
              </w:rPr>
              <w:t>。</w:t>
            </w:r>
            <w:r>
              <w:rPr>
                <w:bCs/>
                <w:sz w:val="24"/>
                <w:szCs w:val="24"/>
              </w:rPr>
              <w:t>根据《污染源源强核算技术指南</w:t>
            </w:r>
            <w:r>
              <w:rPr>
                <w:rFonts w:hint="eastAsia"/>
                <w:bCs/>
                <w:sz w:val="24"/>
                <w:szCs w:val="24"/>
              </w:rPr>
              <w:t xml:space="preserve"> </w:t>
            </w:r>
            <w:r>
              <w:rPr>
                <w:bCs/>
                <w:sz w:val="24"/>
                <w:szCs w:val="24"/>
              </w:rPr>
              <w:t>锅炉》（HJ991-2018）</w:t>
            </w:r>
            <w:r>
              <w:rPr>
                <w:rFonts w:hint="eastAsia"/>
                <w:bCs/>
                <w:sz w:val="24"/>
                <w:szCs w:val="24"/>
              </w:rPr>
              <w:t>附录C</w:t>
            </w:r>
            <w:r>
              <w:rPr>
                <w:bCs/>
                <w:sz w:val="24"/>
                <w:szCs w:val="24"/>
              </w:rPr>
              <w:t>气体</w:t>
            </w:r>
            <w:r>
              <w:rPr>
                <w:rFonts w:hint="eastAsia"/>
                <w:bCs/>
                <w:sz w:val="24"/>
                <w:szCs w:val="24"/>
              </w:rPr>
              <w:t>理论空气量、湿烟气排放量中</w:t>
            </w:r>
            <w:r>
              <w:rPr>
                <w:bCs/>
                <w:sz w:val="24"/>
                <w:szCs w:val="24"/>
              </w:rPr>
              <w:t>经验</w:t>
            </w:r>
            <w:r>
              <w:rPr>
                <w:rFonts w:hint="eastAsia"/>
                <w:bCs/>
                <w:sz w:val="24"/>
                <w:szCs w:val="24"/>
              </w:rPr>
              <w:t>公式，</w:t>
            </w:r>
            <w:r>
              <w:rPr>
                <w:bCs/>
                <w:sz w:val="24"/>
                <w:szCs w:val="24"/>
              </w:rPr>
              <w:t>计算如下：</w:t>
            </w:r>
          </w:p>
          <w:p w14:paraId="69DEBC0B">
            <w:pPr>
              <w:ind w:firstLine="480"/>
              <w:jc w:val="center"/>
            </w:pPr>
            <m:oMath>
              <m:sSub>
                <m:sSubPr>
                  <m:ctrlPr>
                    <w:rPr>
                      <w:rFonts w:ascii="Cambria Math" w:hAnsi="Cambria Math"/>
                      <w:i/>
                    </w:rPr>
                  </m:ctrlPr>
                </m:sSubPr>
                <m:e>
                  <m:r>
                    <m:rPr/>
                    <w:rPr>
                      <w:rFonts w:ascii="Cambria Math" w:hAnsi="Cambria Math"/>
                    </w:rPr>
                    <m:t>Q</m:t>
                  </m:r>
                  <m:ctrlPr>
                    <w:rPr>
                      <w:rFonts w:ascii="Cambria Math" w:hAnsi="Cambria Math"/>
                      <w:i/>
                    </w:rPr>
                  </m:ctrlPr>
                </m:e>
                <m:sub>
                  <m:r>
                    <m:rPr/>
                    <w:rPr>
                      <w:rFonts w:hint="eastAsia" w:ascii="Cambria Math" w:hAnsi="Cambria Math"/>
                    </w:rPr>
                    <m:t>net，ar</m:t>
                  </m:r>
                  <m:ctrlPr>
                    <w:rPr>
                      <w:rFonts w:ascii="Cambria Math" w:hAnsi="Cambria Math"/>
                      <w:i/>
                    </w:rPr>
                  </m:ctrlPr>
                </m:sub>
              </m:sSub>
              <m:r>
                <m:rPr/>
                <w:rPr>
                  <w:rFonts w:ascii="Cambria Math" w:hAnsi="Cambria Math"/>
                </w:rPr>
                <m:t>&lt;10467KJ/</m:t>
              </m:r>
              <m:sSup>
                <m:sSupPr>
                  <m:ctrlPr>
                    <w:rPr>
                      <w:rFonts w:ascii="Cambria Math" w:hAnsi="Cambria Math"/>
                      <w:i/>
                    </w:rPr>
                  </m:ctrlPr>
                </m:sSupPr>
                <m:e>
                  <m:r>
                    <m:rPr/>
                    <w:rPr>
                      <w:rFonts w:hint="eastAsia" w:ascii="Cambria Math" w:hAnsi="Cambria Math"/>
                    </w:rPr>
                    <m:t>m</m:t>
                  </m:r>
                  <m:ctrlPr>
                    <w:rPr>
                      <w:rFonts w:ascii="Cambria Math" w:hAnsi="Cambria Math"/>
                      <w:i/>
                    </w:rPr>
                  </m:ctrlPr>
                </m:e>
                <m:sup>
                  <m:r>
                    <m:rPr/>
                    <w:rPr>
                      <w:rFonts w:ascii="Cambria Math" w:hAnsi="Cambria Math"/>
                    </w:rPr>
                    <m:t>3</m:t>
                  </m:r>
                  <m:ctrlPr>
                    <w:rPr>
                      <w:rFonts w:ascii="Cambria Math" w:hAnsi="Cambria Math"/>
                      <w:i/>
                    </w:rPr>
                  </m:ctrlPr>
                </m:sup>
              </m:sSup>
            </m:oMath>
            <w:r>
              <w:rPr>
                <w:rFonts w:hint="eastAsia"/>
              </w:rPr>
              <w:t>：</w:t>
            </w:r>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0</m:t>
                  </m:r>
                  <m:ctrlPr>
                    <w:rPr>
                      <w:rFonts w:ascii="Cambria Math" w:hAnsi="Cambria Math"/>
                      <w:i/>
                    </w:rPr>
                  </m:ctrlPr>
                </m:sub>
              </m:sSub>
              <m:r>
                <m:rPr/>
                <w:rPr>
                  <w:rFonts w:ascii="Cambria Math" w:hAnsi="Cambria Math"/>
                </w:rPr>
                <m:t>=0.209</m:t>
              </m:r>
              <m:f>
                <m:fPr>
                  <m:ctrlPr>
                    <w:rPr>
                      <w:rFonts w:ascii="Cambria Math" w:hAnsi="Cambria Math"/>
                      <w:i/>
                    </w:rPr>
                  </m:ctrlPr>
                </m:fPr>
                <m:num>
                  <m:sSub>
                    <m:sSubPr>
                      <m:ctrlPr>
                        <w:rPr>
                          <w:rFonts w:ascii="Cambria Math" w:hAnsi="Cambria Math"/>
                          <w:i/>
                        </w:rPr>
                      </m:ctrlPr>
                    </m:sSubPr>
                    <m:e>
                      <m:r>
                        <m:rPr/>
                        <w:rPr>
                          <w:rFonts w:ascii="Cambria Math" w:hAnsi="Cambria Math"/>
                        </w:rPr>
                        <m:t>Q</m:t>
                      </m:r>
                      <m:ctrlPr>
                        <w:rPr>
                          <w:rFonts w:ascii="Cambria Math" w:hAnsi="Cambria Math"/>
                          <w:i/>
                        </w:rPr>
                      </m:ctrlPr>
                    </m:e>
                    <m:sub>
                      <m:r>
                        <m:rPr/>
                        <w:rPr>
                          <w:rFonts w:hint="eastAsia" w:ascii="Cambria Math" w:hAnsi="Cambria Math"/>
                        </w:rPr>
                        <m:t>net，ar</m:t>
                      </m:r>
                      <m:ctrlPr>
                        <w:rPr>
                          <w:rFonts w:ascii="Cambria Math" w:hAnsi="Cambria Math"/>
                          <w:i/>
                        </w:rPr>
                      </m:ctrlPr>
                    </m:sub>
                  </m:sSub>
                  <m:ctrlPr>
                    <w:rPr>
                      <w:rFonts w:ascii="Cambria Math" w:hAnsi="Cambria Math"/>
                      <w:i/>
                    </w:rPr>
                  </m:ctrlPr>
                </m:num>
                <m:den>
                  <m:r>
                    <m:rPr/>
                    <w:rPr>
                      <w:rFonts w:ascii="Cambria Math" w:hAnsi="Cambria Math"/>
                    </w:rPr>
                    <m:t>1000</m:t>
                  </m:r>
                  <m:ctrlPr>
                    <w:rPr>
                      <w:rFonts w:ascii="Cambria Math" w:hAnsi="Cambria Math"/>
                      <w:i/>
                    </w:rPr>
                  </m:ctrlPr>
                </m:den>
              </m:f>
            </m:oMath>
          </w:p>
          <w:p w14:paraId="20E0F25A">
            <w:pPr>
              <w:ind w:firstLine="480"/>
            </w:pPr>
            <m:oMathPara>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hint="eastAsia" w:ascii="Cambria Math" w:hAnsi="Cambria Math"/>
                      </w:rPr>
                      <m:t>s</m:t>
                    </m:r>
                    <m:ctrlPr>
                      <w:rPr>
                        <w:rFonts w:ascii="Cambria Math" w:hAnsi="Cambria Math"/>
                        <w:i/>
                      </w:rPr>
                    </m:ctrlPr>
                  </m:sub>
                </m:sSub>
                <m:r>
                  <m:rPr/>
                  <w:rPr>
                    <w:rFonts w:ascii="Cambria Math" w:hAnsi="Cambria Math"/>
                  </w:rPr>
                  <m:t>=0.173</m:t>
                </m:r>
                <m:f>
                  <m:fPr>
                    <m:ctrlPr>
                      <w:rPr>
                        <w:rFonts w:ascii="Cambria Math" w:hAnsi="Cambria Math"/>
                        <w:i/>
                      </w:rPr>
                    </m:ctrlPr>
                  </m:fPr>
                  <m:num>
                    <m:sSub>
                      <m:sSubPr>
                        <m:ctrlPr>
                          <w:rPr>
                            <w:rFonts w:ascii="Cambria Math" w:hAnsi="Cambria Math"/>
                            <w:i/>
                          </w:rPr>
                        </m:ctrlPr>
                      </m:sSubPr>
                      <m:e>
                        <m:r>
                          <m:rPr/>
                          <w:rPr>
                            <w:rFonts w:ascii="Cambria Math" w:hAnsi="Cambria Math"/>
                          </w:rPr>
                          <m:t>Q</m:t>
                        </m:r>
                        <m:ctrlPr>
                          <w:rPr>
                            <w:rFonts w:ascii="Cambria Math" w:hAnsi="Cambria Math"/>
                            <w:i/>
                          </w:rPr>
                        </m:ctrlPr>
                      </m:e>
                      <m:sub>
                        <m:r>
                          <m:rPr/>
                          <w:rPr>
                            <w:rFonts w:hint="eastAsia" w:ascii="Cambria Math" w:hAnsi="Cambria Math"/>
                          </w:rPr>
                          <m:t>net，ar</m:t>
                        </m:r>
                        <m:ctrlPr>
                          <w:rPr>
                            <w:rFonts w:ascii="Cambria Math" w:hAnsi="Cambria Math"/>
                            <w:i/>
                          </w:rPr>
                        </m:ctrlPr>
                      </m:sub>
                    </m:sSub>
                    <m:ctrlPr>
                      <w:rPr>
                        <w:rFonts w:ascii="Cambria Math" w:hAnsi="Cambria Math"/>
                        <w:i/>
                      </w:rPr>
                    </m:ctrlPr>
                  </m:num>
                  <m:den>
                    <m:r>
                      <m:rPr/>
                      <w:rPr>
                        <w:rFonts w:ascii="Cambria Math" w:hAnsi="Cambria Math"/>
                      </w:rPr>
                      <m:t>1000</m:t>
                    </m:r>
                    <m:ctrlPr>
                      <w:rPr>
                        <w:rFonts w:ascii="Cambria Math" w:hAnsi="Cambria Math"/>
                        <w:i/>
                      </w:rPr>
                    </m:ctrlPr>
                  </m:den>
                </m:f>
                <m:r>
                  <m:rPr/>
                  <w:rPr>
                    <w:rFonts w:ascii="Cambria Math" w:hAnsi="Cambria Math"/>
                  </w:rPr>
                  <m:t>+1.0+1.0161</m:t>
                </m:r>
                <m:d>
                  <m:dPr>
                    <m:ctrlPr>
                      <w:rPr>
                        <w:rFonts w:ascii="Cambria Math" w:hAnsi="Cambria Math"/>
                        <w:i/>
                      </w:rPr>
                    </m:ctrlPr>
                  </m:dPr>
                  <m:e>
                    <m:r>
                      <m:rPr/>
                      <w:rPr>
                        <w:rFonts w:ascii="Cambria Math" w:hAnsi="Cambria Math"/>
                      </w:rPr>
                      <m:t>α−1</m:t>
                    </m:r>
                    <m:ctrlPr>
                      <w:rPr>
                        <w:rFonts w:ascii="Cambria Math" w:hAnsi="Cambria Math"/>
                        <w:i/>
                      </w:rPr>
                    </m:ctrlPr>
                  </m:e>
                </m:d>
                <m:sSub>
                  <m:sSubPr>
                    <m:ctrlPr>
                      <w:rPr>
                        <w:rFonts w:ascii="Cambria Math" w:hAnsi="Cambria Math"/>
                        <w:i/>
                      </w:rPr>
                    </m:ctrlPr>
                  </m:sSubPr>
                  <m:e>
                    <m:r>
                      <m:rPr/>
                      <w:rPr>
                        <w:rFonts w:ascii="Cambria Math" w:hAnsi="Cambria Math"/>
                      </w:rPr>
                      <m:t>V</m:t>
                    </m:r>
                    <m:ctrlPr>
                      <w:rPr>
                        <w:rFonts w:ascii="Cambria Math" w:hAnsi="Cambria Math"/>
                        <w:i/>
                      </w:rPr>
                    </m:ctrlPr>
                  </m:e>
                  <m:sub>
                    <m:r>
                      <m:rPr/>
                      <w:rPr>
                        <w:rFonts w:ascii="Cambria Math" w:hAnsi="Cambria Math"/>
                      </w:rPr>
                      <m:t>0</m:t>
                    </m:r>
                    <m:ctrlPr>
                      <w:rPr>
                        <w:rFonts w:ascii="Cambria Math" w:hAnsi="Cambria Math"/>
                        <w:i/>
                      </w:rPr>
                    </m:ctrlPr>
                  </m:sub>
                </m:sSub>
              </m:oMath>
            </m:oMathPara>
          </w:p>
          <w:p w14:paraId="70BE1FF0">
            <w:pPr>
              <w:ind w:firstLine="480"/>
            </w:pPr>
            <w:r>
              <w:t>其中：V</w:t>
            </w:r>
            <w:r>
              <w:rPr>
                <w:vertAlign w:val="subscript"/>
              </w:rPr>
              <w:t>0</w:t>
            </w:r>
            <w:r>
              <w:t>——理论空气量（</w:t>
            </w:r>
            <w:r>
              <w:rPr>
                <w:rFonts w:hint="eastAsia"/>
              </w:rPr>
              <w:t>m</w:t>
            </w:r>
            <w:r>
              <w:rPr>
                <w:rFonts w:hint="eastAsia"/>
                <w:vertAlign w:val="superscript"/>
              </w:rPr>
              <w:t>3</w:t>
            </w:r>
            <w:r>
              <w:rPr>
                <w:rFonts w:hint="eastAsia"/>
              </w:rPr>
              <w:t>/kg或</w:t>
            </w:r>
            <w:r>
              <w:t>m</w:t>
            </w:r>
            <w:r>
              <w:rPr>
                <w:vertAlign w:val="superscript"/>
              </w:rPr>
              <w:t>3</w:t>
            </w:r>
            <w:r>
              <w:t>/m</w:t>
            </w:r>
            <w:r>
              <w:rPr>
                <w:vertAlign w:val="superscript"/>
              </w:rPr>
              <w:t>3</w:t>
            </w:r>
            <w:r>
              <w:t>）</w:t>
            </w:r>
            <w:r>
              <w:rPr>
                <w:rFonts w:hint="eastAsia"/>
              </w:rPr>
              <w:t>，本项目V</w:t>
            </w:r>
            <w:r>
              <w:rPr>
                <w:rFonts w:hint="eastAsia"/>
                <w:vertAlign w:val="subscript"/>
              </w:rPr>
              <w:t>0</w:t>
            </w:r>
            <w:r>
              <w:rPr>
                <w:rFonts w:hint="eastAsia"/>
              </w:rPr>
              <w:t>=1.19</w:t>
            </w:r>
            <w:r>
              <w:t>m</w:t>
            </w:r>
            <w:r>
              <w:rPr>
                <w:vertAlign w:val="superscript"/>
              </w:rPr>
              <w:t>3</w:t>
            </w:r>
            <w:r>
              <w:t>/m</w:t>
            </w:r>
            <w:r>
              <w:rPr>
                <w:vertAlign w:val="superscript"/>
              </w:rPr>
              <w:t>3</w:t>
            </w:r>
            <w:r>
              <w:rPr>
                <w:rFonts w:hint="eastAsia"/>
              </w:rPr>
              <w:t>；</w:t>
            </w:r>
          </w:p>
          <w:p w14:paraId="48DC31B3">
            <w:pPr>
              <w:pStyle w:val="8"/>
              <w:adjustRightInd w:val="0"/>
              <w:spacing w:before="0" w:after="0" w:line="360" w:lineRule="auto"/>
              <w:ind w:right="0" w:firstLine="960" w:firstLineChars="400"/>
            </w:pPr>
            <w:r>
              <w:rPr>
                <w:bCs/>
                <w:sz w:val="24"/>
                <w:szCs w:val="24"/>
              </w:rPr>
              <w:t>Q</w:t>
            </w:r>
            <w:r>
              <w:rPr>
                <w:bCs/>
                <w:sz w:val="24"/>
                <w:szCs w:val="24"/>
                <w:vertAlign w:val="subscript"/>
              </w:rPr>
              <w:t>net，ar</w:t>
            </w:r>
            <w:r>
              <w:rPr>
                <w:bCs/>
                <w:sz w:val="24"/>
                <w:szCs w:val="24"/>
              </w:rPr>
              <w:t>——</w:t>
            </w:r>
            <w:r>
              <w:rPr>
                <w:rFonts w:hint="eastAsia"/>
                <w:bCs/>
                <w:sz w:val="24"/>
                <w:szCs w:val="24"/>
              </w:rPr>
              <w:t>收到</w:t>
            </w:r>
            <w:r>
              <w:rPr>
                <w:bCs/>
                <w:sz w:val="24"/>
                <w:szCs w:val="24"/>
              </w:rPr>
              <w:t>基低位发热量（</w:t>
            </w:r>
            <w:r>
              <w:rPr>
                <w:rFonts w:hint="eastAsia"/>
                <w:bCs/>
                <w:sz w:val="24"/>
                <w:szCs w:val="24"/>
              </w:rPr>
              <w:t>kJ/kg或kJ</w:t>
            </w:r>
            <w:r>
              <w:rPr>
                <w:bCs/>
                <w:sz w:val="24"/>
                <w:szCs w:val="24"/>
              </w:rPr>
              <w:t>/m</w:t>
            </w:r>
            <w:r>
              <w:rPr>
                <w:bCs/>
                <w:sz w:val="24"/>
                <w:szCs w:val="24"/>
                <w:vertAlign w:val="superscript"/>
              </w:rPr>
              <w:t>3</w:t>
            </w:r>
            <w:r>
              <w:rPr>
                <w:bCs/>
                <w:sz w:val="24"/>
                <w:szCs w:val="24"/>
              </w:rPr>
              <w:t>）</w:t>
            </w:r>
            <w:r>
              <w:rPr>
                <w:rFonts w:hint="eastAsia"/>
                <w:bCs/>
                <w:sz w:val="24"/>
                <w:szCs w:val="24"/>
              </w:rPr>
              <w:t>；</w:t>
            </w:r>
          </w:p>
          <w:p w14:paraId="426B6F14">
            <w:pPr>
              <w:pStyle w:val="8"/>
              <w:adjustRightInd w:val="0"/>
              <w:spacing w:before="0" w:after="0" w:line="360" w:lineRule="auto"/>
              <w:ind w:right="0" w:firstLine="960" w:firstLineChars="400"/>
              <w:rPr>
                <w:bCs/>
                <w:sz w:val="24"/>
                <w:szCs w:val="24"/>
              </w:rPr>
            </w:pPr>
            <w:r>
              <w:rPr>
                <w:bCs/>
                <w:sz w:val="24"/>
                <w:szCs w:val="24"/>
              </w:rPr>
              <w:t>V</w:t>
            </w:r>
            <w:r>
              <w:rPr>
                <w:bCs/>
                <w:sz w:val="24"/>
                <w:szCs w:val="24"/>
                <w:vertAlign w:val="subscript"/>
              </w:rPr>
              <w:t>s</w:t>
            </w:r>
            <w:r>
              <w:rPr>
                <w:bCs/>
                <w:sz w:val="24"/>
                <w:szCs w:val="24"/>
              </w:rPr>
              <w:t>——湿烟气排气量（</w:t>
            </w:r>
            <w:r>
              <w:rPr>
                <w:rFonts w:hint="eastAsia"/>
                <w:bCs/>
                <w:sz w:val="24"/>
                <w:szCs w:val="24"/>
              </w:rPr>
              <w:t>m</w:t>
            </w:r>
            <w:r>
              <w:rPr>
                <w:rFonts w:hint="eastAsia"/>
                <w:bCs/>
                <w:sz w:val="24"/>
                <w:szCs w:val="24"/>
                <w:vertAlign w:val="superscript"/>
              </w:rPr>
              <w:t>3</w:t>
            </w:r>
            <w:r>
              <w:rPr>
                <w:rFonts w:hint="eastAsia"/>
                <w:bCs/>
                <w:sz w:val="24"/>
                <w:szCs w:val="24"/>
              </w:rPr>
              <w:t>/kg或</w:t>
            </w:r>
            <w:r>
              <w:rPr>
                <w:bCs/>
                <w:sz w:val="24"/>
                <w:szCs w:val="24"/>
              </w:rPr>
              <w:t>m</w:t>
            </w:r>
            <w:r>
              <w:rPr>
                <w:bCs/>
                <w:sz w:val="24"/>
                <w:szCs w:val="24"/>
                <w:vertAlign w:val="superscript"/>
              </w:rPr>
              <w:t>3</w:t>
            </w:r>
            <w:r>
              <w:rPr>
                <w:bCs/>
                <w:sz w:val="24"/>
                <w:szCs w:val="24"/>
              </w:rPr>
              <w:t>/m</w:t>
            </w:r>
            <w:r>
              <w:rPr>
                <w:bCs/>
                <w:sz w:val="24"/>
                <w:szCs w:val="24"/>
                <w:vertAlign w:val="superscript"/>
              </w:rPr>
              <w:t>3</w:t>
            </w:r>
            <w:r>
              <w:rPr>
                <w:bCs/>
                <w:sz w:val="24"/>
                <w:szCs w:val="24"/>
              </w:rPr>
              <w:t>）</w:t>
            </w:r>
            <w:r>
              <w:rPr>
                <w:rFonts w:hint="eastAsia"/>
                <w:bCs/>
                <w:sz w:val="24"/>
                <w:szCs w:val="24"/>
              </w:rPr>
              <w:t>；</w:t>
            </w:r>
          </w:p>
          <w:p w14:paraId="2E911DF2">
            <w:pPr>
              <w:pStyle w:val="8"/>
              <w:adjustRightInd w:val="0"/>
              <w:spacing w:before="0" w:after="0" w:line="360" w:lineRule="auto"/>
              <w:ind w:right="0" w:firstLine="960" w:firstLineChars="400"/>
              <w:rPr>
                <w:bCs/>
                <w:sz w:val="24"/>
                <w:szCs w:val="24"/>
              </w:rPr>
            </w:pPr>
            <m:oMath>
              <m:r>
                <m:rPr/>
                <w:rPr>
                  <w:rFonts w:ascii="Cambria Math" w:hAnsi="Cambria Math"/>
                  <w:sz w:val="24"/>
                  <w:szCs w:val="24"/>
                </w:rPr>
                <m:t>α</m:t>
              </m:r>
            </m:oMath>
            <w:r>
              <w:rPr>
                <w:bCs/>
                <w:sz w:val="24"/>
                <w:szCs w:val="24"/>
              </w:rPr>
              <w:t>——过量空气系数</w:t>
            </w:r>
            <w:r>
              <w:rPr>
                <w:rFonts w:hint="eastAsia"/>
                <w:bCs/>
                <w:sz w:val="24"/>
                <w:szCs w:val="24"/>
              </w:rPr>
              <w:t>，</w:t>
            </w:r>
            <w:r>
              <w:rPr>
                <w:bCs/>
                <w:sz w:val="24"/>
                <w:szCs w:val="24"/>
              </w:rPr>
              <w:t>本项目取1.</w:t>
            </w:r>
            <w:r>
              <w:rPr>
                <w:rFonts w:hint="eastAsia"/>
                <w:bCs/>
                <w:sz w:val="24"/>
                <w:szCs w:val="24"/>
              </w:rPr>
              <w:t>2。</w:t>
            </w:r>
          </w:p>
          <w:p w14:paraId="103691ED">
            <w:pPr>
              <w:ind w:firstLine="480"/>
              <w:rPr>
                <w:bCs/>
                <w:szCs w:val="24"/>
              </w:rPr>
            </w:pPr>
            <w:r>
              <w:rPr>
                <w:rFonts w:hint="eastAsia"/>
              </w:rPr>
              <w:t>经计算，Vs=2.23</w:t>
            </w:r>
            <w:r>
              <w:rPr>
                <w:bCs/>
                <w:szCs w:val="24"/>
              </w:rPr>
              <w:t>m</w:t>
            </w:r>
            <w:r>
              <w:rPr>
                <w:bCs/>
                <w:szCs w:val="24"/>
                <w:vertAlign w:val="superscript"/>
              </w:rPr>
              <w:t>3</w:t>
            </w:r>
            <w:r>
              <w:rPr>
                <w:bCs/>
                <w:szCs w:val="24"/>
              </w:rPr>
              <w:t>/m</w:t>
            </w:r>
            <w:r>
              <w:rPr>
                <w:bCs/>
                <w:szCs w:val="24"/>
                <w:vertAlign w:val="superscript"/>
              </w:rPr>
              <w:t>3</w:t>
            </w:r>
            <w:r>
              <w:rPr>
                <w:rFonts w:hint="eastAsia"/>
                <w:bCs/>
                <w:szCs w:val="24"/>
              </w:rPr>
              <w:t>。</w:t>
            </w:r>
          </w:p>
          <w:p w14:paraId="1888EFBE">
            <w:pPr>
              <w:pStyle w:val="8"/>
              <w:adjustRightInd w:val="0"/>
              <w:spacing w:before="0" w:after="0" w:line="360" w:lineRule="auto"/>
              <w:ind w:right="0" w:firstLine="480" w:firstLineChars="200"/>
              <w:rPr>
                <w:sz w:val="24"/>
                <w:szCs w:val="24"/>
              </w:rPr>
            </w:pPr>
            <w:r>
              <w:rPr>
                <w:rFonts w:hint="eastAsia"/>
                <w:sz w:val="24"/>
                <w:szCs w:val="24"/>
              </w:rPr>
              <w:t>本</w:t>
            </w:r>
            <w:r>
              <w:rPr>
                <w:sz w:val="24"/>
                <w:szCs w:val="24"/>
              </w:rPr>
              <w:t>项目生物质气化炉的燃气气体量为</w:t>
            </w:r>
            <w:r>
              <w:rPr>
                <w:rFonts w:hint="eastAsia"/>
                <w:sz w:val="24"/>
                <w:szCs w:val="24"/>
              </w:rPr>
              <w:t>52000</w:t>
            </w:r>
            <w:r>
              <w:rPr>
                <w:sz w:val="24"/>
                <w:szCs w:val="24"/>
              </w:rPr>
              <w:t>万m</w:t>
            </w:r>
            <w:r>
              <w:rPr>
                <w:sz w:val="24"/>
                <w:szCs w:val="24"/>
                <w:vertAlign w:val="superscript"/>
              </w:rPr>
              <w:t>3</w:t>
            </w:r>
            <w:r>
              <w:rPr>
                <w:sz w:val="24"/>
                <w:szCs w:val="24"/>
              </w:rPr>
              <w:t>/a</w:t>
            </w:r>
            <w:r>
              <w:rPr>
                <w:rFonts w:hint="eastAsia"/>
                <w:sz w:val="24"/>
                <w:szCs w:val="24"/>
              </w:rPr>
              <w:t>，则本项目湿烟排放量为115960万m</w:t>
            </w:r>
            <w:r>
              <w:rPr>
                <w:rFonts w:hint="eastAsia"/>
                <w:sz w:val="24"/>
                <w:szCs w:val="24"/>
                <w:vertAlign w:val="superscript"/>
              </w:rPr>
              <w:t>3</w:t>
            </w:r>
            <w:r>
              <w:rPr>
                <w:rFonts w:hint="eastAsia"/>
                <w:sz w:val="24"/>
                <w:szCs w:val="24"/>
              </w:rPr>
              <w:t>/a，14.64万m</w:t>
            </w:r>
            <w:r>
              <w:rPr>
                <w:rFonts w:hint="eastAsia"/>
                <w:sz w:val="24"/>
                <w:szCs w:val="24"/>
                <w:vertAlign w:val="superscript"/>
              </w:rPr>
              <w:t>3</w:t>
            </w:r>
            <w:r>
              <w:rPr>
                <w:rFonts w:hint="eastAsia"/>
                <w:sz w:val="24"/>
                <w:szCs w:val="24"/>
              </w:rPr>
              <w:t>/h。</w:t>
            </w:r>
          </w:p>
          <w:p w14:paraId="5861F9CE">
            <w:pPr>
              <w:pStyle w:val="8"/>
              <w:adjustRightInd w:val="0"/>
              <w:spacing w:before="0" w:after="0" w:line="360" w:lineRule="auto"/>
              <w:ind w:right="0" w:firstLine="480" w:firstLineChars="200"/>
              <w:rPr>
                <w:bCs/>
                <w:sz w:val="24"/>
                <w:szCs w:val="24"/>
              </w:rPr>
            </w:pPr>
            <w:r>
              <w:rPr>
                <w:bCs/>
                <w:sz w:val="24"/>
                <w:szCs w:val="24"/>
              </w:rPr>
              <w:t>根据《污染源源强核算技术指南</w:t>
            </w:r>
            <w:r>
              <w:rPr>
                <w:rFonts w:hint="eastAsia"/>
                <w:bCs/>
                <w:sz w:val="24"/>
                <w:szCs w:val="24"/>
              </w:rPr>
              <w:t xml:space="preserve"> </w:t>
            </w:r>
            <w:r>
              <w:rPr>
                <w:bCs/>
                <w:sz w:val="24"/>
                <w:szCs w:val="24"/>
              </w:rPr>
              <w:t>锅炉》（HJ991-2018）</w:t>
            </w:r>
            <w:r>
              <w:rPr>
                <w:rFonts w:hint="eastAsia"/>
                <w:bCs/>
                <w:sz w:val="24"/>
                <w:szCs w:val="24"/>
              </w:rPr>
              <w:t>附录C干烟气排放量中</w:t>
            </w:r>
            <w:r>
              <w:rPr>
                <w:bCs/>
                <w:sz w:val="24"/>
                <w:szCs w:val="24"/>
              </w:rPr>
              <w:t>经验</w:t>
            </w:r>
            <w:r>
              <w:rPr>
                <w:rFonts w:hint="eastAsia"/>
                <w:bCs/>
                <w:sz w:val="24"/>
                <w:szCs w:val="24"/>
              </w:rPr>
              <w:t>公式，</w:t>
            </w:r>
            <w:r>
              <w:rPr>
                <w:bCs/>
                <w:sz w:val="24"/>
                <w:szCs w:val="24"/>
              </w:rPr>
              <w:t>计算如下：</w:t>
            </w:r>
          </w:p>
          <w:p w14:paraId="41B92D00">
            <w:pPr>
              <w:ind w:firstLine="480"/>
            </w:pPr>
            <m:oMathPara>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hint="eastAsia" w:ascii="Cambria Math" w:hAnsi="Cambria Math"/>
                      </w:rPr>
                      <m:t>g</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V</m:t>
                    </m:r>
                    <m:ctrlPr>
                      <w:rPr>
                        <w:rFonts w:ascii="Cambria Math" w:hAnsi="Cambria Math"/>
                        <w:i/>
                      </w:rPr>
                    </m:ctrlPr>
                  </m:e>
                  <m:sub>
                    <m:r>
                      <m:rPr/>
                      <w:rPr>
                        <w:rFonts w:hint="eastAsia" w:ascii="Cambria Math" w:hAnsi="Cambria Math"/>
                      </w:rPr>
                      <m:t>s</m:t>
                    </m:r>
                    <m:ctrlPr>
                      <w:rPr>
                        <w:rFonts w:ascii="Cambria Math" w:hAnsi="Cambria Math"/>
                        <w:i/>
                      </w:rPr>
                    </m:ctrlPr>
                  </m:sub>
                </m:sSub>
                <m:r>
                  <m:rPr/>
                  <w:rPr>
                    <w:rFonts w:ascii="Cambria Math" w:hAnsi="Cambria Math"/>
                  </w:rPr>
                  <m:t>×</m:t>
                </m:r>
                <m:d>
                  <m:dPr>
                    <m:ctrlPr>
                      <w:rPr>
                        <w:rFonts w:ascii="Cambria Math" w:hAnsi="Cambria Math"/>
                        <w:i/>
                      </w:rPr>
                    </m:ctrlPr>
                  </m:dPr>
                  <m:e>
                    <m:r>
                      <m:rPr/>
                      <w:rPr>
                        <w:rFonts w:ascii="Cambria Math" w:hAnsi="Cambria Math"/>
                      </w:rPr>
                      <m:t>1−</m:t>
                    </m:r>
                    <m:f>
                      <m:fPr>
                        <m:ctrlPr>
                          <w:rPr>
                            <w:rFonts w:ascii="Cambria Math" w:hAnsi="Cambria Math"/>
                            <w:i/>
                          </w:rPr>
                        </m:ctrlPr>
                      </m:fPr>
                      <m:num>
                        <m:sSub>
                          <m:sSubPr>
                            <m:ctrlPr>
                              <w:rPr>
                                <w:rFonts w:ascii="Cambria Math" w:hAnsi="Cambria Math"/>
                                <w:i/>
                              </w:rPr>
                            </m:ctrlPr>
                          </m:sSubPr>
                          <m:e>
                            <m:r>
                              <m:rPr/>
                              <w:rPr>
                                <w:rFonts w:ascii="Cambria Math" w:hAnsi="Cambria Math"/>
                              </w:rPr>
                              <m:t>X</m:t>
                            </m:r>
                            <m:ctrlPr>
                              <w:rPr>
                                <w:rFonts w:ascii="Cambria Math" w:hAnsi="Cambria Math"/>
                                <w:i/>
                              </w:rPr>
                            </m:ctrlPr>
                          </m:e>
                          <m:sub>
                            <m:sSub>
                              <m:sSubPr>
                                <m:ctrlPr>
                                  <w:rPr>
                                    <w:rFonts w:ascii="Cambria Math" w:hAnsi="Cambria Math"/>
                                    <w:i/>
                                  </w:rPr>
                                </m:ctrlPr>
                              </m:sSubPr>
                              <m:e>
                                <m:r>
                                  <m:rPr/>
                                  <w:rPr>
                                    <w:rFonts w:ascii="Cambria Math" w:hAnsi="Cambria Math"/>
                                  </w:rPr>
                                  <m:t>H</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O</m:t>
                            </m:r>
                            <m:ctrlPr>
                              <w:rPr>
                                <w:rFonts w:ascii="Cambria Math" w:hAnsi="Cambria Math"/>
                                <w:i/>
                              </w:rPr>
                            </m:ctrlPr>
                          </m:sub>
                        </m:sSub>
                        <m:ctrlPr>
                          <w:rPr>
                            <w:rFonts w:ascii="Cambria Math" w:hAnsi="Cambria Math"/>
                            <w:i/>
                          </w:rPr>
                        </m:ctrlPr>
                      </m:num>
                      <m:den>
                        <m:r>
                          <m:rPr/>
                          <w:rPr>
                            <w:rFonts w:ascii="Cambria Math" w:hAnsi="Cambria Math"/>
                          </w:rPr>
                          <m:t>100</m:t>
                        </m:r>
                        <m:ctrlPr>
                          <w:rPr>
                            <w:rFonts w:ascii="Cambria Math" w:hAnsi="Cambria Math"/>
                            <w:i/>
                          </w:rPr>
                        </m:ctrlPr>
                      </m:den>
                    </m:f>
                    <m:ctrlPr>
                      <w:rPr>
                        <w:rFonts w:ascii="Cambria Math" w:hAnsi="Cambria Math"/>
                        <w:i/>
                      </w:rPr>
                    </m:ctrlPr>
                  </m:e>
                </m:d>
              </m:oMath>
            </m:oMathPara>
          </w:p>
          <w:p w14:paraId="780038AE">
            <w:pPr>
              <w:ind w:firstLine="480"/>
              <w:rPr>
                <w:bCs/>
                <w:szCs w:val="24"/>
              </w:rPr>
            </w:pPr>
            <w:r>
              <w:rPr>
                <w:rFonts w:hint="eastAsia"/>
                <w:bCs/>
                <w:szCs w:val="24"/>
              </w:rPr>
              <w:t>式中，</w:t>
            </w:r>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hint="eastAsia" w:ascii="Cambria Math" w:hAnsi="Cambria Math"/>
                    </w:rPr>
                    <m:t>g</m:t>
                  </m:r>
                  <m:ctrlPr>
                    <w:rPr>
                      <w:rFonts w:ascii="Cambria Math" w:hAnsi="Cambria Math"/>
                      <w:i/>
                    </w:rPr>
                  </m:ctrlPr>
                </m:sub>
              </m:sSub>
            </m:oMath>
            <w:r>
              <w:rPr>
                <w:bCs/>
                <w:szCs w:val="24"/>
              </w:rPr>
              <w:t>——</w:t>
            </w:r>
            <w:r>
              <w:rPr>
                <w:rFonts w:hint="eastAsia"/>
                <w:bCs/>
                <w:szCs w:val="24"/>
              </w:rPr>
              <w:t>每台锅炉干烟气排放量，m</w:t>
            </w:r>
            <w:r>
              <w:rPr>
                <w:rFonts w:hint="eastAsia"/>
                <w:bCs/>
                <w:szCs w:val="24"/>
                <w:vertAlign w:val="superscript"/>
              </w:rPr>
              <w:t>3</w:t>
            </w:r>
            <w:r>
              <w:rPr>
                <w:rFonts w:hint="eastAsia"/>
                <w:bCs/>
                <w:szCs w:val="24"/>
              </w:rPr>
              <w:t>/h；</w:t>
            </w:r>
          </w:p>
          <w:p w14:paraId="3B8B69B1">
            <w:pPr>
              <w:ind w:firstLine="1200" w:firstLineChars="500"/>
              <w:rPr>
                <w:bCs/>
                <w:szCs w:val="24"/>
              </w:rPr>
            </w:pPr>
            <m:oMath>
              <m:sSub>
                <m:sSubPr>
                  <m:ctrlPr>
                    <w:rPr>
                      <w:rFonts w:ascii="Cambria Math" w:hAnsi="Cambria Math"/>
                      <w:i/>
                    </w:rPr>
                  </m:ctrlPr>
                </m:sSubPr>
                <m:e>
                  <m:r>
                    <m:rPr/>
                    <w:rPr>
                      <w:rFonts w:ascii="Cambria Math" w:hAnsi="Cambria Math"/>
                    </w:rPr>
                    <m:t>V</m:t>
                  </m:r>
                  <m:ctrlPr>
                    <w:rPr>
                      <w:rFonts w:ascii="Cambria Math" w:hAnsi="Cambria Math"/>
                      <w:i/>
                    </w:rPr>
                  </m:ctrlPr>
                </m:e>
                <m:sub>
                  <m:r>
                    <m:rPr/>
                    <w:rPr>
                      <w:rFonts w:hint="eastAsia" w:ascii="Cambria Math" w:hAnsi="Cambria Math"/>
                    </w:rPr>
                    <m:t>s</m:t>
                  </m:r>
                  <m:ctrlPr>
                    <w:rPr>
                      <w:rFonts w:ascii="Cambria Math" w:hAnsi="Cambria Math"/>
                      <w:i/>
                    </w:rPr>
                  </m:ctrlPr>
                </m:sub>
              </m:sSub>
            </m:oMath>
            <w:r>
              <w:rPr>
                <w:bCs/>
                <w:szCs w:val="24"/>
              </w:rPr>
              <w:t>——</w:t>
            </w:r>
            <w:r>
              <w:rPr>
                <w:rFonts w:hint="eastAsia"/>
                <w:bCs/>
                <w:szCs w:val="24"/>
              </w:rPr>
              <w:t>每台锅炉湿烟气排放量，m</w:t>
            </w:r>
            <w:r>
              <w:rPr>
                <w:rFonts w:hint="eastAsia"/>
                <w:bCs/>
                <w:szCs w:val="24"/>
                <w:vertAlign w:val="superscript"/>
              </w:rPr>
              <w:t>3</w:t>
            </w:r>
            <w:r>
              <w:rPr>
                <w:rFonts w:hint="eastAsia"/>
                <w:bCs/>
                <w:szCs w:val="24"/>
              </w:rPr>
              <w:t>/h（根据前文计算，锅炉湿烟气排放量为</w:t>
            </w:r>
            <w:r>
              <w:rPr>
                <w:rFonts w:hint="eastAsia"/>
                <w:szCs w:val="24"/>
              </w:rPr>
              <w:t>14.64万m</w:t>
            </w:r>
            <w:r>
              <w:rPr>
                <w:rFonts w:hint="eastAsia"/>
                <w:szCs w:val="24"/>
                <w:vertAlign w:val="superscript"/>
              </w:rPr>
              <w:t>3</w:t>
            </w:r>
            <w:r>
              <w:rPr>
                <w:rFonts w:hint="eastAsia"/>
                <w:szCs w:val="24"/>
              </w:rPr>
              <w:t>/h</w:t>
            </w:r>
            <w:r>
              <w:rPr>
                <w:rFonts w:hint="eastAsia"/>
                <w:bCs/>
                <w:szCs w:val="24"/>
              </w:rPr>
              <w:t>）；</w:t>
            </w:r>
          </w:p>
          <w:p w14:paraId="6E627627">
            <w:pPr>
              <w:ind w:firstLine="1200" w:firstLineChars="500"/>
              <w:rPr>
                <w:bCs/>
                <w:szCs w:val="24"/>
              </w:rPr>
            </w:pPr>
            <m:oMath>
              <m:sSub>
                <m:sSubPr>
                  <m:ctrlPr>
                    <w:rPr>
                      <w:rFonts w:ascii="Cambria Math" w:hAnsi="Cambria Math"/>
                      <w:i/>
                    </w:rPr>
                  </m:ctrlPr>
                </m:sSubPr>
                <m:e>
                  <m:r>
                    <m:rPr/>
                    <w:rPr>
                      <w:rFonts w:ascii="Cambria Math" w:hAnsi="Cambria Math"/>
                    </w:rPr>
                    <m:t>X</m:t>
                  </m:r>
                  <m:ctrlPr>
                    <w:rPr>
                      <w:rFonts w:ascii="Cambria Math" w:hAnsi="Cambria Math"/>
                      <w:i/>
                    </w:rPr>
                  </m:ctrlPr>
                </m:e>
                <m:sub>
                  <m:sSub>
                    <m:sSubPr>
                      <m:ctrlPr>
                        <w:rPr>
                          <w:rFonts w:ascii="Cambria Math" w:hAnsi="Cambria Math"/>
                          <w:i/>
                        </w:rPr>
                      </m:ctrlPr>
                    </m:sSubPr>
                    <m:e>
                      <m:r>
                        <m:rPr/>
                        <w:rPr>
                          <w:rFonts w:ascii="Cambria Math" w:hAnsi="Cambria Math"/>
                        </w:rPr>
                        <m:t>H</m:t>
                      </m:r>
                      <m:ctrlPr>
                        <w:rPr>
                          <w:rFonts w:ascii="Cambria Math" w:hAnsi="Cambria Math"/>
                          <w:i/>
                        </w:rPr>
                      </m:ctrlPr>
                    </m:e>
                    <m:sub>
                      <m:r>
                        <m:rPr/>
                        <w:rPr>
                          <w:rFonts w:ascii="Cambria Math" w:hAnsi="Cambria Math"/>
                        </w:rPr>
                        <m:t>2</m:t>
                      </m:r>
                      <m:ctrlPr>
                        <w:rPr>
                          <w:rFonts w:ascii="Cambria Math" w:hAnsi="Cambria Math"/>
                          <w:i/>
                        </w:rPr>
                      </m:ctrlPr>
                    </m:sub>
                  </m:sSub>
                  <m:r>
                    <m:rPr/>
                    <w:rPr>
                      <w:rFonts w:ascii="Cambria Math" w:hAnsi="Cambria Math"/>
                    </w:rPr>
                    <m:t>O</m:t>
                  </m:r>
                  <m:ctrlPr>
                    <w:rPr>
                      <w:rFonts w:ascii="Cambria Math" w:hAnsi="Cambria Math"/>
                      <w:i/>
                    </w:rPr>
                  </m:ctrlPr>
                </m:sub>
              </m:sSub>
            </m:oMath>
            <w:r>
              <w:rPr>
                <w:bCs/>
                <w:szCs w:val="24"/>
              </w:rPr>
              <w:t>——</w:t>
            </w:r>
            <w:r>
              <w:rPr>
                <w:rFonts w:hint="eastAsia"/>
                <w:bCs/>
                <w:szCs w:val="24"/>
              </w:rPr>
              <w:t>烟气含湿量，%（根据同类型企业检测数据（见附件），生物质气化气的湿度为50.9%）。</w:t>
            </w:r>
          </w:p>
          <w:p w14:paraId="525BA19D">
            <w:pPr>
              <w:ind w:firstLine="480"/>
              <w:rPr>
                <w:bCs/>
                <w:szCs w:val="24"/>
              </w:rPr>
            </w:pPr>
            <w:r>
              <w:rPr>
                <w:rFonts w:hint="eastAsia"/>
                <w:bCs/>
                <w:szCs w:val="24"/>
              </w:rPr>
              <w:t>经计算，生物质燃气锅炉</w:t>
            </w:r>
            <w:r>
              <w:rPr>
                <w:bCs/>
                <w:szCs w:val="24"/>
              </w:rPr>
              <w:t>的</w:t>
            </w:r>
            <w:r>
              <w:rPr>
                <w:rFonts w:hint="eastAsia"/>
                <w:bCs/>
                <w:szCs w:val="24"/>
              </w:rPr>
              <w:t>干烟气量</w:t>
            </w:r>
            <w:r>
              <w:rPr>
                <w:bCs/>
                <w:szCs w:val="24"/>
              </w:rPr>
              <w:t>为</w:t>
            </w:r>
            <w:r>
              <w:rPr>
                <w:rFonts w:hint="eastAsia"/>
                <w:bCs/>
                <w:szCs w:val="24"/>
              </w:rPr>
              <w:t>Vg=7.19万</w:t>
            </w:r>
            <w:r>
              <w:rPr>
                <w:bCs/>
                <w:szCs w:val="24"/>
              </w:rPr>
              <w:t>m</w:t>
            </w:r>
            <w:r>
              <w:rPr>
                <w:bCs/>
                <w:szCs w:val="24"/>
                <w:vertAlign w:val="superscript"/>
              </w:rPr>
              <w:t>3</w:t>
            </w:r>
            <w:r>
              <w:rPr>
                <w:bCs/>
                <w:szCs w:val="24"/>
              </w:rPr>
              <w:t>/</w:t>
            </w:r>
            <w:r>
              <w:rPr>
                <w:rFonts w:hint="eastAsia"/>
                <w:bCs/>
                <w:szCs w:val="24"/>
              </w:rPr>
              <w:t>h。</w:t>
            </w:r>
          </w:p>
          <w:p w14:paraId="2053F029">
            <w:pPr>
              <w:pStyle w:val="81"/>
              <w:kinsoku w:val="0"/>
              <w:overflowPunct w:val="0"/>
              <w:ind w:firstLine="482"/>
              <w:rPr>
                <w:rFonts w:ascii="Times New Roman" w:hAnsi="Times New Roman"/>
                <w:b/>
                <w:sz w:val="24"/>
                <w:szCs w:val="24"/>
                <w:lang w:eastAsia="zh-CN"/>
              </w:rPr>
            </w:pPr>
            <w:r>
              <w:rPr>
                <w:rFonts w:ascii="Times New Roman" w:hAnsi="Times New Roman"/>
                <w:b/>
                <w:sz w:val="24"/>
                <w:szCs w:val="24"/>
                <w:lang w:eastAsia="zh-CN"/>
              </w:rPr>
              <w:t>氮氧化物：</w:t>
            </w:r>
          </w:p>
          <w:p w14:paraId="4F310C7E">
            <w:pPr>
              <w:ind w:firstLine="480"/>
              <w:rPr>
                <w:bCs/>
                <w:szCs w:val="24"/>
              </w:rPr>
            </w:pPr>
            <w:r>
              <w:rPr>
                <w:bCs/>
                <w:szCs w:val="24"/>
              </w:rPr>
              <w:t>根据《污染源源强核算技术指南</w:t>
            </w:r>
            <w:r>
              <w:rPr>
                <w:rFonts w:hint="eastAsia"/>
                <w:bCs/>
                <w:szCs w:val="24"/>
              </w:rPr>
              <w:t xml:space="preserve"> </w:t>
            </w:r>
            <w:r>
              <w:rPr>
                <w:bCs/>
                <w:szCs w:val="24"/>
              </w:rPr>
              <w:t>锅炉》（HJ991-2018）</w:t>
            </w:r>
            <w:r>
              <w:rPr>
                <w:rFonts w:hint="eastAsia"/>
                <w:bCs/>
                <w:szCs w:val="24"/>
              </w:rPr>
              <w:t>，氮氧化物排放量采用锅炉生产商提供的氮氧化物控制保证浓度值或类比同类锅炉氮氧化物浓度值按以下公式计算。</w:t>
            </w:r>
          </w:p>
          <w:p w14:paraId="27B90F13">
            <w:pPr>
              <w:ind w:firstLine="480"/>
              <w:jc w:val="center"/>
            </w:pPr>
            <m:oMath>
              <m:sSub>
                <m:sSubPr>
                  <m:ctrlPr>
                    <w:rPr>
                      <w:rFonts w:ascii="Cambria Math" w:hAnsi="Cambria Math"/>
                      <w:i/>
                    </w:rPr>
                  </m:ctrlPr>
                </m:sSubPr>
                <m:e>
                  <m:r>
                    <m:rPr/>
                    <w:rPr>
                      <w:rFonts w:ascii="Cambria Math" w:hAnsi="Cambria Math"/>
                    </w:rPr>
                    <m:t>E</m:t>
                  </m:r>
                  <m:ctrlPr>
                    <w:rPr>
                      <w:rFonts w:ascii="Cambria Math" w:hAnsi="Cambria Math"/>
                      <w:i/>
                    </w:rPr>
                  </m:ctrlPr>
                </m:e>
                <m:sub>
                  <m:sSub>
                    <m:sSubPr>
                      <m:ctrlPr>
                        <w:rPr>
                          <w:rFonts w:ascii="Cambria Math" w:hAnsi="Cambria Math"/>
                          <w:i/>
                        </w:rPr>
                      </m:ctrlPr>
                    </m:sSubPr>
                    <m:e>
                      <m:r>
                        <m:rPr/>
                        <w:rPr>
                          <w:rFonts w:ascii="Cambria Math" w:hAnsi="Cambria Math"/>
                        </w:rPr>
                        <m:t>NO</m:t>
                      </m:r>
                      <m:ctrlPr>
                        <w:rPr>
                          <w:rFonts w:ascii="Cambria Math" w:hAnsi="Cambria Math"/>
                          <w:i/>
                        </w:rPr>
                      </m:ctrlPr>
                    </m:e>
                    <m:sub>
                      <m:r>
                        <m:rPr/>
                        <w:rPr>
                          <w:rFonts w:hint="eastAsia" w:ascii="Cambria Math" w:hAnsi="Cambria Math"/>
                        </w:rPr>
                        <m:t>x</m:t>
                      </m:r>
                      <m:ctrlPr>
                        <w:rPr>
                          <w:rFonts w:ascii="Cambria Math" w:hAnsi="Cambria Math"/>
                          <w:i/>
                        </w:rPr>
                      </m:ctrlPr>
                    </m:sub>
                  </m:sSub>
                  <m:ctrlPr>
                    <w:rPr>
                      <w:rFonts w:ascii="Cambria Math" w:hAnsi="Cambria Math"/>
                      <w:i/>
                    </w:rPr>
                  </m:ctrlPr>
                </m:sub>
              </m:sSub>
            </m:oMath>
            <w:r>
              <w:rPr>
                <w:rFonts w:hint="eastAsia"/>
              </w:rPr>
              <w:t>=</w:t>
            </w:r>
            <m:oMath>
              <m:sSub>
                <m:sSubPr>
                  <m:ctrlPr>
                    <w:rPr>
                      <w:rFonts w:ascii="Cambria Math" w:hAnsi="Cambria Math"/>
                      <w:i/>
                    </w:rPr>
                  </m:ctrlPr>
                </m:sSubPr>
                <m:e>
                  <m:r>
                    <m:rPr/>
                    <w:rPr>
                      <w:rFonts w:ascii="Cambria Math" w:hAnsi="Cambria Math"/>
                    </w:rPr>
                    <m:t>ρ</m:t>
                  </m:r>
                  <m:ctrlPr>
                    <w:rPr>
                      <w:rFonts w:ascii="Cambria Math" w:hAnsi="Cambria Math"/>
                      <w:i/>
                    </w:rPr>
                  </m:ctrlPr>
                </m:e>
                <m:sub>
                  <m:sSub>
                    <m:sSubPr>
                      <m:ctrlPr>
                        <w:rPr>
                          <w:rFonts w:ascii="Cambria Math" w:hAnsi="Cambria Math"/>
                          <w:i/>
                        </w:rPr>
                      </m:ctrlPr>
                    </m:sSubPr>
                    <m:e>
                      <m:r>
                        <m:rPr/>
                        <w:rPr>
                          <w:rFonts w:ascii="Cambria Math" w:hAnsi="Cambria Math"/>
                        </w:rPr>
                        <m:t>NO</m:t>
                      </m:r>
                      <m:ctrlPr>
                        <w:rPr>
                          <w:rFonts w:ascii="Cambria Math" w:hAnsi="Cambria Math"/>
                          <w:i/>
                        </w:rPr>
                      </m:ctrlPr>
                    </m:e>
                    <m:sub>
                      <m:r>
                        <m:rPr/>
                        <w:rPr>
                          <w:rFonts w:hint="eastAsia" w:ascii="Cambria Math" w:hAnsi="Cambria Math"/>
                        </w:rPr>
                        <m:t>x</m:t>
                      </m:r>
                      <m:ctrlPr>
                        <w:rPr>
                          <w:rFonts w:ascii="Cambria Math" w:hAnsi="Cambria Math"/>
                          <w:i/>
                        </w:rPr>
                      </m:ctrlPr>
                    </m:sub>
                  </m:sSub>
                  <m:ctrlPr>
                    <w:rPr>
                      <w:rFonts w:ascii="Cambria Math" w:hAnsi="Cambria Math"/>
                      <w:i/>
                    </w:rPr>
                  </m:ctrlPr>
                </m:sub>
              </m:sSub>
              <m:r>
                <m:rPr/>
                <w:rPr>
                  <w:rFonts w:ascii="Cambria Math" w:hAnsi="Cambria Math"/>
                </w:rPr>
                <m:t>×Q×</m:t>
              </m:r>
              <m:d>
                <m:dPr>
                  <m:ctrlPr>
                    <w:rPr>
                      <w:rFonts w:ascii="Cambria Math" w:hAnsi="Cambria Math"/>
                      <w:i/>
                    </w:rPr>
                  </m:ctrlPr>
                </m:dPr>
                <m:e>
                  <m:r>
                    <m:rPr/>
                    <w:rPr>
                      <w:rFonts w:ascii="Cambria Math" w:hAnsi="Cambria Math"/>
                    </w:rPr>
                    <m:t>1−</m:t>
                  </m:r>
                  <m:f>
                    <m:fPr>
                      <m:ctrlPr>
                        <w:rPr>
                          <w:rFonts w:ascii="Cambria Math" w:hAnsi="Cambria Math"/>
                          <w:i/>
                        </w:rPr>
                      </m:ctrlPr>
                    </m:fPr>
                    <m:num>
                      <m:sSub>
                        <m:sSubPr>
                          <m:ctrlPr>
                            <w:rPr>
                              <w:rFonts w:ascii="Cambria Math" w:hAnsi="Cambria Math"/>
                              <w:i/>
                            </w:rPr>
                          </m:ctrlPr>
                        </m:sSubPr>
                        <m:e>
                          <m:r>
                            <m:rPr/>
                            <w:rPr>
                              <w:rFonts w:ascii="Cambria Math" w:hAnsi="Cambria Math"/>
                            </w:rPr>
                            <m:t>η</m:t>
                          </m:r>
                          <m:ctrlPr>
                            <w:rPr>
                              <w:rFonts w:ascii="Cambria Math" w:hAnsi="Cambria Math"/>
                              <w:i/>
                            </w:rPr>
                          </m:ctrlPr>
                        </m:e>
                        <m:sub>
                          <m:sSub>
                            <m:sSubPr>
                              <m:ctrlPr>
                                <w:rPr>
                                  <w:rFonts w:ascii="Cambria Math" w:hAnsi="Cambria Math"/>
                                  <w:i/>
                                </w:rPr>
                              </m:ctrlPr>
                            </m:sSubPr>
                            <m:e>
                              <m:r>
                                <m:rPr/>
                                <w:rPr>
                                  <w:rFonts w:ascii="Cambria Math" w:hAnsi="Cambria Math"/>
                                </w:rPr>
                                <m:t>NO</m:t>
                              </m:r>
                              <m:ctrlPr>
                                <w:rPr>
                                  <w:rFonts w:ascii="Cambria Math" w:hAnsi="Cambria Math"/>
                                  <w:i/>
                                </w:rPr>
                              </m:ctrlPr>
                            </m:e>
                            <m:sub>
                              <m:r>
                                <m:rPr/>
                                <w:rPr>
                                  <w:rFonts w:hint="eastAsia" w:ascii="Cambria Math" w:hAnsi="Cambria Math"/>
                                </w:rPr>
                                <m:t>x</m:t>
                              </m:r>
                              <m:ctrlPr>
                                <w:rPr>
                                  <w:rFonts w:ascii="Cambria Math" w:hAnsi="Cambria Math"/>
                                  <w:i/>
                                </w:rPr>
                              </m:ctrlPr>
                            </m:sub>
                          </m:sSub>
                          <m:ctrlPr>
                            <w:rPr>
                              <w:rFonts w:ascii="Cambria Math" w:hAnsi="Cambria Math"/>
                              <w:i/>
                            </w:rPr>
                          </m:ctrlPr>
                        </m:sub>
                      </m:sSub>
                      <m:ctrlPr>
                        <w:rPr>
                          <w:rFonts w:ascii="Cambria Math" w:hAnsi="Cambria Math"/>
                          <w:i/>
                        </w:rPr>
                      </m:ctrlPr>
                    </m:num>
                    <m:den>
                      <m:r>
                        <m:rPr/>
                        <w:rPr>
                          <w:rFonts w:ascii="Cambria Math" w:hAnsi="Cambria Math"/>
                        </w:rPr>
                        <m:t>100</m:t>
                      </m:r>
                      <m:ctrlPr>
                        <w:rPr>
                          <w:rFonts w:ascii="Cambria Math" w:hAnsi="Cambria Math"/>
                          <w:i/>
                        </w:rPr>
                      </m:ctrlPr>
                    </m:den>
                  </m:f>
                  <m:ctrlPr>
                    <w:rPr>
                      <w:rFonts w:ascii="Cambria Math" w:hAnsi="Cambria Math"/>
                      <w:i/>
                    </w:rPr>
                  </m:ctrlPr>
                </m:e>
              </m:d>
              <m:r>
                <m:rPr/>
                <w:rPr>
                  <w:rFonts w:ascii="Cambria Math" w:hAnsi="Cambria Math"/>
                </w:rPr>
                <m:t>×</m:t>
              </m:r>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−9</m:t>
                  </m:r>
                  <m:ctrlPr>
                    <w:rPr>
                      <w:rFonts w:ascii="Cambria Math" w:hAnsi="Cambria Math"/>
                      <w:i/>
                    </w:rPr>
                  </m:ctrlPr>
                </m:sup>
              </m:sSup>
            </m:oMath>
          </w:p>
          <w:p w14:paraId="01840274">
            <w:pPr>
              <w:ind w:firstLine="480"/>
            </w:pPr>
            <w:r>
              <w:rPr>
                <w:rFonts w:hint="eastAsia"/>
              </w:rPr>
              <w:t>式中：</w:t>
            </w:r>
            <m:oMath>
              <m:sSub>
                <m:sSubPr>
                  <m:ctrlPr>
                    <w:rPr>
                      <w:rFonts w:ascii="Cambria Math" w:hAnsi="Cambria Math"/>
                      <w:i/>
                    </w:rPr>
                  </m:ctrlPr>
                </m:sSubPr>
                <m:e>
                  <m:r>
                    <m:rPr/>
                    <w:rPr>
                      <w:rFonts w:ascii="Cambria Math" w:hAnsi="Cambria Math"/>
                    </w:rPr>
                    <m:t>E</m:t>
                  </m:r>
                  <m:ctrlPr>
                    <w:rPr>
                      <w:rFonts w:ascii="Cambria Math" w:hAnsi="Cambria Math"/>
                      <w:i/>
                    </w:rPr>
                  </m:ctrlPr>
                </m:e>
                <m:sub>
                  <m:sSub>
                    <m:sSubPr>
                      <m:ctrlPr>
                        <w:rPr>
                          <w:rFonts w:ascii="Cambria Math" w:hAnsi="Cambria Math"/>
                          <w:i/>
                        </w:rPr>
                      </m:ctrlPr>
                    </m:sSubPr>
                    <m:e>
                      <m:r>
                        <m:rPr/>
                        <w:rPr>
                          <w:rFonts w:ascii="Cambria Math" w:hAnsi="Cambria Math"/>
                        </w:rPr>
                        <m:t>NO</m:t>
                      </m:r>
                      <m:ctrlPr>
                        <w:rPr>
                          <w:rFonts w:ascii="Cambria Math" w:hAnsi="Cambria Math"/>
                          <w:i/>
                        </w:rPr>
                      </m:ctrlPr>
                    </m:e>
                    <m:sub>
                      <m:r>
                        <m:rPr/>
                        <w:rPr>
                          <w:rFonts w:hint="eastAsia" w:ascii="Cambria Math" w:hAnsi="Cambria Math"/>
                        </w:rPr>
                        <m:t>x</m:t>
                      </m:r>
                      <m:ctrlPr>
                        <w:rPr>
                          <w:rFonts w:ascii="Cambria Math" w:hAnsi="Cambria Math"/>
                          <w:i/>
                        </w:rPr>
                      </m:ctrlPr>
                    </m:sub>
                  </m:sSub>
                  <m:ctrlPr>
                    <w:rPr>
                      <w:rFonts w:ascii="Cambria Math" w:hAnsi="Cambria Math"/>
                      <w:i/>
                    </w:rPr>
                  </m:ctrlPr>
                </m:sub>
              </m:sSub>
            </m:oMath>
            <w:r>
              <w:rPr>
                <w:bCs/>
                <w:szCs w:val="24"/>
              </w:rPr>
              <w:t>——</w:t>
            </w:r>
            <w:r>
              <w:rPr>
                <w:rFonts w:hint="eastAsia"/>
              </w:rPr>
              <w:t>核算时段内氮氧化物排放量，t；</w:t>
            </w:r>
          </w:p>
          <w:p w14:paraId="405ED89C">
            <w:pPr>
              <w:ind w:firstLine="1200" w:firstLineChars="500"/>
            </w:pPr>
            <m:oMath>
              <m:sSub>
                <m:sSubPr>
                  <m:ctrlPr>
                    <w:rPr>
                      <w:rFonts w:ascii="Cambria Math" w:hAnsi="Cambria Math"/>
                      <w:i/>
                    </w:rPr>
                  </m:ctrlPr>
                </m:sSubPr>
                <m:e>
                  <m:r>
                    <m:rPr/>
                    <w:rPr>
                      <w:rFonts w:ascii="Cambria Math" w:hAnsi="Cambria Math"/>
                    </w:rPr>
                    <m:t>ρ</m:t>
                  </m:r>
                  <m:ctrlPr>
                    <w:rPr>
                      <w:rFonts w:ascii="Cambria Math" w:hAnsi="Cambria Math"/>
                      <w:i/>
                    </w:rPr>
                  </m:ctrlPr>
                </m:e>
                <m:sub>
                  <m:sSub>
                    <m:sSubPr>
                      <m:ctrlPr>
                        <w:rPr>
                          <w:rFonts w:ascii="Cambria Math" w:hAnsi="Cambria Math"/>
                          <w:i/>
                        </w:rPr>
                      </m:ctrlPr>
                    </m:sSubPr>
                    <m:e>
                      <m:r>
                        <m:rPr/>
                        <w:rPr>
                          <w:rFonts w:ascii="Cambria Math" w:hAnsi="Cambria Math"/>
                        </w:rPr>
                        <m:t>NO</m:t>
                      </m:r>
                      <m:ctrlPr>
                        <w:rPr>
                          <w:rFonts w:ascii="Cambria Math" w:hAnsi="Cambria Math"/>
                          <w:i/>
                        </w:rPr>
                      </m:ctrlPr>
                    </m:e>
                    <m:sub>
                      <m:r>
                        <m:rPr/>
                        <w:rPr>
                          <w:rFonts w:hint="eastAsia" w:ascii="Cambria Math" w:hAnsi="Cambria Math"/>
                        </w:rPr>
                        <m:t>x</m:t>
                      </m:r>
                      <m:ctrlPr>
                        <w:rPr>
                          <w:rFonts w:ascii="Cambria Math" w:hAnsi="Cambria Math"/>
                          <w:i/>
                        </w:rPr>
                      </m:ctrlPr>
                    </m:sub>
                  </m:sSub>
                  <m:ctrlPr>
                    <w:rPr>
                      <w:rFonts w:ascii="Cambria Math" w:hAnsi="Cambria Math"/>
                      <w:i/>
                    </w:rPr>
                  </m:ctrlPr>
                </m:sub>
              </m:sSub>
            </m:oMath>
            <w:r>
              <w:rPr>
                <w:bCs/>
                <w:szCs w:val="24"/>
              </w:rPr>
              <w:t>——</w:t>
            </w:r>
            <w:r>
              <w:rPr>
                <w:rFonts w:hint="eastAsia"/>
              </w:rPr>
              <w:t>锅炉炉膛出口氮氧化物质量浓度，mg/m</w:t>
            </w:r>
            <w:r>
              <w:rPr>
                <w:rFonts w:hint="eastAsia"/>
                <w:vertAlign w:val="superscript"/>
              </w:rPr>
              <w:t>3</w:t>
            </w:r>
            <w:r>
              <w:rPr>
                <w:rFonts w:hint="eastAsia"/>
              </w:rPr>
              <w:t>（根据浙江杭锅炉有限公司的生物质气锅炉大气污染物初始排放监测报告（见附件），NOx初始排放浓度为300mg/m</w:t>
            </w:r>
            <w:r>
              <w:rPr>
                <w:rFonts w:hint="eastAsia"/>
                <w:vertAlign w:val="superscript"/>
              </w:rPr>
              <w:t>3</w:t>
            </w:r>
            <w:r>
              <w:rPr>
                <w:rFonts w:hint="eastAsia"/>
              </w:rPr>
              <w:t>）；</w:t>
            </w:r>
          </w:p>
          <w:p w14:paraId="11A8A28E">
            <w:pPr>
              <w:ind w:firstLine="1200" w:firstLineChars="500"/>
            </w:pPr>
            <w:r>
              <w:rPr>
                <w:rFonts w:hint="eastAsia"/>
                <w:bCs/>
                <w:szCs w:val="24"/>
              </w:rPr>
              <w:t>Q</w:t>
            </w:r>
            <w:r>
              <w:rPr>
                <w:bCs/>
                <w:szCs w:val="24"/>
              </w:rPr>
              <w:t>——</w:t>
            </w:r>
            <w:r>
              <w:rPr>
                <w:rFonts w:hint="eastAsia"/>
              </w:rPr>
              <w:t>核算时段内标态干烟气排放量，m</w:t>
            </w:r>
            <w:r>
              <w:rPr>
                <w:rFonts w:hint="eastAsia"/>
                <w:vertAlign w:val="superscript"/>
              </w:rPr>
              <w:t>3</w:t>
            </w:r>
            <w:r>
              <w:rPr>
                <w:rFonts w:hint="eastAsia"/>
              </w:rPr>
              <w:t>（核算时段为1h，Q</w:t>
            </w:r>
            <w:r>
              <w:rPr>
                <w:rFonts w:hint="eastAsia"/>
                <w:bCs/>
                <w:szCs w:val="24"/>
              </w:rPr>
              <w:t>取7.19万</w:t>
            </w:r>
            <w:r>
              <w:rPr>
                <w:bCs/>
                <w:szCs w:val="24"/>
              </w:rPr>
              <w:t>m</w:t>
            </w:r>
            <w:r>
              <w:rPr>
                <w:bCs/>
                <w:szCs w:val="24"/>
                <w:vertAlign w:val="superscript"/>
              </w:rPr>
              <w:t>3</w:t>
            </w:r>
            <w:r>
              <w:rPr>
                <w:rFonts w:hint="eastAsia"/>
              </w:rPr>
              <w:t>）；</w:t>
            </w:r>
          </w:p>
          <w:p w14:paraId="0D70E447">
            <w:pPr>
              <w:ind w:firstLine="1200" w:firstLineChars="500"/>
            </w:pPr>
            <m:oMath>
              <m:sSub>
                <m:sSubPr>
                  <m:ctrlPr>
                    <w:rPr>
                      <w:rFonts w:ascii="Cambria Math" w:hAnsi="Cambria Math"/>
                      <w:i/>
                    </w:rPr>
                  </m:ctrlPr>
                </m:sSubPr>
                <m:e>
                  <m:r>
                    <m:rPr/>
                    <w:rPr>
                      <w:rFonts w:ascii="Cambria Math" w:hAnsi="Cambria Math"/>
                    </w:rPr>
                    <m:t>η</m:t>
                  </m:r>
                  <m:ctrlPr>
                    <w:rPr>
                      <w:rFonts w:ascii="Cambria Math" w:hAnsi="Cambria Math"/>
                      <w:i/>
                    </w:rPr>
                  </m:ctrlPr>
                </m:e>
                <m:sub>
                  <m:sSub>
                    <m:sSubPr>
                      <m:ctrlPr>
                        <w:rPr>
                          <w:rFonts w:ascii="Cambria Math" w:hAnsi="Cambria Math"/>
                          <w:i/>
                        </w:rPr>
                      </m:ctrlPr>
                    </m:sSubPr>
                    <m:e>
                      <m:r>
                        <m:rPr/>
                        <w:rPr>
                          <w:rFonts w:ascii="Cambria Math" w:hAnsi="Cambria Math"/>
                        </w:rPr>
                        <m:t>NO</m:t>
                      </m:r>
                      <m:ctrlPr>
                        <w:rPr>
                          <w:rFonts w:ascii="Cambria Math" w:hAnsi="Cambria Math"/>
                          <w:i/>
                        </w:rPr>
                      </m:ctrlPr>
                    </m:e>
                    <m:sub>
                      <m:r>
                        <m:rPr/>
                        <w:rPr>
                          <w:rFonts w:hint="eastAsia" w:ascii="Cambria Math" w:hAnsi="Cambria Math"/>
                        </w:rPr>
                        <m:t>x</m:t>
                      </m:r>
                      <m:ctrlPr>
                        <w:rPr>
                          <w:rFonts w:ascii="Cambria Math" w:hAnsi="Cambria Math"/>
                          <w:i/>
                        </w:rPr>
                      </m:ctrlPr>
                    </m:sub>
                  </m:sSub>
                  <m:ctrlPr>
                    <w:rPr>
                      <w:rFonts w:ascii="Cambria Math" w:hAnsi="Cambria Math"/>
                      <w:i/>
                    </w:rPr>
                  </m:ctrlPr>
                </m:sub>
              </m:sSub>
            </m:oMath>
            <w:r>
              <w:rPr>
                <w:bCs/>
                <w:szCs w:val="24"/>
              </w:rPr>
              <w:t>——</w:t>
            </w:r>
            <w:r>
              <w:rPr>
                <w:rFonts w:hint="eastAsia"/>
              </w:rPr>
              <w:t>脱硝效率，%（根据</w:t>
            </w:r>
            <w:r>
              <w:rPr>
                <w:rFonts w:hint="eastAsia" w:cs="Times New Roman"/>
                <w:szCs w:val="24"/>
              </w:rPr>
              <w:t>《排放源统计调查产排污核算方法和系数手册》4430工业锅炉（热力供应）</w:t>
            </w:r>
            <w:r>
              <w:rPr>
                <w:rFonts w:hint="eastAsia"/>
                <w:bCs/>
                <w:szCs w:val="24"/>
              </w:rPr>
              <w:t>生物质燃料，低氮燃烧+选择性催化还原法（SCR）NOx脱除效率为79%</w:t>
            </w:r>
            <w:r>
              <w:rPr>
                <w:rFonts w:hint="eastAsia"/>
              </w:rPr>
              <w:t>）。</w:t>
            </w:r>
          </w:p>
          <w:bookmarkEnd w:id="11"/>
          <w:p w14:paraId="3EF21E3B">
            <w:pPr>
              <w:ind w:firstLine="480"/>
            </w:pPr>
            <w:r>
              <w:rPr>
                <w:rFonts w:hint="eastAsia"/>
              </w:rPr>
              <w:t>核算时间段按全年（7920h）计，则本项目氮氧化物排放量为35.87t/a，排放速率为4.53kg/h，排放浓度为30.93mg/m</w:t>
            </w:r>
            <w:r>
              <w:rPr>
                <w:rFonts w:hint="eastAsia"/>
                <w:vertAlign w:val="superscript"/>
              </w:rPr>
              <w:t>3</w:t>
            </w:r>
            <w:r>
              <w:rPr>
                <w:rFonts w:hint="eastAsia"/>
              </w:rPr>
              <w:t>。</w:t>
            </w:r>
          </w:p>
          <w:p w14:paraId="697E9E3D">
            <w:pPr>
              <w:ind w:firstLine="480"/>
            </w:pPr>
            <w:r>
              <w:rPr>
                <w:rFonts w:hint="eastAsia"/>
              </w:rPr>
              <w:t>反推本项目氮氧化物产生量为347.85t/a。</w:t>
            </w:r>
          </w:p>
          <w:p w14:paraId="39897E13">
            <w:pPr>
              <w:pStyle w:val="8"/>
              <w:spacing w:before="0" w:after="0" w:line="360" w:lineRule="auto"/>
              <w:ind w:right="0" w:firstLine="482" w:firstLineChars="200"/>
              <w:rPr>
                <w:b/>
                <w:bCs/>
                <w:sz w:val="24"/>
                <w:szCs w:val="24"/>
              </w:rPr>
            </w:pPr>
            <w:r>
              <w:rPr>
                <w:b/>
                <w:bCs/>
                <w:sz w:val="24"/>
                <w:szCs w:val="24"/>
              </w:rPr>
              <w:t>二氧化硫：</w:t>
            </w:r>
          </w:p>
          <w:p w14:paraId="6AB678AA">
            <w:pPr>
              <w:ind w:firstLine="480"/>
            </w:pPr>
            <w:r>
              <w:rPr>
                <w:rFonts w:hint="eastAsia"/>
              </w:rPr>
              <w:t>根据《污染源源强核算技术指南 锅炉》（HJ991-2018），参考燃气锅炉二氧化硫排放量公式，如下。</w:t>
            </w:r>
          </w:p>
          <w:p w14:paraId="754002D2">
            <w:pPr>
              <w:ind w:firstLine="480"/>
            </w:pPr>
            <m:oMathPara>
              <m:oMath>
                <m:sSub>
                  <m:sSubPr>
                    <m:ctrlPr>
                      <w:rPr>
                        <w:rFonts w:ascii="Cambria Math" w:hAnsi="Cambria Math"/>
                        <w:i/>
                      </w:rPr>
                    </m:ctrlPr>
                  </m:sSubPr>
                  <m:e>
                    <m:r>
                      <m:rPr/>
                      <w:rPr>
                        <w:rFonts w:ascii="Cambria Math" w:hAnsi="Cambria Math"/>
                      </w:rPr>
                      <m:t>E</m:t>
                    </m:r>
                    <m:ctrlPr>
                      <w:rPr>
                        <w:rFonts w:ascii="Cambria Math" w:hAnsi="Cambria Math"/>
                        <w:i/>
                      </w:rPr>
                    </m:ctrlPr>
                  </m:e>
                  <m:sub>
                    <m:sSub>
                      <m:sSubPr>
                        <m:ctrlPr>
                          <w:rPr>
                            <w:rFonts w:ascii="Cambria Math" w:hAnsi="Cambria Math"/>
                            <w:i/>
                          </w:rPr>
                        </m:ctrlPr>
                      </m:sSubPr>
                      <m:e>
                        <m:r>
                          <m:rPr/>
                          <w:rPr>
                            <w:rFonts w:ascii="Cambria Math" w:hAnsi="Cambria Math"/>
                          </w:rPr>
                          <m:t>SO</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sub>
                </m:sSub>
                <m:r>
                  <m:rPr/>
                  <w:rPr>
                    <w:rFonts w:ascii="Cambria Math" w:hAnsi="Cambria Math"/>
                  </w:rPr>
                  <m:t>=2R×</m:t>
                </m:r>
                <m:sSub>
                  <m:sSubPr>
                    <m:ctrlPr>
                      <w:rPr>
                        <w:rFonts w:ascii="Cambria Math" w:hAnsi="Cambria Math"/>
                        <w:i/>
                      </w:rPr>
                    </m:ctrlPr>
                  </m:sSubPr>
                  <m:e>
                    <m:r>
                      <m:rPr/>
                      <w:rPr>
                        <w:rFonts w:ascii="Cambria Math" w:hAnsi="Cambria Math"/>
                      </w:rPr>
                      <m:t>S</m:t>
                    </m:r>
                    <m:ctrlPr>
                      <w:rPr>
                        <w:rFonts w:ascii="Cambria Math" w:hAnsi="Cambria Math"/>
                        <w:i/>
                      </w:rPr>
                    </m:ctrlPr>
                  </m:e>
                  <m:sub>
                    <m:r>
                      <m:rPr/>
                      <w:rPr>
                        <w:rFonts w:hint="eastAsia" w:ascii="Cambria Math" w:hAnsi="Cambria Math"/>
                      </w:rPr>
                      <m:t>t</m:t>
                    </m:r>
                    <m:ctrlPr>
                      <w:rPr>
                        <w:rFonts w:ascii="Cambria Math" w:hAnsi="Cambria Math"/>
                        <w:i/>
                      </w:rPr>
                    </m:ctrlPr>
                  </m:sub>
                </m:sSub>
                <m:r>
                  <m:rPr/>
                  <w:rPr>
                    <w:rFonts w:ascii="Cambria Math" w:hAnsi="Cambria Math"/>
                  </w:rPr>
                  <m:t>×</m:t>
                </m:r>
                <m:d>
                  <m:dPr>
                    <m:ctrlPr>
                      <w:rPr>
                        <w:rFonts w:ascii="Cambria Math" w:hAnsi="Cambria Math"/>
                        <w:i/>
                      </w:rPr>
                    </m:ctrlPr>
                  </m:dPr>
                  <m:e>
                    <m:r>
                      <m:rPr/>
                      <w:rPr>
                        <w:rFonts w:ascii="Cambria Math" w:hAnsi="Cambria Math"/>
                      </w:rPr>
                      <m:t>1−</m:t>
                    </m:r>
                    <m:f>
                      <m:fPr>
                        <m:ctrlPr>
                          <w:rPr>
                            <w:rFonts w:ascii="Cambria Math" w:hAnsi="Cambria Math"/>
                            <w:i/>
                          </w:rPr>
                        </m:ctrlPr>
                      </m:fPr>
                      <m:num>
                        <m:sSub>
                          <m:sSubPr>
                            <m:ctrlPr>
                              <w:rPr>
                                <w:rFonts w:ascii="Cambria Math" w:hAnsi="Cambria Math"/>
                                <w:i/>
                              </w:rPr>
                            </m:ctrlPr>
                          </m:sSubPr>
                          <m:e>
                            <m:r>
                              <m:rPr/>
                              <w:rPr>
                                <w:rFonts w:ascii="Cambria Math" w:hAnsi="Cambria Math"/>
                              </w:rPr>
                              <m:t>η</m:t>
                            </m:r>
                            <m:ctrlPr>
                              <w:rPr>
                                <w:rFonts w:ascii="Cambria Math" w:hAnsi="Cambria Math"/>
                                <w:i/>
                              </w:rPr>
                            </m:ctrlPr>
                          </m:e>
                          <m:sub>
                            <m:r>
                              <m:rPr/>
                              <w:rPr>
                                <w:rFonts w:ascii="Cambria Math" w:hAnsi="Cambria Math"/>
                              </w:rPr>
                              <m:t>S</m:t>
                            </m:r>
                            <m:ctrlPr>
                              <w:rPr>
                                <w:rFonts w:ascii="Cambria Math" w:hAnsi="Cambria Math"/>
                                <w:i/>
                              </w:rPr>
                            </m:ctrlPr>
                          </m:sub>
                        </m:sSub>
                        <m:ctrlPr>
                          <w:rPr>
                            <w:rFonts w:ascii="Cambria Math" w:hAnsi="Cambria Math"/>
                            <w:i/>
                          </w:rPr>
                        </m:ctrlPr>
                      </m:num>
                      <m:den>
                        <m:r>
                          <m:rPr/>
                          <w:rPr>
                            <w:rFonts w:ascii="Cambria Math" w:hAnsi="Cambria Math"/>
                          </w:rPr>
                          <m:t>100</m:t>
                        </m:r>
                        <m:ctrlPr>
                          <w:rPr>
                            <w:rFonts w:ascii="Cambria Math" w:hAnsi="Cambria Math"/>
                            <w:i/>
                          </w:rPr>
                        </m:ctrlPr>
                      </m:den>
                    </m:f>
                    <m:ctrlPr>
                      <w:rPr>
                        <w:rFonts w:ascii="Cambria Math" w:hAnsi="Cambria Math"/>
                        <w:i/>
                      </w:rPr>
                    </m:ctrlPr>
                  </m:e>
                </m:d>
                <m:r>
                  <m:rPr/>
                  <w:rPr>
                    <w:rFonts w:ascii="Cambria Math" w:hAnsi="Cambria Math"/>
                  </w:rPr>
                  <m:t>×K×</m:t>
                </m:r>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−5</m:t>
                    </m:r>
                    <m:ctrlPr>
                      <w:rPr>
                        <w:rFonts w:ascii="Cambria Math" w:hAnsi="Cambria Math"/>
                        <w:i/>
                      </w:rPr>
                    </m:ctrlPr>
                  </m:sup>
                </m:sSup>
              </m:oMath>
            </m:oMathPara>
          </w:p>
          <w:p w14:paraId="33B9362A">
            <w:pPr>
              <w:ind w:firstLine="480"/>
            </w:pPr>
            <w:r>
              <w:t>式中：</w:t>
            </w:r>
            <m:oMath>
              <m:sSub>
                <m:sSubPr>
                  <m:ctrlPr>
                    <w:rPr>
                      <w:rFonts w:ascii="Cambria Math" w:hAnsi="Cambria Math"/>
                      <w:i/>
                    </w:rPr>
                  </m:ctrlPr>
                </m:sSubPr>
                <m:e>
                  <m:r>
                    <m:rPr/>
                    <w:rPr>
                      <w:rFonts w:ascii="Cambria Math" w:hAnsi="Cambria Math"/>
                    </w:rPr>
                    <m:t>E</m:t>
                  </m:r>
                  <m:ctrlPr>
                    <w:rPr>
                      <w:rFonts w:ascii="Cambria Math" w:hAnsi="Cambria Math"/>
                      <w:i/>
                    </w:rPr>
                  </m:ctrlPr>
                </m:e>
                <m:sub>
                  <m:sSub>
                    <m:sSubPr>
                      <m:ctrlPr>
                        <w:rPr>
                          <w:rFonts w:ascii="Cambria Math" w:hAnsi="Cambria Math"/>
                          <w:i/>
                        </w:rPr>
                      </m:ctrlPr>
                    </m:sSubPr>
                    <m:e>
                      <m:r>
                        <m:rPr/>
                        <w:rPr>
                          <w:rFonts w:ascii="Cambria Math" w:hAnsi="Cambria Math"/>
                        </w:rPr>
                        <m:t>SO</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sub>
              </m:sSub>
            </m:oMath>
            <w:r>
              <w:rPr>
                <w:bCs/>
              </w:rPr>
              <w:t>——</w:t>
            </w:r>
            <w:r>
              <w:t>核算时段内二氧化硫排放量，t；</w:t>
            </w:r>
          </w:p>
          <w:p w14:paraId="635FB71B">
            <w:pPr>
              <w:ind w:firstLine="1200" w:firstLineChars="500"/>
            </w:pPr>
            <w:r>
              <w:t>R</w:t>
            </w:r>
            <w:r>
              <w:rPr>
                <w:bCs/>
              </w:rPr>
              <w:t>——</w:t>
            </w:r>
            <w:r>
              <w:t>核算时段内锅炉燃料耗量，万m</w:t>
            </w:r>
            <w:r>
              <w:rPr>
                <w:vertAlign w:val="superscript"/>
              </w:rPr>
              <w:t>3</w:t>
            </w:r>
            <w:r>
              <w:rPr>
                <w:rFonts w:hint="eastAsia"/>
              </w:rPr>
              <w:t>（本</w:t>
            </w:r>
            <w:r>
              <w:rPr>
                <w:szCs w:val="24"/>
              </w:rPr>
              <w:t>项目生物质气化炉的燃气气体量为</w:t>
            </w:r>
            <w:r>
              <w:rPr>
                <w:rFonts w:hint="eastAsia"/>
                <w:szCs w:val="24"/>
              </w:rPr>
              <w:t>52000</w:t>
            </w:r>
            <w:r>
              <w:rPr>
                <w:szCs w:val="24"/>
              </w:rPr>
              <w:t>万m</w:t>
            </w:r>
            <w:r>
              <w:rPr>
                <w:szCs w:val="24"/>
                <w:vertAlign w:val="superscript"/>
              </w:rPr>
              <w:t>3</w:t>
            </w:r>
            <w:r>
              <w:rPr>
                <w:szCs w:val="24"/>
              </w:rPr>
              <w:t>/a</w:t>
            </w:r>
            <w:r>
              <w:rPr>
                <w:rFonts w:hint="eastAsia"/>
              </w:rPr>
              <w:t>）</w:t>
            </w:r>
            <w:r>
              <w:t>；</w:t>
            </w:r>
          </w:p>
          <w:p w14:paraId="6A007C72">
            <w:pPr>
              <w:ind w:firstLine="1200" w:firstLineChars="500"/>
            </w:pPr>
            <w:r>
              <w:t>S</w:t>
            </w:r>
            <w:r>
              <w:rPr>
                <w:vertAlign w:val="subscript"/>
              </w:rPr>
              <w:t>t</w:t>
            </w:r>
            <w:r>
              <w:rPr>
                <w:bCs/>
              </w:rPr>
              <w:t>——</w:t>
            </w:r>
            <w:r>
              <w:t>燃料总硫的质量浓度，mg/m</w:t>
            </w:r>
            <w:r>
              <w:rPr>
                <w:vertAlign w:val="superscript"/>
              </w:rPr>
              <w:t>3</w:t>
            </w:r>
            <w:r>
              <w:t>；</w:t>
            </w:r>
            <w:r>
              <w:rPr>
                <w:rFonts w:hint="eastAsia"/>
                <w:bCs/>
                <w:szCs w:val="24"/>
              </w:rPr>
              <w:t>根据同类型企业检测数据（见附件）</w:t>
            </w:r>
            <w:r>
              <w:t>，本项目</w:t>
            </w:r>
            <w:r>
              <w:rPr>
                <w:rFonts w:hint="eastAsia"/>
              </w:rPr>
              <w:t>H</w:t>
            </w:r>
            <w:r>
              <w:rPr>
                <w:rFonts w:hint="eastAsia"/>
                <w:vertAlign w:val="subscript"/>
              </w:rPr>
              <w:t>2</w:t>
            </w:r>
            <w:r>
              <w:rPr>
                <w:rFonts w:hint="eastAsia"/>
              </w:rPr>
              <w:t>S浓度为0.29</w:t>
            </w:r>
            <w:r>
              <w:t>mg/m</w:t>
            </w:r>
            <w:r>
              <w:rPr>
                <w:vertAlign w:val="superscript"/>
              </w:rPr>
              <w:t>3</w:t>
            </w:r>
            <w:r>
              <w:rPr>
                <w:rFonts w:hint="eastAsia"/>
              </w:rPr>
              <w:t>，则</w:t>
            </w:r>
            <w:r>
              <w:t>总硫的质量浓度</w:t>
            </w:r>
            <w:r>
              <w:rPr>
                <w:rFonts w:hint="eastAsia"/>
              </w:rPr>
              <w:t>0.27</w:t>
            </w:r>
            <w:r>
              <w:t>mg/m</w:t>
            </w:r>
            <w:r>
              <w:rPr>
                <w:vertAlign w:val="superscript"/>
              </w:rPr>
              <w:t>3</w:t>
            </w:r>
            <w:r>
              <w:rPr>
                <w:rFonts w:hint="eastAsia"/>
              </w:rPr>
              <w:t>。</w:t>
            </w:r>
          </w:p>
          <w:p w14:paraId="2FB301FF">
            <w:pPr>
              <w:ind w:firstLine="1200" w:firstLineChars="500"/>
            </w:pPr>
            <w:r>
              <w:t>η</w:t>
            </w:r>
            <w:r>
              <w:rPr>
                <w:vertAlign w:val="subscript"/>
              </w:rPr>
              <w:t>s</w:t>
            </w:r>
            <w:r>
              <w:rPr>
                <w:rFonts w:hint="eastAsia"/>
              </w:rPr>
              <w:t>——</w:t>
            </w:r>
            <w:r>
              <w:t>脱硫效率，%，本项目取0；</w:t>
            </w:r>
          </w:p>
          <w:p w14:paraId="016072A6">
            <w:pPr>
              <w:ind w:firstLine="1200" w:firstLineChars="500"/>
            </w:pPr>
            <w:r>
              <w:t>K</w:t>
            </w:r>
            <w:r>
              <w:rPr>
                <w:rFonts w:hint="eastAsia"/>
              </w:rPr>
              <w:t>——</w:t>
            </w:r>
            <w:r>
              <w:t>燃料中的硫燃烧后氧化成二氧化硫的份额，量纲</w:t>
            </w:r>
            <w:r>
              <w:rPr>
                <w:rFonts w:hint="eastAsia"/>
              </w:rPr>
              <w:t>一</w:t>
            </w:r>
            <w:r>
              <w:t>的量，本项目炉取1。</w:t>
            </w:r>
          </w:p>
          <w:p w14:paraId="6C1B0A11">
            <w:pPr>
              <w:ind w:firstLine="480"/>
            </w:pPr>
            <w:r>
              <w:rPr>
                <w:rFonts w:hint="eastAsia"/>
                <w:szCs w:val="24"/>
              </w:rPr>
              <w:t>经计算，</w:t>
            </w:r>
            <w:r>
              <w:rPr>
                <w:szCs w:val="24"/>
              </w:rPr>
              <w:t>二氧化硫排放量为</w:t>
            </w:r>
            <w:r>
              <w:rPr>
                <w:rFonts w:hint="eastAsia"/>
                <w:szCs w:val="24"/>
              </w:rPr>
              <w:t>2×65000×0.27×1×1×10</w:t>
            </w:r>
            <w:r>
              <w:rPr>
                <w:rFonts w:hint="eastAsia"/>
                <w:szCs w:val="24"/>
                <w:vertAlign w:val="superscript"/>
              </w:rPr>
              <w:t>-5</w:t>
            </w:r>
            <w:r>
              <w:rPr>
                <w:rFonts w:hint="eastAsia"/>
                <w:szCs w:val="24"/>
              </w:rPr>
              <w:t>=0.35t/a，</w:t>
            </w:r>
            <w:r>
              <w:rPr>
                <w:rFonts w:hint="eastAsia"/>
              </w:rPr>
              <w:t>排放速率为0.044kg/h，排放浓度为0.24mg/m</w:t>
            </w:r>
            <w:r>
              <w:rPr>
                <w:rFonts w:hint="eastAsia"/>
                <w:vertAlign w:val="superscript"/>
              </w:rPr>
              <w:t>3</w:t>
            </w:r>
            <w:r>
              <w:rPr>
                <w:rFonts w:hint="eastAsia"/>
              </w:rPr>
              <w:t>。</w:t>
            </w:r>
          </w:p>
          <w:p w14:paraId="645E1E1E">
            <w:pPr>
              <w:pStyle w:val="8"/>
              <w:adjustRightInd w:val="0"/>
              <w:spacing w:before="0" w:after="0" w:line="360" w:lineRule="auto"/>
              <w:ind w:right="0" w:firstLine="480" w:firstLineChars="200"/>
            </w:pPr>
            <w:r>
              <w:rPr>
                <w:rFonts w:hint="eastAsia"/>
                <w:sz w:val="24"/>
                <w:szCs w:val="24"/>
              </w:rPr>
              <w:t>脱硫效率按0计，则二氧化硫排放量和产生量一样。</w:t>
            </w:r>
          </w:p>
          <w:p w14:paraId="09B65884">
            <w:pPr>
              <w:pStyle w:val="8"/>
              <w:adjustRightInd w:val="0"/>
              <w:spacing w:before="0" w:after="0" w:line="360" w:lineRule="auto"/>
              <w:ind w:right="0" w:firstLine="482" w:firstLineChars="200"/>
              <w:rPr>
                <w:b/>
                <w:bCs/>
                <w:sz w:val="24"/>
                <w:szCs w:val="24"/>
              </w:rPr>
            </w:pPr>
            <w:r>
              <w:rPr>
                <w:b/>
                <w:bCs/>
                <w:sz w:val="24"/>
                <w:szCs w:val="24"/>
              </w:rPr>
              <w:t>颗粒物：</w:t>
            </w:r>
          </w:p>
          <w:p w14:paraId="336E7DD8">
            <w:pPr>
              <w:ind w:firstLine="480"/>
            </w:pPr>
            <w:r>
              <w:rPr>
                <w:rFonts w:hint="eastAsia"/>
              </w:rPr>
              <w:t>根据浙江杭锅炉有限公司的生物质气锅炉大气污染物初始排放监测报告（见附件），颗粒物的初始排放浓度为</w:t>
            </w:r>
            <w:r>
              <w:t>50mg/m</w:t>
            </w:r>
            <w:r>
              <w:rPr>
                <w:vertAlign w:val="superscript"/>
              </w:rPr>
              <w:t>3</w:t>
            </w:r>
            <w:r>
              <w:rPr>
                <w:rFonts w:hint="eastAsia"/>
              </w:rPr>
              <w:t>。又根据前文，</w:t>
            </w:r>
            <w:r>
              <w:rPr>
                <w:rFonts w:hint="eastAsia"/>
                <w:szCs w:val="24"/>
              </w:rPr>
              <w:t>本项目湿烟排放量为</w:t>
            </w:r>
            <w:r>
              <w:rPr>
                <w:szCs w:val="24"/>
              </w:rPr>
              <w:t>115960</w:t>
            </w:r>
            <w:r>
              <w:rPr>
                <w:rFonts w:hint="eastAsia"/>
                <w:szCs w:val="24"/>
              </w:rPr>
              <w:t>万</w:t>
            </w:r>
            <w:r>
              <w:rPr>
                <w:szCs w:val="24"/>
              </w:rPr>
              <w:t>m</w:t>
            </w:r>
            <w:r>
              <w:rPr>
                <w:szCs w:val="24"/>
                <w:vertAlign w:val="superscript"/>
              </w:rPr>
              <w:t>3</w:t>
            </w:r>
            <w:r>
              <w:rPr>
                <w:szCs w:val="24"/>
              </w:rPr>
              <w:t>/a</w:t>
            </w:r>
            <w:r>
              <w:rPr>
                <w:rFonts w:hint="eastAsia"/>
                <w:szCs w:val="24"/>
              </w:rPr>
              <w:t>，</w:t>
            </w:r>
            <w:r>
              <w:rPr>
                <w:szCs w:val="24"/>
              </w:rPr>
              <w:t>14.64</w:t>
            </w:r>
            <w:r>
              <w:rPr>
                <w:rFonts w:hint="eastAsia"/>
                <w:szCs w:val="24"/>
              </w:rPr>
              <w:t>万</w:t>
            </w:r>
            <w:r>
              <w:rPr>
                <w:szCs w:val="24"/>
              </w:rPr>
              <w:t>m</w:t>
            </w:r>
            <w:r>
              <w:rPr>
                <w:szCs w:val="24"/>
                <w:vertAlign w:val="superscript"/>
              </w:rPr>
              <w:t>3</w:t>
            </w:r>
            <w:r>
              <w:rPr>
                <w:szCs w:val="24"/>
              </w:rPr>
              <w:t>/h</w:t>
            </w:r>
            <w:r>
              <w:rPr>
                <w:rFonts w:hint="eastAsia"/>
                <w:szCs w:val="24"/>
              </w:rPr>
              <w:t>。则本项目颗粒物产生量为</w:t>
            </w:r>
            <w:r>
              <w:rPr>
                <w:szCs w:val="24"/>
              </w:rPr>
              <w:t>57.97t/a</w:t>
            </w:r>
            <w:r>
              <w:rPr>
                <w:rFonts w:hint="eastAsia"/>
                <w:szCs w:val="24"/>
              </w:rPr>
              <w:t>，产生速率为</w:t>
            </w:r>
            <w:r>
              <w:rPr>
                <w:szCs w:val="24"/>
              </w:rPr>
              <w:t>7.32kg/h</w:t>
            </w:r>
            <w:r>
              <w:rPr>
                <w:rFonts w:hint="eastAsia"/>
                <w:szCs w:val="24"/>
              </w:rPr>
              <w:t>，产生浓度为</w:t>
            </w:r>
            <w:r>
              <w:rPr>
                <w:szCs w:val="24"/>
              </w:rPr>
              <w:t>50mg/m</w:t>
            </w:r>
            <w:r>
              <w:rPr>
                <w:szCs w:val="24"/>
                <w:vertAlign w:val="superscript"/>
              </w:rPr>
              <w:t>3</w:t>
            </w:r>
            <w:r>
              <w:rPr>
                <w:rFonts w:hint="eastAsia"/>
                <w:szCs w:val="24"/>
              </w:rPr>
              <w:t>。</w:t>
            </w:r>
          </w:p>
          <w:p w14:paraId="30DEA2A8">
            <w:pPr>
              <w:ind w:firstLine="480"/>
            </w:pPr>
            <w:r>
              <w:rPr>
                <w:rFonts w:hint="eastAsia"/>
              </w:rPr>
              <w:t>针对颗粒物，本项目采用喷淋式水膜除尘器，根据</w:t>
            </w:r>
            <w:r>
              <w:rPr>
                <w:rFonts w:hint="eastAsia" w:cs="Times New Roman"/>
                <w:szCs w:val="24"/>
              </w:rPr>
              <w:t>《排放源统计调查产排污核算方法和系数手册》</w:t>
            </w:r>
            <w:r>
              <w:rPr>
                <w:rFonts w:cs="Times New Roman"/>
                <w:szCs w:val="24"/>
              </w:rPr>
              <w:t>4430</w:t>
            </w:r>
            <w:r>
              <w:rPr>
                <w:rFonts w:hint="eastAsia" w:cs="Times New Roman"/>
                <w:szCs w:val="24"/>
              </w:rPr>
              <w:t>工业锅炉（热力供应），</w:t>
            </w:r>
            <w:r>
              <w:rPr>
                <w:rFonts w:hint="eastAsia"/>
              </w:rPr>
              <w:t>水膜除尘器</w:t>
            </w:r>
            <w:r>
              <w:rPr>
                <w:rFonts w:hint="eastAsia" w:cs="Times New Roman"/>
                <w:szCs w:val="24"/>
              </w:rPr>
              <w:t>效率为</w:t>
            </w:r>
            <w:r>
              <w:rPr>
                <w:rFonts w:cs="Times New Roman"/>
                <w:szCs w:val="24"/>
              </w:rPr>
              <w:t>87%</w:t>
            </w:r>
            <w:r>
              <w:rPr>
                <w:rFonts w:hint="eastAsia"/>
              </w:rPr>
              <w:t>。</w:t>
            </w:r>
          </w:p>
          <w:p w14:paraId="6812E30B">
            <w:pPr>
              <w:ind w:firstLine="480"/>
            </w:pPr>
            <w:r>
              <w:rPr>
                <w:rFonts w:hint="eastAsia"/>
              </w:rPr>
              <w:t>则经喷淋式水膜除尘器处理后，本项目颗粒物排放量为</w:t>
            </w:r>
            <w:r>
              <w:t>7.54t/a</w:t>
            </w:r>
            <w:r>
              <w:rPr>
                <w:rFonts w:hint="eastAsia"/>
              </w:rPr>
              <w:t>，排放率为</w:t>
            </w:r>
            <w:r>
              <w:t>0.95kg/h</w:t>
            </w:r>
            <w:r>
              <w:rPr>
                <w:rFonts w:hint="eastAsia"/>
              </w:rPr>
              <w:t>，排放浓度为</w:t>
            </w:r>
            <w:r>
              <w:t>6.49mg/m</w:t>
            </w:r>
            <w:r>
              <w:rPr>
                <w:vertAlign w:val="superscript"/>
              </w:rPr>
              <w:t>3</w:t>
            </w:r>
            <w:r>
              <w:rPr>
                <w:rFonts w:hint="eastAsia"/>
              </w:rPr>
              <w:t>。</w:t>
            </w:r>
          </w:p>
          <w:p w14:paraId="5B1CCB1B">
            <w:pPr>
              <w:ind w:firstLine="480"/>
            </w:pPr>
            <w:r>
              <w:rPr>
                <w:rFonts w:hint="eastAsia"/>
              </w:rPr>
              <w:t>综上，本项目锅炉大气污染物排放情况如下表所示。</w:t>
            </w:r>
          </w:p>
          <w:p w14:paraId="676E235E">
            <w:pPr>
              <w:pStyle w:val="43"/>
            </w:pPr>
            <w:r>
              <w:rPr>
                <w:rFonts w:hint="eastAsia"/>
              </w:rPr>
              <w:t>锅炉大气污染物排放情况一览表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94"/>
              <w:gridCol w:w="1122"/>
              <w:gridCol w:w="1821"/>
              <w:gridCol w:w="981"/>
              <w:gridCol w:w="1402"/>
              <w:gridCol w:w="1880"/>
            </w:tblGrid>
            <w:tr w14:paraId="1CC29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81" w:type="pct"/>
                  <w:vAlign w:val="center"/>
                </w:tcPr>
                <w:p w14:paraId="44AC822B">
                  <w:pPr>
                    <w:pStyle w:val="31"/>
                  </w:pPr>
                  <w:r>
                    <w:rPr>
                      <w:rFonts w:hint="eastAsia"/>
                    </w:rPr>
                    <w:t>序号</w:t>
                  </w:r>
                </w:p>
              </w:tc>
              <w:tc>
                <w:tcPr>
                  <w:tcW w:w="719" w:type="pct"/>
                  <w:vAlign w:val="center"/>
                </w:tcPr>
                <w:p w14:paraId="290A77C0">
                  <w:pPr>
                    <w:pStyle w:val="31"/>
                  </w:pPr>
                  <w:r>
                    <w:rPr>
                      <w:rFonts w:hint="eastAsia"/>
                    </w:rPr>
                    <w:t>污染物</w:t>
                  </w:r>
                </w:p>
              </w:tc>
              <w:tc>
                <w:tcPr>
                  <w:tcW w:w="1167" w:type="pct"/>
                  <w:vAlign w:val="center"/>
                </w:tcPr>
                <w:p w14:paraId="6053C287">
                  <w:pPr>
                    <w:pStyle w:val="31"/>
                  </w:pPr>
                  <w:r>
                    <w:rPr>
                      <w:rFonts w:hint="eastAsia"/>
                    </w:rPr>
                    <w:t>排放量</w:t>
                  </w:r>
                </w:p>
              </w:tc>
              <w:tc>
                <w:tcPr>
                  <w:tcW w:w="629" w:type="pct"/>
                  <w:vAlign w:val="center"/>
                </w:tcPr>
                <w:p w14:paraId="085AB1CD">
                  <w:pPr>
                    <w:pStyle w:val="31"/>
                  </w:pPr>
                  <w:r>
                    <w:rPr>
                      <w:rFonts w:hint="eastAsia"/>
                    </w:rPr>
                    <w:t>排放速率（kg/h）</w:t>
                  </w:r>
                </w:p>
              </w:tc>
              <w:tc>
                <w:tcPr>
                  <w:tcW w:w="899" w:type="pct"/>
                  <w:vAlign w:val="center"/>
                </w:tcPr>
                <w:p w14:paraId="1A63C983">
                  <w:pPr>
                    <w:pStyle w:val="31"/>
                  </w:pPr>
                  <w:r>
                    <w:rPr>
                      <w:rFonts w:hint="eastAsia"/>
                    </w:rPr>
                    <w:t>排放浓度（mg/m</w:t>
                  </w:r>
                  <w:r>
                    <w:rPr>
                      <w:rFonts w:hint="eastAsia"/>
                      <w:vertAlign w:val="superscript"/>
                    </w:rPr>
                    <w:t>3</w:t>
                  </w:r>
                  <w:r>
                    <w:rPr>
                      <w:rFonts w:hint="eastAsia"/>
                    </w:rPr>
                    <w:t>）</w:t>
                  </w:r>
                </w:p>
              </w:tc>
              <w:tc>
                <w:tcPr>
                  <w:tcW w:w="1205" w:type="pct"/>
                  <w:vAlign w:val="center"/>
                </w:tcPr>
                <w:p w14:paraId="0136575F">
                  <w:pPr>
                    <w:pStyle w:val="31"/>
                  </w:pPr>
                  <w:r>
                    <w:rPr>
                      <w:rFonts w:hint="eastAsia"/>
                    </w:rPr>
                    <w:t>治理措施及效率</w:t>
                  </w:r>
                </w:p>
              </w:tc>
            </w:tr>
            <w:tr w14:paraId="2C775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81" w:type="pct"/>
                  <w:vAlign w:val="center"/>
                </w:tcPr>
                <w:p w14:paraId="6FC7ED28">
                  <w:pPr>
                    <w:pStyle w:val="31"/>
                  </w:pPr>
                  <w:r>
                    <w:rPr>
                      <w:rFonts w:hint="eastAsia"/>
                    </w:rPr>
                    <w:t>1</w:t>
                  </w:r>
                </w:p>
              </w:tc>
              <w:tc>
                <w:tcPr>
                  <w:tcW w:w="719" w:type="pct"/>
                  <w:vAlign w:val="center"/>
                </w:tcPr>
                <w:p w14:paraId="63E20A22">
                  <w:pPr>
                    <w:pStyle w:val="31"/>
                  </w:pPr>
                  <w:r>
                    <w:rPr>
                      <w:rFonts w:hint="eastAsia"/>
                    </w:rPr>
                    <w:t>烟气量</w:t>
                  </w:r>
                </w:p>
              </w:tc>
              <w:tc>
                <w:tcPr>
                  <w:tcW w:w="1167" w:type="pct"/>
                  <w:vAlign w:val="center"/>
                </w:tcPr>
                <w:p w14:paraId="60385843">
                  <w:pPr>
                    <w:pStyle w:val="31"/>
                  </w:pPr>
                  <w:r>
                    <w:rPr>
                      <w:rFonts w:hint="eastAsia"/>
                    </w:rPr>
                    <w:t>115960万m</w:t>
                  </w:r>
                  <w:r>
                    <w:rPr>
                      <w:rFonts w:hint="eastAsia"/>
                      <w:vertAlign w:val="superscript"/>
                    </w:rPr>
                    <w:t>3</w:t>
                  </w:r>
                  <w:r>
                    <w:rPr>
                      <w:rFonts w:hint="eastAsia"/>
                    </w:rPr>
                    <w:t>/a</w:t>
                  </w:r>
                </w:p>
              </w:tc>
              <w:tc>
                <w:tcPr>
                  <w:tcW w:w="629" w:type="pct"/>
                  <w:vAlign w:val="center"/>
                </w:tcPr>
                <w:p w14:paraId="6C9EEA90">
                  <w:pPr>
                    <w:pStyle w:val="31"/>
                  </w:pPr>
                  <w:r>
                    <w:rPr>
                      <w:rFonts w:hint="eastAsia"/>
                    </w:rPr>
                    <w:t>/</w:t>
                  </w:r>
                </w:p>
              </w:tc>
              <w:tc>
                <w:tcPr>
                  <w:tcW w:w="899" w:type="pct"/>
                  <w:vAlign w:val="center"/>
                </w:tcPr>
                <w:p w14:paraId="2799898E">
                  <w:pPr>
                    <w:pStyle w:val="31"/>
                  </w:pPr>
                  <w:r>
                    <w:rPr>
                      <w:rFonts w:hint="eastAsia"/>
                    </w:rPr>
                    <w:t>/</w:t>
                  </w:r>
                </w:p>
              </w:tc>
              <w:tc>
                <w:tcPr>
                  <w:tcW w:w="1205" w:type="pct"/>
                  <w:vAlign w:val="center"/>
                </w:tcPr>
                <w:p w14:paraId="483ECE26">
                  <w:pPr>
                    <w:pStyle w:val="31"/>
                  </w:pPr>
                  <w:r>
                    <w:rPr>
                      <w:rFonts w:hint="eastAsia"/>
                    </w:rPr>
                    <w:t>/</w:t>
                  </w:r>
                </w:p>
              </w:tc>
            </w:tr>
            <w:tr w14:paraId="68E5C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81" w:type="pct"/>
                  <w:vAlign w:val="center"/>
                </w:tcPr>
                <w:p w14:paraId="7A8AECE1">
                  <w:pPr>
                    <w:pStyle w:val="31"/>
                  </w:pPr>
                  <w:r>
                    <w:rPr>
                      <w:rFonts w:hint="eastAsia"/>
                    </w:rPr>
                    <w:t>2</w:t>
                  </w:r>
                </w:p>
              </w:tc>
              <w:tc>
                <w:tcPr>
                  <w:tcW w:w="719" w:type="pct"/>
                  <w:vAlign w:val="center"/>
                </w:tcPr>
                <w:p w14:paraId="3EAE6208">
                  <w:pPr>
                    <w:pStyle w:val="31"/>
                  </w:pPr>
                  <w:r>
                    <w:rPr>
                      <w:rFonts w:hint="eastAsia"/>
                    </w:rPr>
                    <w:t>NOx</w:t>
                  </w:r>
                </w:p>
              </w:tc>
              <w:tc>
                <w:tcPr>
                  <w:tcW w:w="1167" w:type="pct"/>
                  <w:vAlign w:val="center"/>
                </w:tcPr>
                <w:p w14:paraId="1A78A63B">
                  <w:pPr>
                    <w:pStyle w:val="31"/>
                  </w:pPr>
                  <w:r>
                    <w:rPr>
                      <w:rFonts w:hint="eastAsia"/>
                    </w:rPr>
                    <w:t>35.87t/a</w:t>
                  </w:r>
                </w:p>
              </w:tc>
              <w:tc>
                <w:tcPr>
                  <w:tcW w:w="629" w:type="pct"/>
                  <w:vAlign w:val="center"/>
                </w:tcPr>
                <w:p w14:paraId="218DE6D9">
                  <w:pPr>
                    <w:pStyle w:val="31"/>
                  </w:pPr>
                  <w:r>
                    <w:rPr>
                      <w:rFonts w:hint="eastAsia"/>
                    </w:rPr>
                    <w:t>4.53</w:t>
                  </w:r>
                </w:p>
              </w:tc>
              <w:tc>
                <w:tcPr>
                  <w:tcW w:w="899" w:type="pct"/>
                  <w:vAlign w:val="center"/>
                </w:tcPr>
                <w:p w14:paraId="5BDDDC43">
                  <w:pPr>
                    <w:pStyle w:val="31"/>
                  </w:pPr>
                  <w:r>
                    <w:rPr>
                      <w:rFonts w:hint="eastAsia"/>
                    </w:rPr>
                    <w:t>30.93</w:t>
                  </w:r>
                </w:p>
              </w:tc>
              <w:tc>
                <w:tcPr>
                  <w:tcW w:w="1205" w:type="pct"/>
                  <w:vAlign w:val="center"/>
                </w:tcPr>
                <w:p w14:paraId="4F1933E3">
                  <w:pPr>
                    <w:pStyle w:val="31"/>
                    <w:rPr>
                      <w:bCs/>
                      <w:szCs w:val="24"/>
                    </w:rPr>
                  </w:pPr>
                  <w:r>
                    <w:rPr>
                      <w:rFonts w:hint="eastAsia"/>
                      <w:bCs/>
                      <w:szCs w:val="24"/>
                    </w:rPr>
                    <w:t>低氮燃烧+SCR</w:t>
                  </w:r>
                </w:p>
                <w:p w14:paraId="6957D07A">
                  <w:pPr>
                    <w:pStyle w:val="31"/>
                  </w:pPr>
                  <w:r>
                    <w:rPr>
                      <w:rFonts w:hint="eastAsia"/>
                      <w:bCs/>
                      <w:szCs w:val="24"/>
                    </w:rPr>
                    <w:t>（去除效率79%）</w:t>
                  </w:r>
                </w:p>
              </w:tc>
            </w:tr>
            <w:tr w14:paraId="2A1C1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81" w:type="pct"/>
                  <w:vAlign w:val="center"/>
                </w:tcPr>
                <w:p w14:paraId="51E49E8E">
                  <w:pPr>
                    <w:pStyle w:val="31"/>
                  </w:pPr>
                  <w:r>
                    <w:rPr>
                      <w:rFonts w:hint="eastAsia"/>
                    </w:rPr>
                    <w:t>3</w:t>
                  </w:r>
                </w:p>
              </w:tc>
              <w:tc>
                <w:tcPr>
                  <w:tcW w:w="719" w:type="pct"/>
                  <w:vAlign w:val="center"/>
                </w:tcPr>
                <w:p w14:paraId="4AA37D4F">
                  <w:pPr>
                    <w:pStyle w:val="31"/>
                  </w:pPr>
                  <w:r>
                    <w:rPr>
                      <w:rFonts w:hint="eastAsia"/>
                    </w:rPr>
                    <w:t>SO</w:t>
                  </w:r>
                  <w:r>
                    <w:rPr>
                      <w:rFonts w:hint="eastAsia"/>
                      <w:vertAlign w:val="subscript"/>
                    </w:rPr>
                    <w:t>2</w:t>
                  </w:r>
                </w:p>
              </w:tc>
              <w:tc>
                <w:tcPr>
                  <w:tcW w:w="1167" w:type="pct"/>
                  <w:vAlign w:val="center"/>
                </w:tcPr>
                <w:p w14:paraId="2F668338">
                  <w:pPr>
                    <w:pStyle w:val="31"/>
                  </w:pPr>
                  <w:r>
                    <w:rPr>
                      <w:rFonts w:hint="eastAsia"/>
                    </w:rPr>
                    <w:t>0.35t/a</w:t>
                  </w:r>
                </w:p>
              </w:tc>
              <w:tc>
                <w:tcPr>
                  <w:tcW w:w="629" w:type="pct"/>
                  <w:vAlign w:val="center"/>
                </w:tcPr>
                <w:p w14:paraId="0AC4BD82">
                  <w:pPr>
                    <w:pStyle w:val="31"/>
                  </w:pPr>
                  <w:r>
                    <w:rPr>
                      <w:rFonts w:hint="eastAsia"/>
                    </w:rPr>
                    <w:t>0.044</w:t>
                  </w:r>
                </w:p>
              </w:tc>
              <w:tc>
                <w:tcPr>
                  <w:tcW w:w="899" w:type="pct"/>
                  <w:vAlign w:val="center"/>
                </w:tcPr>
                <w:p w14:paraId="38A6E69D">
                  <w:pPr>
                    <w:pStyle w:val="31"/>
                  </w:pPr>
                  <w:r>
                    <w:rPr>
                      <w:rFonts w:hint="eastAsia"/>
                    </w:rPr>
                    <w:t>0.24</w:t>
                  </w:r>
                </w:p>
              </w:tc>
              <w:tc>
                <w:tcPr>
                  <w:tcW w:w="1205" w:type="pct"/>
                  <w:vAlign w:val="center"/>
                </w:tcPr>
                <w:p w14:paraId="75E9EC53">
                  <w:pPr>
                    <w:pStyle w:val="31"/>
                  </w:pPr>
                  <w:r>
                    <w:rPr>
                      <w:rFonts w:hint="eastAsia"/>
                    </w:rPr>
                    <w:t>/</w:t>
                  </w:r>
                </w:p>
              </w:tc>
            </w:tr>
            <w:tr w14:paraId="1DE23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81" w:type="pct"/>
                  <w:vAlign w:val="center"/>
                </w:tcPr>
                <w:p w14:paraId="13A26A78">
                  <w:pPr>
                    <w:pStyle w:val="31"/>
                  </w:pPr>
                  <w:r>
                    <w:rPr>
                      <w:rFonts w:hint="eastAsia"/>
                    </w:rPr>
                    <w:t>4</w:t>
                  </w:r>
                </w:p>
              </w:tc>
              <w:tc>
                <w:tcPr>
                  <w:tcW w:w="719" w:type="pct"/>
                  <w:vAlign w:val="center"/>
                </w:tcPr>
                <w:p w14:paraId="58DB3F14">
                  <w:pPr>
                    <w:pStyle w:val="31"/>
                  </w:pPr>
                  <w:r>
                    <w:rPr>
                      <w:rFonts w:hint="eastAsia"/>
                    </w:rPr>
                    <w:t>颗粒物</w:t>
                  </w:r>
                </w:p>
              </w:tc>
              <w:tc>
                <w:tcPr>
                  <w:tcW w:w="1167" w:type="pct"/>
                  <w:vAlign w:val="center"/>
                </w:tcPr>
                <w:p w14:paraId="7105B78F">
                  <w:pPr>
                    <w:pStyle w:val="31"/>
                  </w:pPr>
                  <w:r>
                    <w:rPr>
                      <w:rFonts w:hint="eastAsia"/>
                    </w:rPr>
                    <w:t>7.54</w:t>
                  </w:r>
                </w:p>
              </w:tc>
              <w:tc>
                <w:tcPr>
                  <w:tcW w:w="629" w:type="pct"/>
                  <w:vAlign w:val="center"/>
                </w:tcPr>
                <w:p w14:paraId="035FD6E0">
                  <w:pPr>
                    <w:pStyle w:val="31"/>
                  </w:pPr>
                  <w:r>
                    <w:rPr>
                      <w:rFonts w:hint="eastAsia"/>
                    </w:rPr>
                    <w:t>0.95</w:t>
                  </w:r>
                </w:p>
              </w:tc>
              <w:tc>
                <w:tcPr>
                  <w:tcW w:w="899" w:type="pct"/>
                  <w:vAlign w:val="center"/>
                </w:tcPr>
                <w:p w14:paraId="0EC2EE79">
                  <w:pPr>
                    <w:pStyle w:val="31"/>
                  </w:pPr>
                  <w:r>
                    <w:rPr>
                      <w:rFonts w:hint="eastAsia"/>
                    </w:rPr>
                    <w:t>6.49</w:t>
                  </w:r>
                </w:p>
              </w:tc>
              <w:tc>
                <w:tcPr>
                  <w:tcW w:w="1205" w:type="pct"/>
                  <w:vAlign w:val="center"/>
                </w:tcPr>
                <w:p w14:paraId="67435A0B">
                  <w:pPr>
                    <w:pStyle w:val="31"/>
                  </w:pPr>
                  <w:r>
                    <w:rPr>
                      <w:rFonts w:hint="eastAsia"/>
                    </w:rPr>
                    <w:t>喷淋式水膜除尘器（</w:t>
                  </w:r>
                  <w:r>
                    <w:rPr>
                      <w:rFonts w:hint="eastAsia"/>
                      <w:bCs/>
                      <w:szCs w:val="24"/>
                    </w:rPr>
                    <w:t>去除效率87%</w:t>
                  </w:r>
                  <w:r>
                    <w:rPr>
                      <w:rFonts w:hint="eastAsia"/>
                    </w:rPr>
                    <w:t>）</w:t>
                  </w:r>
                </w:p>
              </w:tc>
            </w:tr>
          </w:tbl>
          <w:p w14:paraId="379CF8EF">
            <w:pPr>
              <w:ind w:firstLine="482"/>
              <w:rPr>
                <w:b/>
                <w:bCs/>
              </w:rPr>
            </w:pPr>
            <w:r>
              <w:rPr>
                <w:b/>
                <w:bCs/>
              </w:rPr>
              <w:t>4</w:t>
            </w:r>
            <w:r>
              <w:rPr>
                <w:rFonts w:hint="eastAsia"/>
                <w:b/>
                <w:bCs/>
              </w:rPr>
              <w:t>）脱硝过程逃逸氨</w:t>
            </w:r>
          </w:p>
          <w:p w14:paraId="1C06BDCC">
            <w:pPr>
              <w:widowControl/>
              <w:ind w:firstLine="482"/>
              <w:rPr>
                <w:rFonts w:cs="Times New Roman"/>
                <w:b/>
                <w:bCs/>
              </w:rPr>
            </w:pPr>
            <w:r>
              <w:rPr>
                <w:rFonts w:hint="eastAsia" w:ascii="Cambria Math" w:hAnsi="Cambria Math" w:cs="Cambria Math"/>
                <w:b/>
                <w:bCs/>
              </w:rPr>
              <w:t>①</w:t>
            </w:r>
            <w:r>
              <w:rPr>
                <w:rFonts w:hint="eastAsia" w:cs="Times New Roman"/>
                <w:b/>
                <w:bCs/>
              </w:rPr>
              <w:t>小呼吸排放</w:t>
            </w:r>
          </w:p>
          <w:p w14:paraId="49ABEDD6">
            <w:pPr>
              <w:widowControl/>
              <w:ind w:firstLine="480"/>
              <w:rPr>
                <w:rFonts w:cs="Times New Roman"/>
              </w:rPr>
            </w:pPr>
            <w:r>
              <w:rPr>
                <w:rFonts w:hint="eastAsia" w:cs="Times New Roman"/>
              </w:rPr>
              <w:t>小呼吸排放是由于罐内气体空间温度的昼夜变化而引起的损耗。具体原理为：白天，储罐空间气体温度逐渐上升，罐内混合气体膨胀，与此同时，液面蒸发加快促使罐内气体压力增高，当压力增至呼吸阀的正压定值时，物料混合气体呼出；晚间罐内空间气体温度逐步下降，压力不断降低，当压力降到呼吸阀的允许真空值时，空气进入罐内，使气体空间的浓度降低，又为温度升高后蒸发创造条件，如此反复循环，形成了罐区的小呼吸排放。</w:t>
            </w:r>
          </w:p>
          <w:p w14:paraId="63D00375">
            <w:pPr>
              <w:ind w:firstLine="480"/>
            </w:pPr>
            <w:r>
              <w:rPr>
                <w:rFonts w:hint="eastAsia"/>
              </w:rPr>
              <w:t>小呼吸计算公式如下：</w:t>
            </w:r>
          </w:p>
          <w:p w14:paraId="3E217BBE">
            <w:pPr>
              <w:ind w:firstLine="480"/>
              <w:jc w:val="center"/>
              <w:rPr>
                <w:rFonts w:cs="Times New Roman"/>
              </w:rPr>
            </w:pPr>
            <w:r>
              <w:rPr>
                <w:rFonts w:cs="Times New Roman"/>
                <w:position w:val="-28"/>
              </w:rPr>
              <w:object>
                <v:shape id="_x0000_i1029" o:spt="75" type="#_x0000_t75" style="height:33.75pt;width:295.5pt;" o:ole="t" filled="f" o:preferrelative="t" stroked="f" coordsize="21600,21600">
                  <v:path/>
                  <v:fill on="f" focussize="0,0"/>
                  <v:stroke on="f" joinstyle="miter"/>
                  <v:imagedata r:id="rId30" o:title=""/>
                  <o:lock v:ext="edit" aspectratio="t"/>
                  <w10:wrap type="none"/>
                  <w10:anchorlock/>
                </v:shape>
                <o:OLEObject Type="Embed" ProgID="Equation.3" ShapeID="_x0000_i1029" DrawAspect="Content" ObjectID="_1468075729" r:id="rId29">
                  <o:LockedField>false</o:LockedField>
                </o:OLEObject>
              </w:object>
            </w:r>
          </w:p>
          <w:p w14:paraId="2594F281">
            <w:pPr>
              <w:ind w:firstLine="480"/>
              <w:rPr>
                <w:rFonts w:cs="Times New Roman"/>
              </w:rPr>
            </w:pPr>
            <w:r>
              <w:rPr>
                <w:rFonts w:hint="eastAsia" w:cs="Times New Roman"/>
              </w:rPr>
              <w:t>其中：</w:t>
            </w:r>
            <w:r>
              <w:rPr>
                <w:rFonts w:cs="Times New Roman"/>
              </w:rPr>
              <w:t>L</w:t>
            </w:r>
            <w:r>
              <w:rPr>
                <w:rFonts w:cs="Times New Roman"/>
                <w:vertAlign w:val="subscript"/>
              </w:rPr>
              <w:t>B</w:t>
            </w:r>
            <w:r>
              <w:rPr>
                <w:rFonts w:cs="Times New Roman"/>
              </w:rPr>
              <w:t>-</w:t>
            </w:r>
            <w:r>
              <w:rPr>
                <w:rFonts w:hint="eastAsia" w:cs="Times New Roman"/>
              </w:rPr>
              <w:t>贮罐呼吸量，</w:t>
            </w:r>
            <w:r>
              <w:rPr>
                <w:rFonts w:cs="Times New Roman"/>
              </w:rPr>
              <w:t>kg/a</w:t>
            </w:r>
            <w:r>
              <w:rPr>
                <w:rFonts w:hint="eastAsia" w:cs="Times New Roman"/>
              </w:rPr>
              <w:t>；</w:t>
            </w:r>
          </w:p>
          <w:p w14:paraId="5E280778">
            <w:pPr>
              <w:ind w:firstLine="480"/>
              <w:rPr>
                <w:rFonts w:cs="Times New Roman"/>
              </w:rPr>
            </w:pPr>
            <w:r>
              <w:rPr>
                <w:rFonts w:cs="Times New Roman"/>
              </w:rPr>
              <w:t xml:space="preserve">      M-</w:t>
            </w:r>
            <w:r>
              <w:rPr>
                <w:rFonts w:hint="eastAsia" w:cs="Times New Roman"/>
              </w:rPr>
              <w:t>储罐内蒸汽分子量；</w:t>
            </w:r>
          </w:p>
          <w:p w14:paraId="40B360CF">
            <w:pPr>
              <w:ind w:firstLine="480"/>
              <w:rPr>
                <w:rFonts w:cs="Times New Roman"/>
              </w:rPr>
            </w:pPr>
            <w:r>
              <w:rPr>
                <w:rFonts w:cs="Times New Roman"/>
              </w:rPr>
              <w:t xml:space="preserve">      P-</w:t>
            </w:r>
            <w:r>
              <w:rPr>
                <w:rFonts w:hint="eastAsia" w:cs="Times New Roman"/>
              </w:rPr>
              <w:t>在大量液体状态下，真实的蒸汽压力，</w:t>
            </w:r>
            <w:r>
              <w:rPr>
                <w:rFonts w:cs="Times New Roman"/>
              </w:rPr>
              <w:t>Pa</w:t>
            </w:r>
            <w:r>
              <w:rPr>
                <w:rFonts w:hint="eastAsia" w:cs="Times New Roman"/>
              </w:rPr>
              <w:t>；</w:t>
            </w:r>
          </w:p>
          <w:p w14:paraId="3C95B35A">
            <w:pPr>
              <w:ind w:firstLine="480"/>
              <w:rPr>
                <w:rFonts w:cs="Times New Roman"/>
              </w:rPr>
            </w:pPr>
            <w:r>
              <w:rPr>
                <w:rFonts w:cs="Times New Roman"/>
              </w:rPr>
              <w:t xml:space="preserve">      D-</w:t>
            </w:r>
            <w:r>
              <w:rPr>
                <w:rFonts w:hint="eastAsia" w:cs="Times New Roman"/>
              </w:rPr>
              <w:t>罐的直径；</w:t>
            </w:r>
          </w:p>
          <w:p w14:paraId="560E487A">
            <w:pPr>
              <w:ind w:firstLine="480"/>
              <w:rPr>
                <w:rFonts w:cs="Times New Roman"/>
              </w:rPr>
            </w:pPr>
            <w:r>
              <w:rPr>
                <w:rFonts w:cs="Times New Roman"/>
              </w:rPr>
              <w:t xml:space="preserve">      H-</w:t>
            </w:r>
            <w:r>
              <w:rPr>
                <w:rFonts w:hint="eastAsia" w:cs="Times New Roman"/>
              </w:rPr>
              <w:t>平均蒸汽空间高度，</w:t>
            </w:r>
            <w:r>
              <w:rPr>
                <w:rFonts w:cs="Times New Roman"/>
              </w:rPr>
              <w:t>m</w:t>
            </w:r>
            <w:r>
              <w:rPr>
                <w:rFonts w:hint="eastAsia" w:cs="Times New Roman"/>
              </w:rPr>
              <w:t>；</w:t>
            </w:r>
          </w:p>
          <w:p w14:paraId="7CFF66C7">
            <w:pPr>
              <w:ind w:firstLine="480"/>
              <w:rPr>
                <w:rFonts w:cs="Times New Roman"/>
              </w:rPr>
            </w:pPr>
            <w:r>
              <w:rPr>
                <w:rFonts w:cs="Times New Roman"/>
              </w:rPr>
              <w:t xml:space="preserve">      </w:t>
            </w:r>
            <w:r>
              <w:rPr>
                <w:rFonts w:hint="eastAsia" w:ascii="Cambria Math" w:hAnsi="Cambria Math" w:cs="Cambria Math"/>
              </w:rPr>
              <w:t>△</w:t>
            </w:r>
            <w:r>
              <w:rPr>
                <w:rFonts w:cs="Times New Roman"/>
              </w:rPr>
              <w:t>T-</w:t>
            </w:r>
            <w:r>
              <w:rPr>
                <w:rFonts w:hint="eastAsia" w:cs="Times New Roman"/>
              </w:rPr>
              <w:t>一天之内平均温度差，℃；</w:t>
            </w:r>
          </w:p>
          <w:p w14:paraId="6D16E729">
            <w:pPr>
              <w:ind w:firstLine="480"/>
              <w:rPr>
                <w:rFonts w:cs="Times New Roman"/>
              </w:rPr>
            </w:pPr>
            <w:r>
              <w:rPr>
                <w:rFonts w:cs="Times New Roman"/>
              </w:rPr>
              <w:t xml:space="preserve">      Fp-</w:t>
            </w:r>
            <w:r>
              <w:rPr>
                <w:rFonts w:hint="eastAsia" w:cs="Times New Roman"/>
              </w:rPr>
              <w:t>涂层因子（无量纲），取值</w:t>
            </w:r>
            <w:r>
              <w:rPr>
                <w:rFonts w:cs="Times New Roman"/>
              </w:rPr>
              <w:t>1~1.5</w:t>
            </w:r>
            <w:r>
              <w:rPr>
                <w:rFonts w:hint="eastAsia" w:cs="Times New Roman"/>
              </w:rPr>
              <w:t>之间；</w:t>
            </w:r>
          </w:p>
          <w:p w14:paraId="22AF0E4D">
            <w:pPr>
              <w:ind w:firstLine="480"/>
              <w:rPr>
                <w:rFonts w:cs="Times New Roman"/>
              </w:rPr>
            </w:pPr>
            <w:r>
              <w:rPr>
                <w:rFonts w:cs="Times New Roman"/>
              </w:rPr>
              <w:t xml:space="preserve">      C-</w:t>
            </w:r>
            <w:r>
              <w:rPr>
                <w:rFonts w:hint="eastAsia" w:cs="Times New Roman"/>
              </w:rPr>
              <w:t>用于小直径罐的调节因子（无量纲）；对于直径</w:t>
            </w:r>
            <w:r>
              <w:rPr>
                <w:rFonts w:cs="Times New Roman"/>
              </w:rPr>
              <w:t>0~9m</w:t>
            </w:r>
            <w:r>
              <w:rPr>
                <w:rFonts w:hint="eastAsia" w:cs="Times New Roman"/>
              </w:rPr>
              <w:t>之间的罐体，</w:t>
            </w:r>
            <w:r>
              <w:rPr>
                <w:rFonts w:cs="Times New Roman"/>
              </w:rPr>
              <w:t>C=1-0.0123×(D-9)</w:t>
            </w:r>
            <w:r>
              <w:rPr>
                <w:rFonts w:cs="Times New Roman"/>
                <w:vertAlign w:val="superscript"/>
              </w:rPr>
              <w:t>2</w:t>
            </w:r>
            <w:r>
              <w:rPr>
                <w:rFonts w:hint="eastAsia" w:cs="Times New Roman"/>
              </w:rPr>
              <w:t>，罐径大于</w:t>
            </w:r>
            <w:r>
              <w:rPr>
                <w:rFonts w:cs="Times New Roman"/>
              </w:rPr>
              <w:t>9m</w:t>
            </w:r>
            <w:r>
              <w:rPr>
                <w:rFonts w:hint="eastAsia" w:cs="Times New Roman"/>
              </w:rPr>
              <w:t>，</w:t>
            </w:r>
            <w:r>
              <w:rPr>
                <w:rFonts w:cs="Times New Roman"/>
              </w:rPr>
              <w:t>C=1</w:t>
            </w:r>
            <w:r>
              <w:rPr>
                <w:rFonts w:hint="eastAsia" w:cs="Times New Roman"/>
              </w:rPr>
              <w:t>。</w:t>
            </w:r>
          </w:p>
          <w:p w14:paraId="30C463EF">
            <w:pPr>
              <w:ind w:firstLine="480"/>
              <w:rPr>
                <w:rFonts w:cs="Times New Roman"/>
              </w:rPr>
            </w:pPr>
            <w:r>
              <w:rPr>
                <w:rFonts w:cs="Times New Roman"/>
              </w:rPr>
              <w:t xml:space="preserve">      Kc-</w:t>
            </w:r>
            <w:r>
              <w:rPr>
                <w:rFonts w:hint="eastAsia" w:cs="Times New Roman"/>
              </w:rPr>
              <w:t>产品因子（石油原油取</w:t>
            </w:r>
            <w:r>
              <w:rPr>
                <w:rFonts w:cs="Times New Roman"/>
              </w:rPr>
              <w:t>0.65</w:t>
            </w:r>
            <w:r>
              <w:rPr>
                <w:rFonts w:hint="eastAsia" w:cs="Times New Roman"/>
              </w:rPr>
              <w:t>，其他液体取</w:t>
            </w:r>
            <w:r>
              <w:rPr>
                <w:rFonts w:cs="Times New Roman"/>
              </w:rPr>
              <w:t>1</w:t>
            </w:r>
            <w:r>
              <w:rPr>
                <w:rFonts w:hint="eastAsia" w:cs="Times New Roman"/>
              </w:rPr>
              <w:t>）；</w:t>
            </w:r>
          </w:p>
          <w:p w14:paraId="793A97FF">
            <w:pPr>
              <w:ind w:firstLine="482"/>
              <w:rPr>
                <w:rFonts w:cs="Times New Roman"/>
                <w:b/>
              </w:rPr>
            </w:pPr>
            <w:r>
              <w:rPr>
                <w:rFonts w:hint="eastAsia" w:ascii="Cambria Math" w:hAnsi="Cambria Math" w:cs="Cambria Math"/>
                <w:b/>
              </w:rPr>
              <w:t>②</w:t>
            </w:r>
            <w:r>
              <w:rPr>
                <w:rFonts w:hint="eastAsia" w:cs="Times New Roman"/>
                <w:b/>
              </w:rPr>
              <w:t>大呼吸排放</w:t>
            </w:r>
          </w:p>
          <w:p w14:paraId="57E5F91D">
            <w:pPr>
              <w:ind w:firstLine="480"/>
              <w:rPr>
                <w:rFonts w:cs="Times New Roman"/>
                <w:bCs/>
              </w:rPr>
            </w:pPr>
            <w:r>
              <w:rPr>
                <w:rFonts w:hint="eastAsia" w:cs="Times New Roman"/>
              </w:rPr>
              <w:t>大呼吸损耗是由于进罐和出罐时造成的蒸汽损耗。具体原理为：当物料进罐时，液面不断升高，气体空间不断缩小，物料混合气体压力不断升高，当压力大于呼吸阀限压时，压力阀打开，混合气体逸出；当物料出罐时，液面下降，气体压力减小，当压力降到小于真空阀规定值时，氮气阀打开，氮气被吸入，罐内气体浓度大大降低，从而促使物料蒸发，当物料出罐停止时，随着蒸发的进行，罐内压力逐渐回升，不久又出现物料混合物顶开压力阀向外呼气的现象。</w:t>
            </w:r>
          </w:p>
          <w:p w14:paraId="2C92A188">
            <w:pPr>
              <w:ind w:firstLine="480"/>
              <w:rPr>
                <w:rFonts w:cs="Times New Roman"/>
                <w:bCs/>
              </w:rPr>
            </w:pPr>
            <w:r>
              <w:rPr>
                <w:rFonts w:hint="eastAsia" w:cs="Times New Roman"/>
              </w:rPr>
              <w:t>大呼吸具体计算式如下：</w:t>
            </w:r>
          </w:p>
          <w:p w14:paraId="104BA9A3">
            <w:pPr>
              <w:ind w:firstLine="480"/>
              <w:jc w:val="center"/>
              <w:rPr>
                <w:rFonts w:cs="Times New Roman"/>
              </w:rPr>
            </w:pPr>
            <w:r>
              <w:rPr>
                <w:rFonts w:cs="Times New Roman"/>
              </w:rPr>
              <w:t>L</w:t>
            </w:r>
            <w:r>
              <w:rPr>
                <w:rFonts w:cs="Times New Roman"/>
                <w:vertAlign w:val="subscript"/>
              </w:rPr>
              <w:t>W</w:t>
            </w:r>
            <w:r>
              <w:rPr>
                <w:rFonts w:cs="Times New Roman"/>
              </w:rPr>
              <w:t>=4.188×10</w:t>
            </w:r>
            <w:r>
              <w:rPr>
                <w:rFonts w:cs="Times New Roman"/>
                <w:vertAlign w:val="superscript"/>
              </w:rPr>
              <w:t>-7</w:t>
            </w:r>
            <w:r>
              <w:rPr>
                <w:rFonts w:cs="Times New Roman"/>
              </w:rPr>
              <w:t>×M×P×K</w:t>
            </w:r>
            <w:r>
              <w:rPr>
                <w:rFonts w:cs="Times New Roman"/>
                <w:vertAlign w:val="subscript"/>
              </w:rPr>
              <w:t>N</w:t>
            </w:r>
            <w:r>
              <w:rPr>
                <w:rFonts w:cs="Times New Roman"/>
              </w:rPr>
              <w:t>×K</w:t>
            </w:r>
            <w:r>
              <w:rPr>
                <w:rFonts w:cs="Times New Roman"/>
                <w:vertAlign w:val="subscript"/>
              </w:rPr>
              <w:t>C</w:t>
            </w:r>
          </w:p>
          <w:p w14:paraId="41B793C7">
            <w:pPr>
              <w:ind w:firstLine="480"/>
              <w:rPr>
                <w:rFonts w:cs="Times New Roman"/>
                <w:bCs/>
              </w:rPr>
            </w:pPr>
            <w:r>
              <w:rPr>
                <w:rFonts w:hint="eastAsia" w:cs="Times New Roman"/>
                <w:bCs/>
              </w:rPr>
              <w:t>式中：</w:t>
            </w:r>
          </w:p>
          <w:p w14:paraId="3AAD10A9">
            <w:pPr>
              <w:ind w:firstLine="480"/>
              <w:rPr>
                <w:rFonts w:cs="Times New Roman"/>
                <w:bCs/>
              </w:rPr>
            </w:pPr>
            <w:r>
              <w:rPr>
                <w:rFonts w:cs="Times New Roman"/>
                <w:bCs/>
              </w:rPr>
              <w:t>L</w:t>
            </w:r>
            <w:r>
              <w:rPr>
                <w:rFonts w:cs="Times New Roman"/>
                <w:bCs/>
                <w:vertAlign w:val="subscript"/>
              </w:rPr>
              <w:t>W</w:t>
            </w:r>
            <w:r>
              <w:rPr>
                <w:rFonts w:cs="Times New Roman"/>
                <w:bCs/>
              </w:rPr>
              <w:t>——</w:t>
            </w:r>
            <w:r>
              <w:rPr>
                <w:rFonts w:hint="eastAsia" w:cs="Times New Roman"/>
                <w:bCs/>
              </w:rPr>
              <w:t>固定顶罐的工作损失（</w:t>
            </w:r>
            <w:r>
              <w:rPr>
                <w:rFonts w:cs="Times New Roman"/>
                <w:bCs/>
              </w:rPr>
              <w:t>kg/m</w:t>
            </w:r>
            <w:r>
              <w:rPr>
                <w:rFonts w:cs="Times New Roman"/>
                <w:bCs/>
                <w:vertAlign w:val="superscript"/>
              </w:rPr>
              <w:t>3</w:t>
            </w:r>
            <w:r>
              <w:rPr>
                <w:rFonts w:hint="eastAsia" w:cs="Times New Roman"/>
                <w:bCs/>
              </w:rPr>
              <w:t>投入量）；</w:t>
            </w:r>
          </w:p>
          <w:p w14:paraId="1C64F54B">
            <w:pPr>
              <w:ind w:firstLine="480"/>
              <w:rPr>
                <w:rFonts w:cs="Times New Roman"/>
                <w:bCs/>
              </w:rPr>
            </w:pPr>
            <w:r>
              <w:rPr>
                <w:rFonts w:cs="Times New Roman"/>
                <w:bCs/>
              </w:rPr>
              <w:t>M——</w:t>
            </w:r>
            <w:r>
              <w:rPr>
                <w:rFonts w:hint="eastAsia" w:cs="Times New Roman"/>
                <w:bCs/>
              </w:rPr>
              <w:t>储罐内蒸气的分子量；</w:t>
            </w:r>
          </w:p>
          <w:p w14:paraId="6823062D">
            <w:pPr>
              <w:ind w:firstLine="480"/>
              <w:rPr>
                <w:rFonts w:cs="Times New Roman"/>
                <w:bCs/>
              </w:rPr>
            </w:pPr>
            <w:r>
              <w:rPr>
                <w:rFonts w:cs="Times New Roman"/>
                <w:bCs/>
              </w:rPr>
              <w:t>P——</w:t>
            </w:r>
            <w:r>
              <w:rPr>
                <w:rFonts w:hint="eastAsia" w:cs="Times New Roman"/>
                <w:bCs/>
              </w:rPr>
              <w:t>在大量液体状态下，真实的蒸气压力（</w:t>
            </w:r>
            <w:r>
              <w:rPr>
                <w:rFonts w:cs="Times New Roman"/>
                <w:bCs/>
              </w:rPr>
              <w:t>Pa</w:t>
            </w:r>
            <w:r>
              <w:rPr>
                <w:rFonts w:hint="eastAsia" w:cs="Times New Roman"/>
                <w:bCs/>
              </w:rPr>
              <w:t>）；</w:t>
            </w:r>
          </w:p>
          <w:p w14:paraId="22B0D493">
            <w:pPr>
              <w:ind w:firstLine="480"/>
              <w:rPr>
                <w:rFonts w:cs="Times New Roman"/>
                <w:bCs/>
              </w:rPr>
            </w:pPr>
            <w:r>
              <w:rPr>
                <w:rFonts w:cs="Times New Roman"/>
                <w:bCs/>
              </w:rPr>
              <w:t>K</w:t>
            </w:r>
            <w:r>
              <w:rPr>
                <w:rFonts w:cs="Times New Roman"/>
                <w:bCs/>
                <w:vertAlign w:val="subscript"/>
              </w:rPr>
              <w:t>N</w:t>
            </w:r>
            <w:r>
              <w:rPr>
                <w:rFonts w:cs="Times New Roman"/>
                <w:bCs/>
              </w:rPr>
              <w:t>——</w:t>
            </w:r>
            <w:r>
              <w:rPr>
                <w:rFonts w:hint="eastAsia" w:cs="Times New Roman"/>
                <w:bCs/>
              </w:rPr>
              <w:t>周转因子（无量纲），取值按年周转次数（</w:t>
            </w:r>
            <w:r>
              <w:rPr>
                <w:rFonts w:cs="Times New Roman"/>
                <w:bCs/>
              </w:rPr>
              <w:t>K</w:t>
            </w:r>
            <w:r>
              <w:rPr>
                <w:rFonts w:hint="eastAsia" w:cs="Times New Roman"/>
                <w:bCs/>
              </w:rPr>
              <w:t>）确定，周转次数</w:t>
            </w:r>
            <w:r>
              <w:rPr>
                <w:rFonts w:cs="Times New Roman"/>
                <w:bCs/>
              </w:rPr>
              <w:t>=</w:t>
            </w:r>
            <w:r>
              <w:rPr>
                <w:rFonts w:hint="eastAsia" w:cs="Times New Roman"/>
                <w:bCs/>
              </w:rPr>
              <w:t>年投入量</w:t>
            </w:r>
            <w:r>
              <w:rPr>
                <w:rFonts w:cs="Times New Roman"/>
                <w:bCs/>
              </w:rPr>
              <w:t>/</w:t>
            </w:r>
            <w:r>
              <w:rPr>
                <w:rFonts w:hint="eastAsia" w:cs="Times New Roman"/>
                <w:bCs/>
              </w:rPr>
              <w:t>罐容量：</w:t>
            </w:r>
            <w:r>
              <w:rPr>
                <w:rFonts w:cs="Times New Roman"/>
                <w:bCs/>
              </w:rPr>
              <w:t>K&lt;=36</w:t>
            </w:r>
            <w:r>
              <w:rPr>
                <w:rFonts w:hint="eastAsia" w:cs="Times New Roman"/>
                <w:bCs/>
              </w:rPr>
              <w:t>，</w:t>
            </w:r>
            <w:r>
              <w:rPr>
                <w:rFonts w:cs="Times New Roman"/>
                <w:bCs/>
              </w:rPr>
              <w:t>K</w:t>
            </w:r>
            <w:r>
              <w:rPr>
                <w:rFonts w:cs="Times New Roman"/>
                <w:bCs/>
                <w:vertAlign w:val="subscript"/>
              </w:rPr>
              <w:t>N</w:t>
            </w:r>
            <w:r>
              <w:rPr>
                <w:rFonts w:cs="Times New Roman"/>
                <w:bCs/>
              </w:rPr>
              <w:t>=1</w:t>
            </w:r>
            <w:r>
              <w:rPr>
                <w:rFonts w:hint="eastAsia" w:cs="Times New Roman"/>
                <w:bCs/>
              </w:rPr>
              <w:t>；</w:t>
            </w:r>
            <w:r>
              <w:rPr>
                <w:rFonts w:cs="Times New Roman"/>
                <w:bCs/>
              </w:rPr>
              <w:t>36&lt;K&lt;=220</w:t>
            </w:r>
            <w:r>
              <w:rPr>
                <w:rFonts w:hint="eastAsia" w:cs="Times New Roman"/>
                <w:bCs/>
              </w:rPr>
              <w:t>，</w:t>
            </w:r>
            <w:r>
              <w:rPr>
                <w:rFonts w:cs="Times New Roman"/>
                <w:bCs/>
              </w:rPr>
              <w:t>K</w:t>
            </w:r>
            <w:r>
              <w:rPr>
                <w:rFonts w:cs="Times New Roman"/>
                <w:bCs/>
                <w:vertAlign w:val="subscript"/>
              </w:rPr>
              <w:t>N</w:t>
            </w:r>
            <w:r>
              <w:rPr>
                <w:rFonts w:cs="Times New Roman"/>
                <w:bCs/>
              </w:rPr>
              <w:t>=11.467×K</w:t>
            </w:r>
            <w:r>
              <w:rPr>
                <w:rFonts w:cs="Times New Roman"/>
                <w:bCs/>
                <w:vertAlign w:val="superscript"/>
              </w:rPr>
              <w:t>-0.7026</w:t>
            </w:r>
            <w:r>
              <w:rPr>
                <w:rFonts w:hint="eastAsia" w:cs="Times New Roman"/>
                <w:bCs/>
              </w:rPr>
              <w:t>；</w:t>
            </w:r>
            <w:r>
              <w:rPr>
                <w:rFonts w:cs="Times New Roman"/>
                <w:bCs/>
              </w:rPr>
              <w:t>K&gt;220</w:t>
            </w:r>
            <w:r>
              <w:rPr>
                <w:rFonts w:hint="eastAsia" w:cs="Times New Roman"/>
                <w:bCs/>
              </w:rPr>
              <w:t>，</w:t>
            </w:r>
            <w:r>
              <w:rPr>
                <w:rFonts w:cs="Times New Roman"/>
                <w:bCs/>
              </w:rPr>
              <w:t>K</w:t>
            </w:r>
            <w:r>
              <w:rPr>
                <w:rFonts w:cs="Times New Roman"/>
                <w:bCs/>
                <w:vertAlign w:val="subscript"/>
              </w:rPr>
              <w:t>N</w:t>
            </w:r>
            <w:r>
              <w:rPr>
                <w:rFonts w:cs="Times New Roman"/>
                <w:bCs/>
              </w:rPr>
              <w:t>=0.26</w:t>
            </w:r>
            <w:r>
              <w:rPr>
                <w:rFonts w:hint="eastAsia" w:cs="Times New Roman"/>
                <w:bCs/>
              </w:rPr>
              <w:t>。</w:t>
            </w:r>
          </w:p>
          <w:p w14:paraId="74D7D847">
            <w:pPr>
              <w:ind w:firstLine="480"/>
              <w:rPr>
                <w:rFonts w:cs="Times New Roman"/>
              </w:rPr>
            </w:pPr>
            <w:r>
              <w:rPr>
                <w:rFonts w:cs="Times New Roman"/>
                <w:bCs/>
              </w:rPr>
              <w:t>K</w:t>
            </w:r>
            <w:r>
              <w:rPr>
                <w:rFonts w:cs="Times New Roman"/>
                <w:bCs/>
                <w:vertAlign w:val="subscript"/>
              </w:rPr>
              <w:t>C</w:t>
            </w:r>
            <w:r>
              <w:rPr>
                <w:rFonts w:cs="Times New Roman"/>
                <w:bCs/>
              </w:rPr>
              <w:t>——</w:t>
            </w:r>
            <w:r>
              <w:rPr>
                <w:rFonts w:hint="eastAsia" w:cs="Times New Roman"/>
                <w:bCs/>
              </w:rPr>
              <w:t>产品因子（石油原油</w:t>
            </w:r>
            <w:r>
              <w:rPr>
                <w:rFonts w:cs="Times New Roman"/>
                <w:bCs/>
              </w:rPr>
              <w:t>K</w:t>
            </w:r>
            <w:r>
              <w:rPr>
                <w:rFonts w:cs="Times New Roman"/>
                <w:bCs/>
                <w:vertAlign w:val="subscript"/>
              </w:rPr>
              <w:t>C</w:t>
            </w:r>
            <w:r>
              <w:rPr>
                <w:rFonts w:hint="eastAsia" w:cs="Times New Roman"/>
                <w:bCs/>
              </w:rPr>
              <w:t>取</w:t>
            </w:r>
            <w:r>
              <w:rPr>
                <w:rFonts w:cs="Times New Roman"/>
                <w:bCs/>
              </w:rPr>
              <w:t>0.65</w:t>
            </w:r>
            <w:r>
              <w:rPr>
                <w:rFonts w:hint="eastAsia" w:cs="Times New Roman"/>
                <w:bCs/>
              </w:rPr>
              <w:t>，其他的有机液体取</w:t>
            </w:r>
            <w:r>
              <w:rPr>
                <w:rFonts w:cs="Times New Roman"/>
                <w:bCs/>
              </w:rPr>
              <w:t>1.0</w:t>
            </w:r>
            <w:r>
              <w:rPr>
                <w:rFonts w:hint="eastAsia" w:cs="Times New Roman"/>
                <w:bCs/>
              </w:rPr>
              <w:t>）；</w:t>
            </w:r>
          </w:p>
          <w:p w14:paraId="17910392">
            <w:pPr>
              <w:ind w:firstLine="480"/>
              <w:rPr>
                <w:rFonts w:cs="Times New Roman"/>
                <w:bCs/>
              </w:rPr>
            </w:pPr>
            <w:r>
              <w:rPr>
                <w:rFonts w:hint="eastAsia" w:cs="Times New Roman"/>
                <w:bCs/>
              </w:rPr>
              <w:t>项目氨水储罐大小呼吸计算参数见下表。</w:t>
            </w:r>
          </w:p>
          <w:p w14:paraId="3142C18C">
            <w:pPr>
              <w:pStyle w:val="43"/>
            </w:pPr>
            <w:r>
              <w:rPr>
                <w:rFonts w:hint="eastAsia"/>
              </w:rPr>
              <w:t>储罐大小呼吸计算参数表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042"/>
              <w:gridCol w:w="582"/>
              <w:gridCol w:w="1271"/>
              <w:gridCol w:w="456"/>
              <w:gridCol w:w="699"/>
              <w:gridCol w:w="788"/>
              <w:gridCol w:w="699"/>
              <w:gridCol w:w="928"/>
              <w:gridCol w:w="661"/>
              <w:gridCol w:w="674"/>
            </w:tblGrid>
            <w:tr w14:paraId="7C7C6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51" w:hRule="atLeast"/>
                <w:jc w:val="center"/>
              </w:trPr>
              <w:tc>
                <w:tcPr>
                  <w:tcW w:w="668" w:type="pct"/>
                  <w:vAlign w:val="center"/>
                </w:tcPr>
                <w:p w14:paraId="6907D29A">
                  <w:pPr>
                    <w:pStyle w:val="31"/>
                  </w:pPr>
                  <w:r>
                    <w:rPr>
                      <w:rFonts w:hint="eastAsia"/>
                    </w:rPr>
                    <w:t>品种</w:t>
                  </w:r>
                </w:p>
              </w:tc>
              <w:tc>
                <w:tcPr>
                  <w:tcW w:w="373" w:type="pct"/>
                  <w:vAlign w:val="center"/>
                </w:tcPr>
                <w:p w14:paraId="6C27475E">
                  <w:pPr>
                    <w:pStyle w:val="31"/>
                  </w:pPr>
                  <w:r>
                    <w:t>M</w:t>
                  </w:r>
                </w:p>
              </w:tc>
              <w:tc>
                <w:tcPr>
                  <w:tcW w:w="815" w:type="pct"/>
                  <w:vAlign w:val="center"/>
                </w:tcPr>
                <w:p w14:paraId="39E9D0CB">
                  <w:pPr>
                    <w:pStyle w:val="31"/>
                  </w:pPr>
                  <w:r>
                    <w:t>P</w:t>
                  </w:r>
                </w:p>
              </w:tc>
              <w:tc>
                <w:tcPr>
                  <w:tcW w:w="292" w:type="pct"/>
                  <w:vAlign w:val="center"/>
                </w:tcPr>
                <w:p w14:paraId="59FBC819">
                  <w:pPr>
                    <w:pStyle w:val="31"/>
                  </w:pPr>
                  <w:r>
                    <w:t>D</w:t>
                  </w:r>
                </w:p>
              </w:tc>
              <w:tc>
                <w:tcPr>
                  <w:tcW w:w="448" w:type="pct"/>
                  <w:vAlign w:val="center"/>
                </w:tcPr>
                <w:p w14:paraId="2B384472">
                  <w:pPr>
                    <w:pStyle w:val="31"/>
                  </w:pPr>
                  <w:r>
                    <w:t>H</w:t>
                  </w:r>
                </w:p>
              </w:tc>
              <w:tc>
                <w:tcPr>
                  <w:tcW w:w="505" w:type="pct"/>
                  <w:vAlign w:val="center"/>
                </w:tcPr>
                <w:p w14:paraId="28A68954">
                  <w:pPr>
                    <w:pStyle w:val="31"/>
                  </w:pPr>
                  <w:r>
                    <w:rPr>
                      <w:rFonts w:hint="eastAsia" w:ascii="Cambria Math" w:hAnsi="Cambria Math" w:cs="Cambria Math"/>
                    </w:rPr>
                    <w:t>△</w:t>
                  </w:r>
                  <w:r>
                    <w:t>T</w:t>
                  </w:r>
                </w:p>
              </w:tc>
              <w:tc>
                <w:tcPr>
                  <w:tcW w:w="448" w:type="pct"/>
                  <w:vAlign w:val="center"/>
                </w:tcPr>
                <w:p w14:paraId="17EF3309">
                  <w:pPr>
                    <w:pStyle w:val="31"/>
                  </w:pPr>
                  <w:r>
                    <w:t>Fp</w:t>
                  </w:r>
                </w:p>
              </w:tc>
              <w:tc>
                <w:tcPr>
                  <w:tcW w:w="595" w:type="pct"/>
                  <w:vAlign w:val="center"/>
                </w:tcPr>
                <w:p w14:paraId="4E8599BD">
                  <w:pPr>
                    <w:pStyle w:val="31"/>
                  </w:pPr>
                  <w:r>
                    <w:t>C</w:t>
                  </w:r>
                </w:p>
              </w:tc>
              <w:tc>
                <w:tcPr>
                  <w:tcW w:w="424" w:type="pct"/>
                  <w:vAlign w:val="center"/>
                </w:tcPr>
                <w:p w14:paraId="7667CDB6">
                  <w:pPr>
                    <w:pStyle w:val="31"/>
                  </w:pPr>
                  <w:r>
                    <w:t>K</w:t>
                  </w:r>
                  <w:r>
                    <w:rPr>
                      <w:vertAlign w:val="subscript"/>
                    </w:rPr>
                    <w:t>C</w:t>
                  </w:r>
                </w:p>
              </w:tc>
              <w:tc>
                <w:tcPr>
                  <w:tcW w:w="434" w:type="pct"/>
                  <w:vAlign w:val="center"/>
                </w:tcPr>
                <w:p w14:paraId="074BA818">
                  <w:pPr>
                    <w:pStyle w:val="31"/>
                  </w:pPr>
                  <w:r>
                    <w:t>K</w:t>
                  </w:r>
                  <w:r>
                    <w:rPr>
                      <w:vertAlign w:val="subscript"/>
                    </w:rPr>
                    <w:t>N</w:t>
                  </w:r>
                </w:p>
              </w:tc>
            </w:tr>
            <w:tr w14:paraId="261D38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40" w:hRule="atLeast"/>
                <w:jc w:val="center"/>
              </w:trPr>
              <w:tc>
                <w:tcPr>
                  <w:tcW w:w="668" w:type="pct"/>
                  <w:vAlign w:val="center"/>
                </w:tcPr>
                <w:p w14:paraId="4B79F405">
                  <w:pPr>
                    <w:pStyle w:val="31"/>
                  </w:pPr>
                  <w:r>
                    <w:rPr>
                      <w:rFonts w:hint="eastAsia"/>
                    </w:rPr>
                    <w:t>氨水</w:t>
                  </w:r>
                </w:p>
              </w:tc>
              <w:tc>
                <w:tcPr>
                  <w:tcW w:w="373" w:type="pct"/>
                  <w:vAlign w:val="center"/>
                </w:tcPr>
                <w:p w14:paraId="2093533D">
                  <w:pPr>
                    <w:pStyle w:val="31"/>
                  </w:pPr>
                  <w:r>
                    <w:t>17</w:t>
                  </w:r>
                </w:p>
              </w:tc>
              <w:tc>
                <w:tcPr>
                  <w:tcW w:w="815" w:type="pct"/>
                  <w:vAlign w:val="center"/>
                </w:tcPr>
                <w:p w14:paraId="4EED0275">
                  <w:pPr>
                    <w:pStyle w:val="31"/>
                  </w:pPr>
                  <w:r>
                    <w:t>14127</w:t>
                  </w:r>
                </w:p>
              </w:tc>
              <w:tc>
                <w:tcPr>
                  <w:tcW w:w="292" w:type="pct"/>
                  <w:vAlign w:val="center"/>
                </w:tcPr>
                <w:p w14:paraId="75841E4A">
                  <w:pPr>
                    <w:pStyle w:val="31"/>
                  </w:pPr>
                  <w:r>
                    <w:t>5</w:t>
                  </w:r>
                </w:p>
              </w:tc>
              <w:tc>
                <w:tcPr>
                  <w:tcW w:w="448" w:type="pct"/>
                  <w:vAlign w:val="center"/>
                </w:tcPr>
                <w:p w14:paraId="688AEA47">
                  <w:pPr>
                    <w:pStyle w:val="31"/>
                  </w:pPr>
                  <w:r>
                    <w:rPr>
                      <w:rFonts w:hint="eastAsia"/>
                    </w:rPr>
                    <w:t>2</w:t>
                  </w:r>
                </w:p>
              </w:tc>
              <w:tc>
                <w:tcPr>
                  <w:tcW w:w="505" w:type="pct"/>
                  <w:vAlign w:val="center"/>
                </w:tcPr>
                <w:p w14:paraId="344A8720">
                  <w:pPr>
                    <w:pStyle w:val="31"/>
                  </w:pPr>
                  <w:r>
                    <w:t>10</w:t>
                  </w:r>
                </w:p>
              </w:tc>
              <w:tc>
                <w:tcPr>
                  <w:tcW w:w="448" w:type="pct"/>
                  <w:vAlign w:val="center"/>
                </w:tcPr>
                <w:p w14:paraId="2A2EAE98">
                  <w:pPr>
                    <w:pStyle w:val="31"/>
                  </w:pPr>
                  <w:r>
                    <w:t>1.2</w:t>
                  </w:r>
                </w:p>
              </w:tc>
              <w:tc>
                <w:tcPr>
                  <w:tcW w:w="595" w:type="pct"/>
                  <w:vAlign w:val="center"/>
                </w:tcPr>
                <w:p w14:paraId="5BECBA22">
                  <w:pPr>
                    <w:pStyle w:val="31"/>
                  </w:pPr>
                  <w:r>
                    <w:t>0.80</w:t>
                  </w:r>
                </w:p>
              </w:tc>
              <w:tc>
                <w:tcPr>
                  <w:tcW w:w="424" w:type="pct"/>
                  <w:vAlign w:val="center"/>
                </w:tcPr>
                <w:p w14:paraId="23AD9E0B">
                  <w:pPr>
                    <w:pStyle w:val="31"/>
                  </w:pPr>
                  <w:r>
                    <w:t>1</w:t>
                  </w:r>
                </w:p>
              </w:tc>
              <w:tc>
                <w:tcPr>
                  <w:tcW w:w="434" w:type="pct"/>
                  <w:vAlign w:val="center"/>
                </w:tcPr>
                <w:p w14:paraId="5694D0DB">
                  <w:pPr>
                    <w:pStyle w:val="31"/>
                  </w:pPr>
                  <w:r>
                    <w:t>0.84</w:t>
                  </w:r>
                </w:p>
              </w:tc>
            </w:tr>
          </w:tbl>
          <w:p w14:paraId="4A122E83">
            <w:pPr>
              <w:ind w:firstLine="470" w:firstLineChars="196"/>
              <w:rPr>
                <w:rFonts w:cs="Times New Roman"/>
                <w:bCs/>
              </w:rPr>
            </w:pPr>
            <w:r>
              <w:rPr>
                <w:rFonts w:hint="eastAsia" w:cs="Times New Roman"/>
                <w:bCs/>
              </w:rPr>
              <w:t>经计算，本项目单个氨水贮罐小呼吸量为</w:t>
            </w:r>
            <w:r>
              <w:rPr>
                <w:rFonts w:cs="Times New Roman"/>
                <w:bCs/>
              </w:rPr>
              <w:t>58.94kg/a</w:t>
            </w:r>
            <w:r>
              <w:rPr>
                <w:rFonts w:hint="eastAsia" w:cs="Times New Roman"/>
                <w:bCs/>
              </w:rPr>
              <w:t>（</w:t>
            </w:r>
            <w:r>
              <w:rPr>
                <w:rFonts w:cs="Times New Roman"/>
                <w:bCs/>
              </w:rPr>
              <w:t>0.0074kg/h</w:t>
            </w:r>
            <w:r>
              <w:rPr>
                <w:rFonts w:hint="eastAsia" w:cs="Times New Roman"/>
                <w:bCs/>
              </w:rPr>
              <w:t>）；大呼吸量为</w:t>
            </w:r>
            <w:r>
              <w:rPr>
                <w:rFonts w:cs="Times New Roman"/>
                <w:bCs/>
              </w:rPr>
              <w:t>0.084kg/m</w:t>
            </w:r>
            <w:r>
              <w:rPr>
                <w:rFonts w:cs="Times New Roman"/>
                <w:bCs/>
                <w:vertAlign w:val="superscript"/>
              </w:rPr>
              <w:t>3</w:t>
            </w:r>
            <w:r>
              <w:rPr>
                <w:rFonts w:hint="eastAsia" w:cs="Times New Roman"/>
                <w:bCs/>
              </w:rPr>
              <w:t>投入量，单个氨水储罐为</w:t>
            </w:r>
            <w:r>
              <w:rPr>
                <w:rFonts w:cs="Times New Roman"/>
                <w:bCs/>
              </w:rPr>
              <w:t>40m</w:t>
            </w:r>
            <w:r>
              <w:rPr>
                <w:rFonts w:cs="Times New Roman"/>
                <w:bCs/>
                <w:vertAlign w:val="superscript"/>
              </w:rPr>
              <w:t>3</w:t>
            </w:r>
            <w:r>
              <w:rPr>
                <w:rFonts w:hint="eastAsia" w:cs="Times New Roman"/>
                <w:bCs/>
              </w:rPr>
              <w:t>，投入量按容积的</w:t>
            </w:r>
            <w:r>
              <w:rPr>
                <w:rFonts w:cs="Times New Roman"/>
                <w:bCs/>
              </w:rPr>
              <w:t>90%</w:t>
            </w:r>
            <w:r>
              <w:rPr>
                <w:rFonts w:hint="eastAsia" w:cs="Times New Roman"/>
                <w:bCs/>
              </w:rPr>
              <w:t>计算，则单个氨水贮罐单次大呼吸量为</w:t>
            </w:r>
            <w:r>
              <w:rPr>
                <w:rFonts w:cs="Times New Roman"/>
                <w:bCs/>
              </w:rPr>
              <w:t>3.04kg</w:t>
            </w:r>
            <w:r>
              <w:rPr>
                <w:rFonts w:hint="eastAsia" w:cs="Times New Roman"/>
                <w:bCs/>
              </w:rPr>
              <w:t>。</w:t>
            </w:r>
          </w:p>
          <w:p w14:paraId="368F3002">
            <w:pPr>
              <w:ind w:firstLine="470" w:firstLineChars="196"/>
              <w:rPr>
                <w:rFonts w:cs="Times New Roman"/>
                <w:bCs/>
              </w:rPr>
            </w:pPr>
            <w:r>
              <w:rPr>
                <w:rFonts w:hint="eastAsia" w:cs="Times New Roman"/>
                <w:bCs/>
              </w:rPr>
              <w:t>根据建设单位提供数据，年消耗氨水约</w:t>
            </w:r>
            <w:r>
              <w:rPr>
                <w:rFonts w:cs="Times New Roman"/>
                <w:bCs/>
              </w:rPr>
              <w:t>3200t</w:t>
            </w:r>
            <w:r>
              <w:rPr>
                <w:rFonts w:hint="eastAsia" w:cs="Times New Roman"/>
                <w:bCs/>
              </w:rPr>
              <w:t>，氨水密度为</w:t>
            </w:r>
            <w:r>
              <w:rPr>
                <w:rFonts w:cs="Times New Roman"/>
                <w:bCs/>
              </w:rPr>
              <w:t>0.91g/cm</w:t>
            </w:r>
            <w:r>
              <w:rPr>
                <w:rFonts w:cs="Times New Roman"/>
                <w:bCs/>
                <w:vertAlign w:val="superscript"/>
              </w:rPr>
              <w:t>3</w:t>
            </w:r>
            <w:r>
              <w:rPr>
                <w:rFonts w:hint="eastAsia" w:cs="Times New Roman"/>
                <w:bCs/>
              </w:rPr>
              <w:t>。经计算，单罐年投料次数约</w:t>
            </w:r>
            <w:r>
              <w:rPr>
                <w:rFonts w:cs="Times New Roman"/>
                <w:bCs/>
              </w:rPr>
              <w:t>50</w:t>
            </w:r>
            <w:r>
              <w:rPr>
                <w:rFonts w:hint="eastAsia" w:cs="Times New Roman"/>
                <w:bCs/>
              </w:rPr>
              <w:t>次，则全厂氨水储罐小呼吸量为</w:t>
            </w:r>
            <w:r>
              <w:rPr>
                <w:rFonts w:cs="Times New Roman"/>
                <w:bCs/>
              </w:rPr>
              <w:t>117.88kg/a</w:t>
            </w:r>
            <w:r>
              <w:rPr>
                <w:rFonts w:hint="eastAsia" w:cs="Times New Roman"/>
                <w:bCs/>
              </w:rPr>
              <w:t>，大呼吸量为</w:t>
            </w:r>
            <w:r>
              <w:rPr>
                <w:rFonts w:cs="Times New Roman"/>
                <w:bCs/>
              </w:rPr>
              <w:t>304.15kg/a</w:t>
            </w:r>
            <w:r>
              <w:rPr>
                <w:rFonts w:hint="eastAsia" w:cs="Times New Roman"/>
                <w:bCs/>
              </w:rPr>
              <w:t>，合计全厂逃逸氨量为</w:t>
            </w:r>
            <w:r>
              <w:rPr>
                <w:rFonts w:cs="Times New Roman"/>
                <w:bCs/>
              </w:rPr>
              <w:t>422.03kg/a</w:t>
            </w:r>
            <w:r>
              <w:rPr>
                <w:rFonts w:hint="eastAsia" w:cs="Times New Roman"/>
                <w:bCs/>
              </w:rPr>
              <w:t>，</w:t>
            </w:r>
            <w:r>
              <w:rPr>
                <w:rFonts w:cs="Times New Roman"/>
                <w:bCs/>
              </w:rPr>
              <w:t>0.42t/a</w:t>
            </w:r>
            <w:r>
              <w:rPr>
                <w:rFonts w:hint="eastAsia" w:cs="Times New Roman"/>
                <w:bCs/>
              </w:rPr>
              <w:t>。</w:t>
            </w:r>
          </w:p>
          <w:p w14:paraId="2E317D17">
            <w:pPr>
              <w:ind w:firstLine="482"/>
              <w:rPr>
                <w:b/>
                <w:bCs/>
              </w:rPr>
            </w:pPr>
            <w:r>
              <w:rPr>
                <w:rFonts w:hint="eastAsia"/>
                <w:b/>
                <w:bCs/>
              </w:rPr>
              <w:t>（2）处理措施及达标情况</w:t>
            </w:r>
          </w:p>
          <w:p w14:paraId="3B98B652">
            <w:pPr>
              <w:ind w:firstLine="480"/>
            </w:pPr>
            <w:r>
              <w:rPr>
                <w:rFonts w:hint="eastAsia"/>
              </w:rPr>
              <w:t>本项目设置4套脱硝设备（低氮燃烧+SCR脱硝装置）、4套喷淋式水膜除尘器以及2座烟囱。项目日常生产使用4套锅炉，其中每2套锅炉废气通过1根高26m的排气筒（DA001和DA002）排放。</w:t>
            </w:r>
          </w:p>
          <w:p w14:paraId="6C972EE5">
            <w:pPr>
              <w:ind w:firstLine="480"/>
            </w:pPr>
            <w:r>
              <w:rPr>
                <w:rFonts w:hint="eastAsia"/>
              </w:rPr>
              <w:t>根据《排污许可证申请与核发技术规范</w:t>
            </w:r>
            <w:r>
              <w:t xml:space="preserve"> </w:t>
            </w:r>
            <w:r>
              <w:rPr>
                <w:rFonts w:hint="eastAsia"/>
              </w:rPr>
              <w:t>锅炉》（</w:t>
            </w:r>
            <w:r>
              <w:t>HJ953-2018</w:t>
            </w:r>
            <w:r>
              <w:rPr>
                <w:rFonts w:hint="eastAsia"/>
              </w:rPr>
              <w:t>）中锅炉烟气污染防治可行技术，无针对生物质气锅炉的污染防治可行技术，故参考燃气锅炉和生物质锅炉的污染防治可行技术。污染防治可行技术如下表所示。</w:t>
            </w:r>
          </w:p>
          <w:p w14:paraId="7EEEEF7D">
            <w:pPr>
              <w:pStyle w:val="43"/>
            </w:pPr>
            <w:r>
              <w:rPr>
                <w:rFonts w:hint="eastAsia"/>
              </w:rPr>
              <w:t>燃气锅炉烟气污染防治可行技术一览表</w:t>
            </w:r>
          </w:p>
          <w:tbl>
            <w:tblPr>
              <w:tblStyle w:val="23"/>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62"/>
              <w:gridCol w:w="991"/>
              <w:gridCol w:w="3280"/>
              <w:gridCol w:w="2805"/>
              <w:gridCol w:w="362"/>
            </w:tblGrid>
            <w:tr w14:paraId="426B37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2F66889F">
                  <w:pPr>
                    <w:pStyle w:val="43"/>
                    <w:numPr>
                      <w:ilvl w:val="0"/>
                      <w:numId w:val="0"/>
                    </w:numPr>
                    <w:rPr>
                      <w:bCs/>
                    </w:rPr>
                  </w:pPr>
                  <w:r>
                    <w:rPr>
                      <w:rFonts w:hint="eastAsia"/>
                      <w:bCs/>
                    </w:rPr>
                    <w:t>类别</w:t>
                  </w:r>
                </w:p>
              </w:tc>
              <w:tc>
                <w:tcPr>
                  <w:tcW w:w="0" w:type="auto"/>
                  <w:vAlign w:val="center"/>
                </w:tcPr>
                <w:p w14:paraId="0B93F922">
                  <w:pPr>
                    <w:pStyle w:val="43"/>
                    <w:numPr>
                      <w:ilvl w:val="0"/>
                      <w:numId w:val="0"/>
                    </w:numPr>
                    <w:rPr>
                      <w:bCs/>
                    </w:rPr>
                  </w:pPr>
                  <w:r>
                    <w:rPr>
                      <w:rFonts w:hint="eastAsia"/>
                      <w:bCs/>
                    </w:rPr>
                    <w:t>燃气锅炉可行技术</w:t>
                  </w:r>
                </w:p>
              </w:tc>
              <w:tc>
                <w:tcPr>
                  <w:tcW w:w="0" w:type="auto"/>
                  <w:vAlign w:val="center"/>
                </w:tcPr>
                <w:p w14:paraId="46C937C3">
                  <w:pPr>
                    <w:pStyle w:val="43"/>
                    <w:numPr>
                      <w:ilvl w:val="0"/>
                      <w:numId w:val="0"/>
                    </w:numPr>
                    <w:rPr>
                      <w:bCs/>
                    </w:rPr>
                  </w:pPr>
                  <w:r>
                    <w:rPr>
                      <w:rFonts w:hint="eastAsia"/>
                      <w:bCs/>
                    </w:rPr>
                    <w:t>生物质锅炉可行技术</w:t>
                  </w:r>
                </w:p>
              </w:tc>
              <w:tc>
                <w:tcPr>
                  <w:tcW w:w="0" w:type="auto"/>
                  <w:vAlign w:val="center"/>
                </w:tcPr>
                <w:p w14:paraId="306D0656">
                  <w:pPr>
                    <w:pStyle w:val="43"/>
                    <w:numPr>
                      <w:ilvl w:val="0"/>
                      <w:numId w:val="0"/>
                    </w:numPr>
                    <w:rPr>
                      <w:bCs/>
                    </w:rPr>
                  </w:pPr>
                  <w:r>
                    <w:rPr>
                      <w:rFonts w:hint="eastAsia"/>
                      <w:bCs/>
                    </w:rPr>
                    <w:t>本项目</w:t>
                  </w:r>
                </w:p>
              </w:tc>
              <w:tc>
                <w:tcPr>
                  <w:tcW w:w="0" w:type="auto"/>
                  <w:vAlign w:val="center"/>
                </w:tcPr>
                <w:p w14:paraId="6198EA8E">
                  <w:pPr>
                    <w:pStyle w:val="43"/>
                    <w:numPr>
                      <w:ilvl w:val="0"/>
                      <w:numId w:val="0"/>
                    </w:numPr>
                    <w:rPr>
                      <w:bCs/>
                    </w:rPr>
                  </w:pPr>
                  <w:r>
                    <w:rPr>
                      <w:rFonts w:hint="eastAsia"/>
                      <w:bCs/>
                    </w:rPr>
                    <w:t>是否可行</w:t>
                  </w:r>
                </w:p>
              </w:tc>
            </w:tr>
            <w:tr w14:paraId="661936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2631BC21">
                  <w:pPr>
                    <w:pStyle w:val="43"/>
                    <w:numPr>
                      <w:ilvl w:val="0"/>
                      <w:numId w:val="0"/>
                    </w:numPr>
                    <w:rPr>
                      <w:b w:val="0"/>
                    </w:rPr>
                  </w:pPr>
                  <w:r>
                    <w:rPr>
                      <w:rFonts w:hint="eastAsia"/>
                      <w:b w:val="0"/>
                    </w:rPr>
                    <w:t>二氧化硫</w:t>
                  </w:r>
                </w:p>
              </w:tc>
              <w:tc>
                <w:tcPr>
                  <w:tcW w:w="0" w:type="auto"/>
                  <w:vAlign w:val="center"/>
                </w:tcPr>
                <w:p w14:paraId="5D0B0997">
                  <w:pPr>
                    <w:pStyle w:val="43"/>
                    <w:numPr>
                      <w:ilvl w:val="0"/>
                      <w:numId w:val="0"/>
                    </w:numPr>
                    <w:rPr>
                      <w:b w:val="0"/>
                    </w:rPr>
                  </w:pPr>
                  <w:r>
                    <w:rPr>
                      <w:b w:val="0"/>
                    </w:rPr>
                    <w:t>/</w:t>
                  </w:r>
                </w:p>
              </w:tc>
              <w:tc>
                <w:tcPr>
                  <w:tcW w:w="0" w:type="auto"/>
                  <w:vAlign w:val="center"/>
                </w:tcPr>
                <w:p w14:paraId="0B7BCA43">
                  <w:pPr>
                    <w:pStyle w:val="43"/>
                    <w:numPr>
                      <w:ilvl w:val="0"/>
                      <w:numId w:val="0"/>
                    </w:numPr>
                    <w:rPr>
                      <w:b w:val="0"/>
                    </w:rPr>
                  </w:pPr>
                  <w:r>
                    <w:rPr>
                      <w:b w:val="0"/>
                    </w:rPr>
                    <w:t>/</w:t>
                  </w:r>
                </w:p>
              </w:tc>
              <w:tc>
                <w:tcPr>
                  <w:tcW w:w="0" w:type="auto"/>
                  <w:vAlign w:val="center"/>
                </w:tcPr>
                <w:p w14:paraId="270B2F1A">
                  <w:pPr>
                    <w:pStyle w:val="43"/>
                    <w:numPr>
                      <w:ilvl w:val="0"/>
                      <w:numId w:val="0"/>
                    </w:numPr>
                    <w:rPr>
                      <w:b w:val="0"/>
                    </w:rPr>
                  </w:pPr>
                  <w:r>
                    <w:rPr>
                      <w:b w:val="0"/>
                    </w:rPr>
                    <w:t>/</w:t>
                  </w:r>
                </w:p>
              </w:tc>
              <w:tc>
                <w:tcPr>
                  <w:tcW w:w="0" w:type="auto"/>
                  <w:vAlign w:val="center"/>
                </w:tcPr>
                <w:p w14:paraId="731ACC36">
                  <w:pPr>
                    <w:pStyle w:val="43"/>
                    <w:numPr>
                      <w:ilvl w:val="0"/>
                      <w:numId w:val="0"/>
                    </w:numPr>
                    <w:rPr>
                      <w:b w:val="0"/>
                    </w:rPr>
                  </w:pPr>
                  <w:r>
                    <w:rPr>
                      <w:b w:val="0"/>
                    </w:rPr>
                    <w:t>/</w:t>
                  </w:r>
                </w:p>
              </w:tc>
            </w:tr>
            <w:tr w14:paraId="6FFE40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70530C1E">
                  <w:pPr>
                    <w:pStyle w:val="43"/>
                    <w:numPr>
                      <w:ilvl w:val="0"/>
                      <w:numId w:val="0"/>
                    </w:numPr>
                    <w:rPr>
                      <w:b w:val="0"/>
                    </w:rPr>
                  </w:pPr>
                  <w:r>
                    <w:rPr>
                      <w:rFonts w:hint="eastAsia"/>
                      <w:b w:val="0"/>
                    </w:rPr>
                    <w:t>氮氧化物</w:t>
                  </w:r>
                </w:p>
              </w:tc>
              <w:tc>
                <w:tcPr>
                  <w:tcW w:w="0" w:type="auto"/>
                  <w:vAlign w:val="center"/>
                </w:tcPr>
                <w:p w14:paraId="3D04DE79">
                  <w:pPr>
                    <w:pStyle w:val="43"/>
                    <w:numPr>
                      <w:ilvl w:val="0"/>
                      <w:numId w:val="0"/>
                    </w:numPr>
                    <w:rPr>
                      <w:b w:val="0"/>
                    </w:rPr>
                  </w:pPr>
                  <w:r>
                    <w:rPr>
                      <w:rFonts w:hint="eastAsia"/>
                      <w:b w:val="0"/>
                    </w:rPr>
                    <w:t>低氮燃烧技术、低氮燃烧</w:t>
                  </w:r>
                  <w:r>
                    <w:rPr>
                      <w:b w:val="0"/>
                    </w:rPr>
                    <w:t>+SCR</w:t>
                  </w:r>
                  <w:r>
                    <w:rPr>
                      <w:rFonts w:hint="eastAsia"/>
                      <w:b w:val="0"/>
                    </w:rPr>
                    <w:t>脱硝</w:t>
                  </w:r>
                </w:p>
              </w:tc>
              <w:tc>
                <w:tcPr>
                  <w:tcW w:w="0" w:type="auto"/>
                  <w:vAlign w:val="center"/>
                </w:tcPr>
                <w:p w14:paraId="7ED7A04B">
                  <w:pPr>
                    <w:pStyle w:val="43"/>
                    <w:numPr>
                      <w:ilvl w:val="0"/>
                      <w:numId w:val="0"/>
                    </w:numPr>
                    <w:rPr>
                      <w:b w:val="0"/>
                    </w:rPr>
                  </w:pPr>
                  <w:r>
                    <w:rPr>
                      <w:rFonts w:hint="eastAsia"/>
                      <w:b w:val="0"/>
                    </w:rPr>
                    <w:t>低氮燃烧</w:t>
                  </w:r>
                  <w:r>
                    <w:rPr>
                      <w:b w:val="0"/>
                    </w:rPr>
                    <w:t>+SNCR</w:t>
                  </w:r>
                  <w:r>
                    <w:rPr>
                      <w:rFonts w:hint="eastAsia"/>
                      <w:b w:val="0"/>
                    </w:rPr>
                    <w:t>脱硝技术、低氮燃烧技术</w:t>
                  </w:r>
                  <w:r>
                    <w:rPr>
                      <w:b w:val="0"/>
                    </w:rPr>
                    <w:t>+SCR</w:t>
                  </w:r>
                  <w:r>
                    <w:rPr>
                      <w:rFonts w:hint="eastAsia"/>
                      <w:b w:val="0"/>
                    </w:rPr>
                    <w:t>脱硝技术、低氨燃烧</w:t>
                  </w:r>
                  <w:r>
                    <w:rPr>
                      <w:b w:val="0"/>
                    </w:rPr>
                    <w:t>+(SNCR-SCR</w:t>
                  </w:r>
                  <w:r>
                    <w:rPr>
                      <w:rFonts w:hint="eastAsia"/>
                      <w:b w:val="0"/>
                    </w:rPr>
                    <w:t>联合</w:t>
                  </w:r>
                  <w:r>
                    <w:rPr>
                      <w:b w:val="0"/>
                    </w:rPr>
                    <w:t>)</w:t>
                  </w:r>
                  <w:r>
                    <w:rPr>
                      <w:rFonts w:hint="eastAsia"/>
                      <w:b w:val="0"/>
                    </w:rPr>
                    <w:t>脱硝技术、</w:t>
                  </w:r>
                  <w:r>
                    <w:rPr>
                      <w:b w:val="0"/>
                    </w:rPr>
                    <w:t>SNCR</w:t>
                  </w:r>
                  <w:r>
                    <w:rPr>
                      <w:rFonts w:hint="eastAsia"/>
                      <w:b w:val="0"/>
                    </w:rPr>
                    <w:t>脱硝技术、</w:t>
                  </w:r>
                  <w:r>
                    <w:rPr>
                      <w:b w:val="0"/>
                    </w:rPr>
                    <w:t>SCR</w:t>
                  </w:r>
                  <w:r>
                    <w:rPr>
                      <w:rFonts w:hint="eastAsia"/>
                      <w:b w:val="0"/>
                    </w:rPr>
                    <w:t>脱硝技术、</w:t>
                  </w:r>
                  <w:r>
                    <w:rPr>
                      <w:b w:val="0"/>
                    </w:rPr>
                    <w:t>SNCR-SCR</w:t>
                  </w:r>
                  <w:r>
                    <w:rPr>
                      <w:rFonts w:hint="eastAsia"/>
                      <w:b w:val="0"/>
                    </w:rPr>
                    <w:t>联合脱硝技术</w:t>
                  </w:r>
                </w:p>
              </w:tc>
              <w:tc>
                <w:tcPr>
                  <w:tcW w:w="0" w:type="auto"/>
                  <w:vAlign w:val="center"/>
                </w:tcPr>
                <w:p w14:paraId="312D635E">
                  <w:pPr>
                    <w:pStyle w:val="43"/>
                    <w:numPr>
                      <w:ilvl w:val="0"/>
                      <w:numId w:val="0"/>
                    </w:numPr>
                    <w:rPr>
                      <w:b w:val="0"/>
                    </w:rPr>
                  </w:pPr>
                  <w:r>
                    <w:rPr>
                      <w:rFonts w:hint="eastAsia"/>
                      <w:b w:val="0"/>
                    </w:rPr>
                    <w:t>低氮燃烧</w:t>
                  </w:r>
                  <w:r>
                    <w:rPr>
                      <w:b w:val="0"/>
                    </w:rPr>
                    <w:t>+SCR</w:t>
                  </w:r>
                  <w:r>
                    <w:rPr>
                      <w:rFonts w:hint="eastAsia"/>
                      <w:b w:val="0"/>
                    </w:rPr>
                    <w:t>脱硝</w:t>
                  </w:r>
                </w:p>
              </w:tc>
              <w:tc>
                <w:tcPr>
                  <w:tcW w:w="0" w:type="auto"/>
                  <w:vAlign w:val="center"/>
                </w:tcPr>
                <w:p w14:paraId="3549EC62">
                  <w:pPr>
                    <w:pStyle w:val="43"/>
                    <w:numPr>
                      <w:ilvl w:val="0"/>
                      <w:numId w:val="0"/>
                    </w:numPr>
                    <w:rPr>
                      <w:b w:val="0"/>
                    </w:rPr>
                  </w:pPr>
                  <w:r>
                    <w:rPr>
                      <w:rFonts w:hint="eastAsia"/>
                      <w:b w:val="0"/>
                    </w:rPr>
                    <w:t>可行</w:t>
                  </w:r>
                </w:p>
              </w:tc>
            </w:tr>
            <w:tr w14:paraId="2DD1A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Align w:val="center"/>
                </w:tcPr>
                <w:p w14:paraId="07F47AA6">
                  <w:pPr>
                    <w:pStyle w:val="43"/>
                    <w:numPr>
                      <w:ilvl w:val="0"/>
                      <w:numId w:val="0"/>
                    </w:numPr>
                    <w:rPr>
                      <w:b w:val="0"/>
                    </w:rPr>
                  </w:pPr>
                  <w:r>
                    <w:rPr>
                      <w:rFonts w:hint="eastAsia"/>
                      <w:b w:val="0"/>
                    </w:rPr>
                    <w:t>颗粒物</w:t>
                  </w:r>
                </w:p>
              </w:tc>
              <w:tc>
                <w:tcPr>
                  <w:tcW w:w="0" w:type="auto"/>
                  <w:vAlign w:val="center"/>
                </w:tcPr>
                <w:p w14:paraId="4911F537">
                  <w:pPr>
                    <w:pStyle w:val="43"/>
                    <w:numPr>
                      <w:ilvl w:val="0"/>
                      <w:numId w:val="0"/>
                    </w:numPr>
                    <w:rPr>
                      <w:b w:val="0"/>
                    </w:rPr>
                  </w:pPr>
                  <w:r>
                    <w:rPr>
                      <w:b w:val="0"/>
                    </w:rPr>
                    <w:t>/</w:t>
                  </w:r>
                </w:p>
              </w:tc>
              <w:tc>
                <w:tcPr>
                  <w:tcW w:w="0" w:type="auto"/>
                  <w:vAlign w:val="center"/>
                </w:tcPr>
                <w:p w14:paraId="50F920B0">
                  <w:pPr>
                    <w:pStyle w:val="43"/>
                    <w:numPr>
                      <w:ilvl w:val="0"/>
                      <w:numId w:val="0"/>
                    </w:numPr>
                    <w:rPr>
                      <w:b w:val="0"/>
                    </w:rPr>
                  </w:pPr>
                  <w:r>
                    <w:rPr>
                      <w:rFonts w:hint="eastAsia"/>
                      <w:b w:val="0"/>
                    </w:rPr>
                    <w:t>喷淋式水膜除尘器</w:t>
                  </w:r>
                </w:p>
              </w:tc>
              <w:tc>
                <w:tcPr>
                  <w:tcW w:w="0" w:type="auto"/>
                  <w:vAlign w:val="center"/>
                </w:tcPr>
                <w:p w14:paraId="0067D463">
                  <w:pPr>
                    <w:pStyle w:val="43"/>
                    <w:numPr>
                      <w:ilvl w:val="0"/>
                      <w:numId w:val="0"/>
                    </w:numPr>
                    <w:rPr>
                      <w:b w:val="0"/>
                    </w:rPr>
                  </w:pPr>
                  <w:r>
                    <w:rPr>
                      <w:rFonts w:hint="eastAsia"/>
                      <w:b w:val="0"/>
                    </w:rPr>
                    <w:t>因本项目采用生物质气为燃料，产生的颗粒物为细小颗粒，使用布袋除尘器除尘效率较低，且烟气温度高使用布袋除尘器易造成火灾事故，因此采用喷淋式水膜除尘。</w:t>
                  </w:r>
                </w:p>
              </w:tc>
              <w:tc>
                <w:tcPr>
                  <w:tcW w:w="0" w:type="auto"/>
                  <w:vAlign w:val="center"/>
                </w:tcPr>
                <w:p w14:paraId="2A4B8247">
                  <w:pPr>
                    <w:pStyle w:val="43"/>
                    <w:numPr>
                      <w:ilvl w:val="0"/>
                      <w:numId w:val="0"/>
                    </w:numPr>
                    <w:rPr>
                      <w:b w:val="0"/>
                    </w:rPr>
                  </w:pPr>
                  <w:r>
                    <w:rPr>
                      <w:rFonts w:hint="eastAsia"/>
                      <w:b w:val="0"/>
                    </w:rPr>
                    <w:t>可行</w:t>
                  </w:r>
                </w:p>
              </w:tc>
            </w:tr>
          </w:tbl>
          <w:p w14:paraId="5FE67446">
            <w:pPr>
              <w:ind w:firstLine="482"/>
              <w:rPr>
                <w:b/>
                <w:bCs/>
              </w:rPr>
            </w:pPr>
            <w:r>
              <w:rPr>
                <w:rFonts w:cs="Times New Roman"/>
                <w:b/>
                <w:bCs/>
              </w:rPr>
              <w:t>1</w:t>
            </w:r>
            <w:r>
              <w:rPr>
                <w:rFonts w:hint="eastAsia" w:cs="Times New Roman"/>
                <w:b/>
                <w:bCs/>
              </w:rPr>
              <w:t>、氮氧化物治理</w:t>
            </w:r>
          </w:p>
          <w:p w14:paraId="27077FC4">
            <w:pPr>
              <w:ind w:firstLine="480"/>
              <w:rPr>
                <w:rFonts w:cs="Times New Roman"/>
              </w:rPr>
            </w:pPr>
            <w:r>
              <w:rPr>
                <w:rFonts w:hint="eastAsia" w:cs="Times New Roman"/>
              </w:rPr>
              <w:t>选择性催化还原法（</w:t>
            </w:r>
            <w:r>
              <w:rPr>
                <w:rFonts w:cs="Times New Roman"/>
              </w:rPr>
              <w:t>Selective Catalytic Reduction</w:t>
            </w:r>
            <w:r>
              <w:rPr>
                <w:rFonts w:hint="eastAsia" w:cs="Times New Roman"/>
              </w:rPr>
              <w:t>，</w:t>
            </w:r>
            <w:r>
              <w:rPr>
                <w:rFonts w:cs="Times New Roman"/>
              </w:rPr>
              <w:t>SCR</w:t>
            </w:r>
            <w:r>
              <w:rPr>
                <w:rFonts w:hint="eastAsia" w:cs="Times New Roman"/>
              </w:rPr>
              <w:t>）是指在催化剂的作用下，利用还原剂（如氨水、液氨、尿素）来“有选择性”地与烟气中的</w:t>
            </w:r>
            <w:r>
              <w:rPr>
                <w:rFonts w:cs="Times New Roman"/>
              </w:rPr>
              <w:t>NOx</w:t>
            </w:r>
            <w:r>
              <w:rPr>
                <w:rFonts w:hint="eastAsia" w:cs="Times New Roman"/>
              </w:rPr>
              <w:t>反应并生成无毒无污染的</w:t>
            </w:r>
            <w:r>
              <w:rPr>
                <w:rFonts w:cs="Times New Roman"/>
              </w:rPr>
              <w:t>N</w:t>
            </w:r>
            <w:r>
              <w:rPr>
                <w:rFonts w:cs="Times New Roman"/>
                <w:vertAlign w:val="subscript"/>
              </w:rPr>
              <w:t>2</w:t>
            </w:r>
            <w:r>
              <w:rPr>
                <w:rFonts w:hint="eastAsia" w:cs="Times New Roman"/>
              </w:rPr>
              <w:t>和</w:t>
            </w:r>
            <w:r>
              <w:rPr>
                <w:rFonts w:cs="Times New Roman"/>
              </w:rPr>
              <w:t>H</w:t>
            </w:r>
            <w:r>
              <w:rPr>
                <w:rFonts w:cs="Times New Roman"/>
                <w:vertAlign w:val="subscript"/>
              </w:rPr>
              <w:t>2</w:t>
            </w:r>
            <w:r>
              <w:rPr>
                <w:rFonts w:cs="Times New Roman"/>
              </w:rPr>
              <w:t>O</w:t>
            </w:r>
            <w:r>
              <w:rPr>
                <w:rFonts w:hint="eastAsia" w:cs="Times New Roman"/>
              </w:rPr>
              <w:t>。合理的布置及温度范围下，可达到</w:t>
            </w:r>
            <w:r>
              <w:rPr>
                <w:rFonts w:cs="Times New Roman"/>
              </w:rPr>
              <w:t>80~90%</w:t>
            </w:r>
            <w:r>
              <w:rPr>
                <w:rFonts w:hint="eastAsia" w:cs="Times New Roman"/>
              </w:rPr>
              <w:t>的脱除率。</w:t>
            </w:r>
          </w:p>
          <w:p w14:paraId="65BD4FFA">
            <w:pPr>
              <w:pStyle w:val="28"/>
              <w:spacing w:line="360" w:lineRule="auto"/>
              <w:ind w:firstLine="480" w:firstLineChars="200"/>
              <w:jc w:val="both"/>
              <w:rPr>
                <w:rFonts w:ascii="Times New Roman" w:hAnsi="Times New Roman" w:cs="Times New Roman"/>
                <w:color w:val="auto"/>
              </w:rPr>
            </w:pPr>
            <w:r>
              <w:rPr>
                <w:rFonts w:hint="eastAsia" w:cs="Times New Roman"/>
                <w:bCs/>
                <w:color w:val="auto"/>
              </w:rPr>
              <w:t>典型</w:t>
            </w:r>
            <w:r>
              <w:rPr>
                <w:rFonts w:cs="Times New Roman"/>
                <w:bCs/>
                <w:color w:val="auto"/>
              </w:rPr>
              <w:t>SCR主要工艺流程为：还原剂</w:t>
            </w:r>
            <w:r>
              <w:rPr>
                <w:rFonts w:hint="eastAsia" w:cs="Times New Roman"/>
                <w:bCs/>
                <w:color w:val="auto"/>
              </w:rPr>
              <w:t>（如</w:t>
            </w:r>
            <w:r>
              <w:rPr>
                <w:rFonts w:hint="eastAsia" w:cs="Times New Roman"/>
                <w:color w:val="auto"/>
              </w:rPr>
              <w:t>氨水</w:t>
            </w:r>
            <w:r>
              <w:rPr>
                <w:rFonts w:hint="eastAsia" w:cs="Times New Roman"/>
                <w:bCs/>
                <w:color w:val="auto"/>
              </w:rPr>
              <w:t>、液氨、尿素）用罐装卡车运输，以液体状态储存于氨罐中</w:t>
            </w:r>
            <w:r>
              <w:rPr>
                <w:rFonts w:hint="eastAsia" w:ascii="Times New Roman" w:hAnsi="Times New Roman" w:cs="Times New Roman"/>
                <w:bCs/>
                <w:color w:val="auto"/>
              </w:rPr>
              <w:t>。还原剂</w:t>
            </w:r>
            <w:r>
              <w:rPr>
                <w:rFonts w:hint="eastAsia" w:cs="Times New Roman"/>
                <w:bCs/>
                <w:color w:val="auto"/>
              </w:rPr>
              <w:t>在注入</w:t>
            </w:r>
            <w:r>
              <w:rPr>
                <w:rFonts w:cs="Times New Roman"/>
                <w:bCs/>
                <w:color w:val="auto"/>
              </w:rPr>
              <w:t>SCR系统烟气之前经由蒸发器蒸发汽化；汽化的氨和稀释空气混合，通过喷氨格栅喷入SCR反应器上游的烟气中；充分混合后的还原剂和烟气在SCR反应器中催化剂的作用下发生反应，去除NOx。</w:t>
            </w:r>
          </w:p>
          <w:p w14:paraId="2AB2187E">
            <w:pPr>
              <w:ind w:firstLine="480"/>
            </w:pPr>
            <w:r>
              <w:rPr>
                <w:rFonts w:hint="eastAsia"/>
              </w:rPr>
              <w:t>在</w:t>
            </w:r>
            <w:r>
              <w:t>SCR</w:t>
            </w:r>
            <w:r>
              <w:fldChar w:fldCharType="begin"/>
            </w:r>
            <w:r>
              <w:instrText xml:space="preserve"> HYPERLINK "https://baike.baidu.com/item/%E8%84%B1%E7%A1%9D/0?fromModule=lemma_inlink" \t "_blank" </w:instrText>
            </w:r>
            <w:r>
              <w:fldChar w:fldCharType="separate"/>
            </w:r>
            <w:r>
              <w:rPr>
                <w:rStyle w:val="25"/>
                <w:rFonts w:hint="eastAsia" w:cs="Times New Roman"/>
                <w:color w:val="auto"/>
                <w:u w:val="none"/>
              </w:rPr>
              <w:t>脱硝</w:t>
            </w:r>
            <w:r>
              <w:rPr>
                <w:rStyle w:val="25"/>
                <w:rFonts w:hint="eastAsia" w:cs="Times New Roman"/>
                <w:color w:val="auto"/>
                <w:u w:val="none"/>
              </w:rPr>
              <w:fldChar w:fldCharType="end"/>
            </w:r>
            <w:r>
              <w:rPr>
                <w:rFonts w:hint="eastAsia"/>
              </w:rPr>
              <w:t>过程中，通过加氨可以把</w:t>
            </w:r>
            <w:r>
              <w:t>NOx</w:t>
            </w:r>
            <w:r>
              <w:rPr>
                <w:rFonts w:hint="eastAsia"/>
              </w:rPr>
              <w:t>转化为空气中天然含有的氮气（</w:t>
            </w:r>
            <w:r>
              <w:t>N</w:t>
            </w:r>
            <w:r>
              <w:rPr>
                <w:vertAlign w:val="subscript"/>
              </w:rPr>
              <w:t>2</w:t>
            </w:r>
            <w:r>
              <w:rPr>
                <w:rFonts w:hint="eastAsia"/>
              </w:rPr>
              <w:t>）和水（</w:t>
            </w:r>
            <w:r>
              <w:t>H</w:t>
            </w:r>
            <w:r>
              <w:rPr>
                <w:vertAlign w:val="subscript"/>
              </w:rPr>
              <w:t>2</w:t>
            </w:r>
            <w:r>
              <w:t>O</w:t>
            </w:r>
            <w:r>
              <w:rPr>
                <w:rFonts w:hint="eastAsia"/>
              </w:rPr>
              <w:t>），其主要的化学反应如下：</w:t>
            </w:r>
          </w:p>
          <w:p w14:paraId="0D62581E">
            <w:pPr>
              <w:ind w:firstLine="480"/>
              <w:jc w:val="center"/>
            </w:pPr>
            <w:r>
              <w:t>4NO+4NH</w:t>
            </w:r>
            <w:r>
              <w:rPr>
                <w:vertAlign w:val="subscript"/>
              </w:rPr>
              <w:t>3</w:t>
            </w:r>
            <w:r>
              <w:t>+O</w:t>
            </w:r>
            <w:r>
              <w:rPr>
                <w:vertAlign w:val="subscript"/>
              </w:rPr>
              <w:t>2</w:t>
            </w:r>
            <w:r>
              <w:rPr>
                <w:rFonts w:hint="eastAsia"/>
              </w:rPr>
              <w:t>→</w:t>
            </w:r>
            <w:r>
              <w:t>4N</w:t>
            </w:r>
            <w:r>
              <w:rPr>
                <w:vertAlign w:val="subscript"/>
              </w:rPr>
              <w:t>2</w:t>
            </w:r>
            <w:r>
              <w:t>+6H</w:t>
            </w:r>
            <w:r>
              <w:rPr>
                <w:vertAlign w:val="subscript"/>
              </w:rPr>
              <w:t>2</w:t>
            </w:r>
            <w:r>
              <w:t>O</w:t>
            </w:r>
          </w:p>
          <w:p w14:paraId="10DB2F2C">
            <w:pPr>
              <w:ind w:firstLine="480"/>
              <w:jc w:val="center"/>
            </w:pPr>
            <w:r>
              <w:t>6NO+4NH</w:t>
            </w:r>
            <w:r>
              <w:rPr>
                <w:vertAlign w:val="subscript"/>
              </w:rPr>
              <w:t>3</w:t>
            </w:r>
            <w:r>
              <w:rPr>
                <w:rFonts w:hint="eastAsia"/>
              </w:rPr>
              <w:t>→</w:t>
            </w:r>
            <w:r>
              <w:t>5N</w:t>
            </w:r>
            <w:r>
              <w:rPr>
                <w:vertAlign w:val="subscript"/>
              </w:rPr>
              <w:t>2</w:t>
            </w:r>
            <w:r>
              <w:t>+6H</w:t>
            </w:r>
            <w:r>
              <w:rPr>
                <w:vertAlign w:val="subscript"/>
              </w:rPr>
              <w:t>2</w:t>
            </w:r>
            <w:r>
              <w:t>O</w:t>
            </w:r>
          </w:p>
          <w:p w14:paraId="43AD6E45">
            <w:pPr>
              <w:ind w:firstLine="480"/>
              <w:jc w:val="center"/>
            </w:pPr>
            <w:r>
              <w:t>6NO</w:t>
            </w:r>
            <w:r>
              <w:rPr>
                <w:vertAlign w:val="subscript"/>
              </w:rPr>
              <w:t>2</w:t>
            </w:r>
            <w:r>
              <w:t>+8NH</w:t>
            </w:r>
            <w:r>
              <w:rPr>
                <w:vertAlign w:val="subscript"/>
              </w:rPr>
              <w:t>3</w:t>
            </w:r>
            <w:r>
              <w:rPr>
                <w:rFonts w:hint="eastAsia"/>
              </w:rPr>
              <w:t>→</w:t>
            </w:r>
            <w:r>
              <w:t>7N</w:t>
            </w:r>
            <w:r>
              <w:rPr>
                <w:vertAlign w:val="subscript"/>
              </w:rPr>
              <w:t>2</w:t>
            </w:r>
            <w:r>
              <w:t>+12H</w:t>
            </w:r>
            <w:r>
              <w:rPr>
                <w:vertAlign w:val="subscript"/>
              </w:rPr>
              <w:t>2</w:t>
            </w:r>
            <w:r>
              <w:t>O</w:t>
            </w:r>
          </w:p>
          <w:p w14:paraId="6F6C2B40">
            <w:pPr>
              <w:ind w:firstLine="480"/>
              <w:jc w:val="center"/>
            </w:pPr>
            <w:r>
              <w:t>2NO</w:t>
            </w:r>
            <w:r>
              <w:rPr>
                <w:vertAlign w:val="subscript"/>
              </w:rPr>
              <w:t>2</w:t>
            </w:r>
            <w:r>
              <w:t>+4NH</w:t>
            </w:r>
            <w:r>
              <w:rPr>
                <w:vertAlign w:val="subscript"/>
              </w:rPr>
              <w:t>3</w:t>
            </w:r>
            <w:r>
              <w:t>+O</w:t>
            </w:r>
            <w:r>
              <w:rPr>
                <w:vertAlign w:val="subscript"/>
              </w:rPr>
              <w:t>2</w:t>
            </w:r>
            <w:r>
              <w:rPr>
                <w:rFonts w:hint="eastAsia"/>
              </w:rPr>
              <w:t>→</w:t>
            </w:r>
            <w:r>
              <w:t>3N</w:t>
            </w:r>
            <w:r>
              <w:rPr>
                <w:vertAlign w:val="subscript"/>
              </w:rPr>
              <w:t>2</w:t>
            </w:r>
            <w:r>
              <w:t>+6H</w:t>
            </w:r>
            <w:r>
              <w:rPr>
                <w:vertAlign w:val="subscript"/>
              </w:rPr>
              <w:t>2</w:t>
            </w:r>
            <w:r>
              <w:t>O</w:t>
            </w:r>
          </w:p>
          <w:p w14:paraId="23C41C74">
            <w:pPr>
              <w:adjustRightInd w:val="0"/>
              <w:snapToGrid w:val="0"/>
              <w:ind w:firstLine="0" w:firstLineChars="0"/>
              <w:jc w:val="center"/>
            </w:pPr>
            <w:r>
              <w:rPr>
                <w:rFonts w:eastAsia="Times New Roman" w:cs="Times New Roman"/>
                <w:snapToGrid w:val="0"/>
                <w:w w:val="0"/>
                <w:kern w:val="0"/>
                <w:sz w:val="0"/>
                <w:szCs w:val="0"/>
                <w:u w:color="000000"/>
                <w:shd w:val="clear" w:color="000000" w:fill="000000"/>
                <w:lang w:bidi="zh-CN"/>
              </w:rPr>
              <w:t xml:space="preserve"> </w:t>
            </w:r>
            <w:r>
              <w:drawing>
                <wp:inline distT="0" distB="0" distL="0" distR="0">
                  <wp:extent cx="4953000" cy="3219450"/>
                  <wp:effectExtent l="0" t="0" r="0" b="0"/>
                  <wp:docPr id="2652196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19679" name="图片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4953000" cy="3219450"/>
                          </a:xfrm>
                          <a:prstGeom prst="rect">
                            <a:avLst/>
                          </a:prstGeom>
                          <a:noFill/>
                          <a:ln>
                            <a:noFill/>
                          </a:ln>
                        </pic:spPr>
                      </pic:pic>
                    </a:graphicData>
                  </a:graphic>
                </wp:inline>
              </w:drawing>
            </w:r>
          </w:p>
          <w:p w14:paraId="35845EB1">
            <w:pPr>
              <w:adjustRightInd w:val="0"/>
              <w:snapToGrid w:val="0"/>
              <w:ind w:firstLine="0" w:firstLineChars="0"/>
              <w:jc w:val="center"/>
              <w:rPr>
                <w:sz w:val="21"/>
                <w:szCs w:val="20"/>
              </w:rPr>
            </w:pPr>
            <w:r>
              <w:rPr>
                <w:rFonts w:hint="eastAsia" w:cs="Times New Roman"/>
                <w:b/>
                <w:bCs/>
                <w:sz w:val="21"/>
                <w:szCs w:val="18"/>
              </w:rPr>
              <w:t>图</w:t>
            </w:r>
            <w:r>
              <w:rPr>
                <w:rFonts w:cs="Times New Roman"/>
                <w:b/>
                <w:bCs/>
                <w:sz w:val="21"/>
                <w:szCs w:val="18"/>
              </w:rPr>
              <w:t xml:space="preserve">4-1 </w:t>
            </w:r>
            <w:r>
              <w:rPr>
                <w:rFonts w:hint="eastAsia" w:cs="Times New Roman"/>
                <w:b/>
                <w:bCs/>
                <w:sz w:val="21"/>
                <w:szCs w:val="18"/>
              </w:rPr>
              <w:t>烟气脱硝工艺流程示意图</w:t>
            </w:r>
          </w:p>
          <w:p w14:paraId="323169E5">
            <w:pPr>
              <w:numPr>
                <w:ilvl w:val="255"/>
                <w:numId w:val="0"/>
              </w:numPr>
              <w:adjustRightInd w:val="0"/>
              <w:snapToGrid w:val="0"/>
              <w:ind w:firstLine="482" w:firstLineChars="200"/>
              <w:rPr>
                <w:b/>
              </w:rPr>
            </w:pPr>
            <w:r>
              <w:rPr>
                <w:rFonts w:hint="eastAsia" w:cs="Times New Roman"/>
                <w:b/>
              </w:rPr>
              <w:t>2、二氧化硫治理</w:t>
            </w:r>
          </w:p>
          <w:p w14:paraId="2CB83582">
            <w:pPr>
              <w:adjustRightInd w:val="0"/>
              <w:snapToGrid w:val="0"/>
              <w:ind w:firstLine="480"/>
            </w:pPr>
            <w:r>
              <w:rPr>
                <w:rFonts w:hint="eastAsia"/>
              </w:rPr>
              <w:t>根据前文，二氧化硫产生浓度为3.41mg/m</w:t>
            </w:r>
            <w:r>
              <w:rPr>
                <w:rFonts w:hint="eastAsia"/>
                <w:vertAlign w:val="superscript"/>
              </w:rPr>
              <w:t>3</w:t>
            </w:r>
            <w:r>
              <w:rPr>
                <w:rFonts w:hint="eastAsia"/>
              </w:rPr>
              <w:t>，满足</w:t>
            </w:r>
            <w:r>
              <w:t>《锅炉大气污染物排放标准》GB13271-2014表2中的排放浓度限值</w:t>
            </w:r>
            <w:r>
              <w:rPr>
                <w:rFonts w:hint="eastAsia"/>
              </w:rPr>
              <w:t>，无需使用除硫措施即可达标排放。</w:t>
            </w:r>
          </w:p>
          <w:p w14:paraId="31E9825C">
            <w:pPr>
              <w:adjustRightInd w:val="0"/>
              <w:snapToGrid w:val="0"/>
              <w:ind w:firstLine="482"/>
              <w:rPr>
                <w:b/>
              </w:rPr>
            </w:pPr>
            <w:r>
              <w:rPr>
                <w:rFonts w:hint="eastAsia" w:cs="Times New Roman"/>
                <w:b/>
              </w:rPr>
              <w:t>3、颗粒物治理</w:t>
            </w:r>
          </w:p>
          <w:p w14:paraId="663ADDDC">
            <w:pPr>
              <w:adjustRightInd w:val="0"/>
              <w:snapToGrid w:val="0"/>
              <w:ind w:firstLine="480"/>
              <w:rPr>
                <w:rFonts w:cs="Times New Roman"/>
                <w:bCs/>
              </w:rPr>
            </w:pPr>
            <w:r>
              <w:rPr>
                <w:rFonts w:hint="eastAsia" w:cs="Times New Roman"/>
                <w:bCs/>
              </w:rPr>
              <w:t>喷雾除尘主要是利用喷雾产生的微小水滴与粉尘颗粒相互作用，使粉尘颗粒被捕获并沉降，从而达到除尘的目的。含尘气流在运动过程中遇到喷雾形成的水滴，粉尘颗粒由于具有一定的质量和惯性，会继续保持原来的运动方向，当粉尘颗粒的运动轨迹与水滴相交时，就会与水滴发生碰撞。粒径较大、质量较重的粉尘颗粒惯性较大，更容易与水滴发生碰撞，碰撞后粉尘颗粒就会被水滴捕获，随水滴一起沉降。</w:t>
            </w:r>
          </w:p>
          <w:p w14:paraId="7B5E23F9">
            <w:pPr>
              <w:adjustRightInd w:val="0"/>
              <w:snapToGrid w:val="0"/>
              <w:ind w:firstLine="480"/>
              <w:rPr>
                <w:rFonts w:cs="Times New Roman"/>
                <w:bCs/>
              </w:rPr>
            </w:pPr>
            <w:r>
              <w:rPr>
                <w:rFonts w:hint="eastAsia" w:cs="Times New Roman"/>
                <w:bCs/>
              </w:rPr>
              <w:t>在水膜除尘过程中，</w:t>
            </w:r>
            <w:r>
              <w:rPr>
                <w:rFonts w:cs="Times New Roman"/>
                <w:bCs/>
              </w:rPr>
              <w:t>含尘气体由</w:t>
            </w:r>
            <w:r>
              <w:rPr>
                <w:rFonts w:hint="eastAsia" w:cs="Times New Roman"/>
                <w:bCs/>
              </w:rPr>
              <w:t>除尘器</w:t>
            </w:r>
            <w:r>
              <w:rPr>
                <w:rFonts w:cs="Times New Roman"/>
                <w:bCs/>
              </w:rPr>
              <w:t>下部顺切向引入，旋转上升，尘粒受离心力作用而被分离，抛向筒体内壁，被简体内壁流动的水膜层所吸附，随水流到底部锥体，经排尘口卸出。水膜层的形成是由布置在筒体的上部几个喷嘴、将水顺切向喷至器壁。这样，在</w:t>
            </w:r>
            <w:r>
              <w:rPr>
                <w:rFonts w:hint="eastAsia" w:cs="Times New Roman"/>
                <w:bCs/>
              </w:rPr>
              <w:t>除尘器</w:t>
            </w:r>
            <w:r>
              <w:rPr>
                <w:rFonts w:cs="Times New Roman"/>
                <w:bCs/>
              </w:rPr>
              <w:t>内壁始终覆盖一层旋转向下流动的很薄水膜，达到提高除尘效果的目的。</w:t>
            </w:r>
          </w:p>
          <w:p w14:paraId="65970C9A">
            <w:pPr>
              <w:adjustRightInd w:val="0"/>
              <w:snapToGrid w:val="0"/>
              <w:ind w:firstLine="480"/>
              <w:rPr>
                <w:rFonts w:cs="Times New Roman"/>
                <w:bCs/>
              </w:rPr>
            </w:pPr>
            <w:r>
              <w:rPr>
                <w:rFonts w:hint="eastAsia" w:cs="Times New Roman"/>
                <w:bCs/>
              </w:rPr>
              <w:t>因本项目采用生物质气为燃料，产生的颗粒物为细小颗粒，使用布袋除尘器除尘效率较低，且本项目烟气温度高使用布袋除尘器易造成火灾事故，采用喷淋式水膜除尘亦可起到降温作用，故使用喷淋式水膜除尘器。</w:t>
            </w:r>
          </w:p>
          <w:p w14:paraId="6ECB679A">
            <w:pPr>
              <w:adjustRightInd w:val="0"/>
              <w:snapToGrid w:val="0"/>
              <w:ind w:firstLine="480"/>
            </w:pPr>
            <w:r>
              <w:rPr>
                <w:rFonts w:hint="eastAsia" w:cs="Times New Roman"/>
                <w:bCs/>
              </w:rPr>
              <w:t>将本项目四套锅炉废气均分到两根排气筒计，则本</w:t>
            </w:r>
            <w:r>
              <w:rPr>
                <w:rFonts w:cs="Times New Roman"/>
                <w:bCs/>
              </w:rPr>
              <w:t>项目废气污染物源强核算结果见表4-</w:t>
            </w:r>
            <w:r>
              <w:rPr>
                <w:rFonts w:hint="eastAsia" w:cs="Times New Roman"/>
                <w:bCs/>
              </w:rPr>
              <w:t>4</w:t>
            </w:r>
            <w:r>
              <w:rPr>
                <w:rFonts w:cs="Times New Roman"/>
                <w:bCs/>
              </w:rPr>
              <w:t>。</w:t>
            </w:r>
          </w:p>
        </w:tc>
      </w:tr>
    </w:tbl>
    <w:p w14:paraId="545A812C">
      <w:pPr>
        <w:ind w:firstLine="480"/>
        <w:sectPr>
          <w:pgSz w:w="11906" w:h="16838"/>
          <w:pgMar w:top="1440" w:right="1800" w:bottom="1440" w:left="1800" w:header="851" w:footer="992" w:gutter="0"/>
          <w:cols w:space="425" w:num="1"/>
          <w:docGrid w:type="lines" w:linePitch="312"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95"/>
        <w:gridCol w:w="14439"/>
      </w:tblGrid>
      <w:tr w14:paraId="24A0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921" w:hRule="atLeast"/>
          <w:jc w:val="center"/>
        </w:trPr>
        <w:tc>
          <w:tcPr>
            <w:tcW w:w="100" w:type="pct"/>
          </w:tcPr>
          <w:p w14:paraId="2F1A653A">
            <w:pPr>
              <w:ind w:firstLine="0" w:firstLineChars="0"/>
            </w:pPr>
          </w:p>
        </w:tc>
        <w:tc>
          <w:tcPr>
            <w:tcW w:w="4900" w:type="pct"/>
          </w:tcPr>
          <w:p w14:paraId="22AA3FA8">
            <w:pPr>
              <w:pStyle w:val="43"/>
            </w:pPr>
            <w:r>
              <w:rPr>
                <w:rFonts w:hint="eastAsia"/>
              </w:rPr>
              <w:t>废气污染物排放信息表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12"/>
              <w:gridCol w:w="1128"/>
              <w:gridCol w:w="918"/>
              <w:gridCol w:w="584"/>
              <w:gridCol w:w="1110"/>
              <w:gridCol w:w="1335"/>
              <w:gridCol w:w="1142"/>
              <w:gridCol w:w="1142"/>
              <w:gridCol w:w="1007"/>
              <w:gridCol w:w="1007"/>
              <w:gridCol w:w="1110"/>
              <w:gridCol w:w="1073"/>
              <w:gridCol w:w="780"/>
              <w:gridCol w:w="1335"/>
            </w:tblGrid>
            <w:tr w14:paraId="4C77D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3" w:hRule="atLeast"/>
                <w:jc w:val="center"/>
              </w:trPr>
              <w:tc>
                <w:tcPr>
                  <w:tcW w:w="248" w:type="pct"/>
                  <w:vMerge w:val="restart"/>
                  <w:vAlign w:val="center"/>
                </w:tcPr>
                <w:p w14:paraId="7858E4D9">
                  <w:pPr>
                    <w:pStyle w:val="43"/>
                    <w:numPr>
                      <w:ilvl w:val="0"/>
                      <w:numId w:val="0"/>
                    </w:numPr>
                  </w:pPr>
                  <w:r>
                    <w:rPr>
                      <w:rFonts w:hint="eastAsia"/>
                      <w:spacing w:val="-10"/>
                    </w:rPr>
                    <w:t>污染源</w:t>
                  </w:r>
                </w:p>
              </w:tc>
              <w:tc>
                <w:tcPr>
                  <w:tcW w:w="392" w:type="pct"/>
                  <w:vMerge w:val="restart"/>
                  <w:vAlign w:val="center"/>
                </w:tcPr>
                <w:p w14:paraId="05504A5A">
                  <w:pPr>
                    <w:pStyle w:val="43"/>
                    <w:numPr>
                      <w:ilvl w:val="0"/>
                      <w:numId w:val="0"/>
                    </w:numPr>
                  </w:pPr>
                  <w:r>
                    <w:rPr>
                      <w:rFonts w:hint="eastAsia"/>
                      <w:spacing w:val="-10"/>
                    </w:rPr>
                    <w:t>排气筒编号</w:t>
                  </w:r>
                </w:p>
              </w:tc>
              <w:tc>
                <w:tcPr>
                  <w:tcW w:w="319" w:type="pct"/>
                  <w:vMerge w:val="restart"/>
                  <w:vAlign w:val="center"/>
                </w:tcPr>
                <w:p w14:paraId="7441195C">
                  <w:pPr>
                    <w:pStyle w:val="43"/>
                    <w:numPr>
                      <w:ilvl w:val="0"/>
                      <w:numId w:val="0"/>
                    </w:numPr>
                  </w:pPr>
                  <w:r>
                    <w:rPr>
                      <w:rFonts w:hint="eastAsia"/>
                      <w:spacing w:val="-10"/>
                    </w:rPr>
                    <w:t>污染物</w:t>
                  </w:r>
                </w:p>
              </w:tc>
              <w:tc>
                <w:tcPr>
                  <w:tcW w:w="589" w:type="pct"/>
                  <w:gridSpan w:val="2"/>
                  <w:vAlign w:val="center"/>
                </w:tcPr>
                <w:p w14:paraId="0076E73F">
                  <w:pPr>
                    <w:pStyle w:val="43"/>
                    <w:numPr>
                      <w:ilvl w:val="0"/>
                      <w:numId w:val="0"/>
                    </w:numPr>
                  </w:pPr>
                  <w:r>
                    <w:rPr>
                      <w:rFonts w:hint="eastAsia"/>
                      <w:spacing w:val="-10"/>
                    </w:rPr>
                    <w:t>污染物产生</w:t>
                  </w:r>
                </w:p>
              </w:tc>
              <w:tc>
                <w:tcPr>
                  <w:tcW w:w="1258" w:type="pct"/>
                  <w:gridSpan w:val="3"/>
                  <w:vAlign w:val="center"/>
                </w:tcPr>
                <w:p w14:paraId="6C920312">
                  <w:pPr>
                    <w:pStyle w:val="43"/>
                    <w:numPr>
                      <w:ilvl w:val="0"/>
                      <w:numId w:val="0"/>
                    </w:numPr>
                  </w:pPr>
                  <w:r>
                    <w:rPr>
                      <w:rFonts w:hint="eastAsia"/>
                      <w:spacing w:val="-10"/>
                    </w:rPr>
                    <w:t>治理措施</w:t>
                  </w:r>
                </w:p>
              </w:tc>
              <w:tc>
                <w:tcPr>
                  <w:tcW w:w="1085" w:type="pct"/>
                  <w:gridSpan w:val="3"/>
                  <w:vAlign w:val="center"/>
                </w:tcPr>
                <w:p w14:paraId="388CC9AB">
                  <w:pPr>
                    <w:pStyle w:val="43"/>
                    <w:numPr>
                      <w:ilvl w:val="0"/>
                      <w:numId w:val="0"/>
                    </w:numPr>
                  </w:pPr>
                  <w:r>
                    <w:rPr>
                      <w:rFonts w:hint="eastAsia"/>
                      <w:spacing w:val="-10"/>
                    </w:rPr>
                    <w:t>有组织排放量</w:t>
                  </w:r>
                </w:p>
              </w:tc>
              <w:tc>
                <w:tcPr>
                  <w:tcW w:w="373" w:type="pct"/>
                  <w:vMerge w:val="restart"/>
                  <w:vAlign w:val="center"/>
                </w:tcPr>
                <w:p w14:paraId="0C217B5E">
                  <w:pPr>
                    <w:pStyle w:val="43"/>
                    <w:numPr>
                      <w:ilvl w:val="0"/>
                      <w:numId w:val="0"/>
                    </w:numPr>
                  </w:pPr>
                  <w:r>
                    <w:rPr>
                      <w:rFonts w:hint="eastAsia"/>
                      <w:spacing w:val="-10"/>
                    </w:rPr>
                    <w:t>排放时间</w:t>
                  </w:r>
                  <w:r>
                    <w:rPr>
                      <w:spacing w:val="-10"/>
                    </w:rPr>
                    <w:t>h</w:t>
                  </w:r>
                </w:p>
              </w:tc>
              <w:tc>
                <w:tcPr>
                  <w:tcW w:w="271" w:type="pct"/>
                  <w:vMerge w:val="restart"/>
                  <w:vAlign w:val="center"/>
                </w:tcPr>
                <w:p w14:paraId="7B867B3E">
                  <w:pPr>
                    <w:pStyle w:val="43"/>
                    <w:numPr>
                      <w:ilvl w:val="0"/>
                      <w:numId w:val="0"/>
                    </w:numPr>
                  </w:pPr>
                  <w:r>
                    <w:rPr>
                      <w:rFonts w:hint="eastAsia"/>
                      <w:spacing w:val="-10"/>
                    </w:rPr>
                    <w:t>排放口类型</w:t>
                  </w:r>
                </w:p>
              </w:tc>
              <w:tc>
                <w:tcPr>
                  <w:tcW w:w="465" w:type="pct"/>
                  <w:vAlign w:val="center"/>
                </w:tcPr>
                <w:p w14:paraId="7132FF45">
                  <w:pPr>
                    <w:pStyle w:val="43"/>
                    <w:numPr>
                      <w:ilvl w:val="0"/>
                      <w:numId w:val="0"/>
                    </w:numPr>
                    <w:rPr>
                      <w:spacing w:val="-10"/>
                    </w:rPr>
                  </w:pPr>
                  <w:r>
                    <w:rPr>
                      <w:rFonts w:hint="eastAsia"/>
                      <w:spacing w:val="-10"/>
                    </w:rPr>
                    <w:t>排放标准</w:t>
                  </w:r>
                </w:p>
              </w:tc>
            </w:tr>
            <w:tr w14:paraId="07B7A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2" w:hRule="atLeast"/>
                <w:jc w:val="center"/>
              </w:trPr>
              <w:tc>
                <w:tcPr>
                  <w:tcW w:w="248" w:type="pct"/>
                  <w:vMerge w:val="continue"/>
                  <w:vAlign w:val="center"/>
                </w:tcPr>
                <w:p w14:paraId="2D5C6DC5">
                  <w:pPr>
                    <w:pStyle w:val="43"/>
                    <w:numPr>
                      <w:ilvl w:val="0"/>
                      <w:numId w:val="0"/>
                    </w:numPr>
                    <w:rPr>
                      <w:spacing w:val="-10"/>
                    </w:rPr>
                  </w:pPr>
                </w:p>
              </w:tc>
              <w:tc>
                <w:tcPr>
                  <w:tcW w:w="392" w:type="pct"/>
                  <w:vMerge w:val="continue"/>
                  <w:vAlign w:val="center"/>
                </w:tcPr>
                <w:p w14:paraId="4DEBE500">
                  <w:pPr>
                    <w:pStyle w:val="43"/>
                    <w:numPr>
                      <w:ilvl w:val="0"/>
                      <w:numId w:val="0"/>
                    </w:numPr>
                    <w:rPr>
                      <w:spacing w:val="-10"/>
                    </w:rPr>
                  </w:pPr>
                </w:p>
              </w:tc>
              <w:tc>
                <w:tcPr>
                  <w:tcW w:w="319" w:type="pct"/>
                  <w:vMerge w:val="continue"/>
                  <w:vAlign w:val="center"/>
                </w:tcPr>
                <w:p w14:paraId="6DBD00F2">
                  <w:pPr>
                    <w:pStyle w:val="43"/>
                    <w:numPr>
                      <w:ilvl w:val="0"/>
                      <w:numId w:val="0"/>
                    </w:numPr>
                    <w:rPr>
                      <w:spacing w:val="-10"/>
                    </w:rPr>
                  </w:pPr>
                </w:p>
              </w:tc>
              <w:tc>
                <w:tcPr>
                  <w:tcW w:w="203" w:type="pct"/>
                  <w:vAlign w:val="center"/>
                </w:tcPr>
                <w:p w14:paraId="06DA3CDA">
                  <w:pPr>
                    <w:pStyle w:val="43"/>
                    <w:numPr>
                      <w:ilvl w:val="0"/>
                      <w:numId w:val="0"/>
                    </w:numPr>
                  </w:pPr>
                  <w:r>
                    <w:rPr>
                      <w:rFonts w:hint="eastAsia"/>
                      <w:spacing w:val="-10"/>
                    </w:rPr>
                    <w:t>核算方法</w:t>
                  </w:r>
                </w:p>
              </w:tc>
              <w:tc>
                <w:tcPr>
                  <w:tcW w:w="386" w:type="pct"/>
                  <w:vAlign w:val="center"/>
                </w:tcPr>
                <w:p w14:paraId="7D5D3143">
                  <w:pPr>
                    <w:pStyle w:val="43"/>
                    <w:numPr>
                      <w:ilvl w:val="0"/>
                      <w:numId w:val="0"/>
                    </w:numPr>
                  </w:pPr>
                  <w:r>
                    <w:rPr>
                      <w:rFonts w:hint="eastAsia"/>
                      <w:spacing w:val="-10"/>
                    </w:rPr>
                    <w:t>产生量</w:t>
                  </w:r>
                  <w:r>
                    <w:rPr>
                      <w:spacing w:val="-10"/>
                    </w:rPr>
                    <w:t>t/a</w:t>
                  </w:r>
                </w:p>
              </w:tc>
              <w:tc>
                <w:tcPr>
                  <w:tcW w:w="464" w:type="pct"/>
                  <w:vAlign w:val="center"/>
                </w:tcPr>
                <w:p w14:paraId="7B37CEC6">
                  <w:pPr>
                    <w:pStyle w:val="43"/>
                    <w:numPr>
                      <w:ilvl w:val="0"/>
                      <w:numId w:val="0"/>
                    </w:numPr>
                  </w:pPr>
                  <w:r>
                    <w:rPr>
                      <w:rFonts w:hint="eastAsia"/>
                      <w:spacing w:val="-10"/>
                    </w:rPr>
                    <w:t>收集效率</w:t>
                  </w:r>
                  <w:r>
                    <w:rPr>
                      <w:spacing w:val="-10"/>
                    </w:rPr>
                    <w:t>%</w:t>
                  </w:r>
                </w:p>
              </w:tc>
              <w:tc>
                <w:tcPr>
                  <w:tcW w:w="397" w:type="pct"/>
                  <w:vAlign w:val="center"/>
                </w:tcPr>
                <w:p w14:paraId="27047073">
                  <w:pPr>
                    <w:pStyle w:val="43"/>
                    <w:numPr>
                      <w:ilvl w:val="0"/>
                      <w:numId w:val="0"/>
                    </w:numPr>
                  </w:pPr>
                  <w:r>
                    <w:rPr>
                      <w:rFonts w:hint="eastAsia"/>
                      <w:spacing w:val="-10"/>
                    </w:rPr>
                    <w:t>治理工艺</w:t>
                  </w:r>
                </w:p>
              </w:tc>
              <w:tc>
                <w:tcPr>
                  <w:tcW w:w="397" w:type="pct"/>
                  <w:vAlign w:val="center"/>
                </w:tcPr>
                <w:p w14:paraId="705AC29E">
                  <w:pPr>
                    <w:pStyle w:val="43"/>
                    <w:numPr>
                      <w:ilvl w:val="0"/>
                      <w:numId w:val="0"/>
                    </w:numPr>
                  </w:pPr>
                  <w:r>
                    <w:rPr>
                      <w:rFonts w:hint="eastAsia"/>
                      <w:spacing w:val="-10"/>
                    </w:rPr>
                    <w:t>去除效率</w:t>
                  </w:r>
                  <w:r>
                    <w:rPr>
                      <w:spacing w:val="-10"/>
                    </w:rPr>
                    <w:t>%</w:t>
                  </w:r>
                </w:p>
              </w:tc>
              <w:tc>
                <w:tcPr>
                  <w:tcW w:w="350" w:type="pct"/>
                  <w:vAlign w:val="center"/>
                </w:tcPr>
                <w:p w14:paraId="64E9153E">
                  <w:pPr>
                    <w:pStyle w:val="43"/>
                    <w:numPr>
                      <w:ilvl w:val="0"/>
                      <w:numId w:val="0"/>
                    </w:numPr>
                  </w:pPr>
                  <w:r>
                    <w:rPr>
                      <w:spacing w:val="-10"/>
                    </w:rPr>
                    <w:t>mg/m</w:t>
                  </w:r>
                  <w:r>
                    <w:rPr>
                      <w:spacing w:val="-10"/>
                      <w:vertAlign w:val="superscript"/>
                    </w:rPr>
                    <w:t>3</w:t>
                  </w:r>
                </w:p>
              </w:tc>
              <w:tc>
                <w:tcPr>
                  <w:tcW w:w="350" w:type="pct"/>
                  <w:vAlign w:val="center"/>
                </w:tcPr>
                <w:p w14:paraId="5CE0D073">
                  <w:pPr>
                    <w:pStyle w:val="43"/>
                    <w:numPr>
                      <w:ilvl w:val="0"/>
                      <w:numId w:val="0"/>
                    </w:numPr>
                  </w:pPr>
                  <w:r>
                    <w:rPr>
                      <w:spacing w:val="-10"/>
                    </w:rPr>
                    <w:t>kg/h</w:t>
                  </w:r>
                </w:p>
              </w:tc>
              <w:tc>
                <w:tcPr>
                  <w:tcW w:w="386" w:type="pct"/>
                  <w:vAlign w:val="center"/>
                </w:tcPr>
                <w:p w14:paraId="37A9BF51">
                  <w:pPr>
                    <w:pStyle w:val="43"/>
                    <w:numPr>
                      <w:ilvl w:val="0"/>
                      <w:numId w:val="0"/>
                    </w:numPr>
                  </w:pPr>
                  <w:r>
                    <w:rPr>
                      <w:spacing w:val="-10"/>
                    </w:rPr>
                    <w:t>t/a</w:t>
                  </w:r>
                </w:p>
              </w:tc>
              <w:tc>
                <w:tcPr>
                  <w:tcW w:w="373" w:type="pct"/>
                  <w:vMerge w:val="continue"/>
                  <w:vAlign w:val="center"/>
                </w:tcPr>
                <w:p w14:paraId="061D63B7">
                  <w:pPr>
                    <w:pStyle w:val="43"/>
                    <w:numPr>
                      <w:ilvl w:val="0"/>
                      <w:numId w:val="0"/>
                    </w:numPr>
                  </w:pPr>
                </w:p>
              </w:tc>
              <w:tc>
                <w:tcPr>
                  <w:tcW w:w="271" w:type="pct"/>
                  <w:vMerge w:val="continue"/>
                  <w:vAlign w:val="center"/>
                </w:tcPr>
                <w:p w14:paraId="30871C6D">
                  <w:pPr>
                    <w:pStyle w:val="43"/>
                    <w:numPr>
                      <w:ilvl w:val="0"/>
                      <w:numId w:val="0"/>
                    </w:numPr>
                  </w:pPr>
                </w:p>
              </w:tc>
              <w:tc>
                <w:tcPr>
                  <w:tcW w:w="465" w:type="pct"/>
                  <w:vAlign w:val="center"/>
                </w:tcPr>
                <w:p w14:paraId="4A5A5D3C">
                  <w:pPr>
                    <w:pStyle w:val="43"/>
                    <w:numPr>
                      <w:ilvl w:val="0"/>
                      <w:numId w:val="0"/>
                    </w:numPr>
                  </w:pPr>
                  <w:r>
                    <w:rPr>
                      <w:spacing w:val="-10"/>
                    </w:rPr>
                    <w:t>mg/m</w:t>
                  </w:r>
                  <w:r>
                    <w:rPr>
                      <w:spacing w:val="-10"/>
                      <w:vertAlign w:val="superscript"/>
                    </w:rPr>
                    <w:t>3</w:t>
                  </w:r>
                </w:p>
              </w:tc>
            </w:tr>
            <w:tr w14:paraId="7EEB68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8" w:type="pct"/>
                  <w:vMerge w:val="restart"/>
                  <w:vAlign w:val="center"/>
                </w:tcPr>
                <w:p w14:paraId="2B71F530">
                  <w:pPr>
                    <w:pStyle w:val="31"/>
                    <w:rPr>
                      <w:b/>
                    </w:rPr>
                  </w:pPr>
                  <w:r>
                    <w:rPr>
                      <w:rFonts w:hint="eastAsia"/>
                    </w:rPr>
                    <w:t>锅炉</w:t>
                  </w:r>
                </w:p>
              </w:tc>
              <w:tc>
                <w:tcPr>
                  <w:tcW w:w="392" w:type="pct"/>
                  <w:vMerge w:val="restart"/>
                  <w:vAlign w:val="center"/>
                </w:tcPr>
                <w:p w14:paraId="4DD809A7">
                  <w:pPr>
                    <w:pStyle w:val="31"/>
                    <w:rPr>
                      <w:b/>
                    </w:rPr>
                  </w:pPr>
                  <w:r>
                    <w:t>DA001</w:t>
                  </w:r>
                </w:p>
              </w:tc>
              <w:tc>
                <w:tcPr>
                  <w:tcW w:w="319" w:type="pct"/>
                  <w:vAlign w:val="center"/>
                </w:tcPr>
                <w:p w14:paraId="73F735FD">
                  <w:pPr>
                    <w:pStyle w:val="43"/>
                    <w:numPr>
                      <w:ilvl w:val="0"/>
                      <w:numId w:val="0"/>
                    </w:numPr>
                    <w:rPr>
                      <w:b w:val="0"/>
                      <w:bCs/>
                      <w:spacing w:val="-10"/>
                    </w:rPr>
                  </w:pPr>
                  <w:r>
                    <w:rPr>
                      <w:rFonts w:hint="eastAsia"/>
                      <w:b w:val="0"/>
                      <w:bCs/>
                      <w:spacing w:val="-10"/>
                    </w:rPr>
                    <w:t>烟气量</w:t>
                  </w:r>
                </w:p>
              </w:tc>
              <w:tc>
                <w:tcPr>
                  <w:tcW w:w="589" w:type="pct"/>
                  <w:gridSpan w:val="2"/>
                  <w:vAlign w:val="center"/>
                </w:tcPr>
                <w:p w14:paraId="6DDF2172">
                  <w:pPr>
                    <w:pStyle w:val="43"/>
                    <w:numPr>
                      <w:ilvl w:val="0"/>
                      <w:numId w:val="0"/>
                    </w:numPr>
                    <w:rPr>
                      <w:b w:val="0"/>
                      <w:bCs/>
                    </w:rPr>
                  </w:pPr>
                  <w:r>
                    <w:rPr>
                      <w:b w:val="0"/>
                      <w:bCs/>
                    </w:rPr>
                    <w:t>7.32</w:t>
                  </w:r>
                  <w:r>
                    <w:rPr>
                      <w:rFonts w:hint="eastAsia"/>
                      <w:b w:val="0"/>
                      <w:bCs/>
                    </w:rPr>
                    <w:t>万</w:t>
                  </w:r>
                  <w:r>
                    <w:rPr>
                      <w:b w:val="0"/>
                      <w:bCs/>
                    </w:rPr>
                    <w:t>m</w:t>
                  </w:r>
                  <w:r>
                    <w:rPr>
                      <w:b w:val="0"/>
                      <w:bCs/>
                      <w:vertAlign w:val="superscript"/>
                    </w:rPr>
                    <w:t>3</w:t>
                  </w:r>
                  <w:r>
                    <w:rPr>
                      <w:b w:val="0"/>
                      <w:bCs/>
                    </w:rPr>
                    <w:t>/h</w:t>
                  </w:r>
                </w:p>
              </w:tc>
              <w:tc>
                <w:tcPr>
                  <w:tcW w:w="464" w:type="pct"/>
                  <w:vAlign w:val="center"/>
                </w:tcPr>
                <w:p w14:paraId="2412FA0B">
                  <w:pPr>
                    <w:pStyle w:val="43"/>
                    <w:numPr>
                      <w:ilvl w:val="0"/>
                      <w:numId w:val="0"/>
                    </w:numPr>
                    <w:rPr>
                      <w:b w:val="0"/>
                      <w:bCs/>
                      <w:spacing w:val="-10"/>
                    </w:rPr>
                  </w:pPr>
                  <w:r>
                    <w:rPr>
                      <w:b w:val="0"/>
                      <w:bCs/>
                      <w:spacing w:val="-10"/>
                    </w:rPr>
                    <w:t>/</w:t>
                  </w:r>
                </w:p>
              </w:tc>
              <w:tc>
                <w:tcPr>
                  <w:tcW w:w="397" w:type="pct"/>
                  <w:vAlign w:val="center"/>
                </w:tcPr>
                <w:p w14:paraId="070F3391">
                  <w:pPr>
                    <w:pStyle w:val="43"/>
                    <w:numPr>
                      <w:ilvl w:val="0"/>
                      <w:numId w:val="0"/>
                    </w:numPr>
                    <w:rPr>
                      <w:b w:val="0"/>
                      <w:bCs/>
                    </w:rPr>
                  </w:pPr>
                  <w:r>
                    <w:rPr>
                      <w:b w:val="0"/>
                      <w:bCs/>
                    </w:rPr>
                    <w:t>/</w:t>
                  </w:r>
                </w:p>
              </w:tc>
              <w:tc>
                <w:tcPr>
                  <w:tcW w:w="397" w:type="pct"/>
                  <w:vAlign w:val="center"/>
                </w:tcPr>
                <w:p w14:paraId="6D3A04A9">
                  <w:pPr>
                    <w:pStyle w:val="43"/>
                    <w:numPr>
                      <w:ilvl w:val="0"/>
                      <w:numId w:val="0"/>
                    </w:numPr>
                    <w:rPr>
                      <w:b w:val="0"/>
                      <w:bCs/>
                      <w:spacing w:val="-10"/>
                    </w:rPr>
                  </w:pPr>
                  <w:r>
                    <w:rPr>
                      <w:b w:val="0"/>
                      <w:bCs/>
                      <w:spacing w:val="-10"/>
                    </w:rPr>
                    <w:t>/</w:t>
                  </w:r>
                </w:p>
              </w:tc>
              <w:tc>
                <w:tcPr>
                  <w:tcW w:w="350" w:type="pct"/>
                  <w:vAlign w:val="center"/>
                </w:tcPr>
                <w:p w14:paraId="65D1B011">
                  <w:pPr>
                    <w:pStyle w:val="43"/>
                    <w:numPr>
                      <w:ilvl w:val="0"/>
                      <w:numId w:val="0"/>
                    </w:numPr>
                    <w:rPr>
                      <w:b w:val="0"/>
                      <w:bCs/>
                    </w:rPr>
                  </w:pPr>
                  <w:r>
                    <w:rPr>
                      <w:b w:val="0"/>
                      <w:bCs/>
                    </w:rPr>
                    <w:t>/</w:t>
                  </w:r>
                </w:p>
              </w:tc>
              <w:tc>
                <w:tcPr>
                  <w:tcW w:w="350" w:type="pct"/>
                  <w:vAlign w:val="center"/>
                </w:tcPr>
                <w:p w14:paraId="385C72F0">
                  <w:pPr>
                    <w:pStyle w:val="43"/>
                    <w:numPr>
                      <w:ilvl w:val="0"/>
                      <w:numId w:val="0"/>
                    </w:numPr>
                    <w:rPr>
                      <w:b w:val="0"/>
                      <w:bCs/>
                    </w:rPr>
                  </w:pPr>
                  <w:r>
                    <w:rPr>
                      <w:b w:val="0"/>
                      <w:bCs/>
                    </w:rPr>
                    <w:t>/</w:t>
                  </w:r>
                </w:p>
              </w:tc>
              <w:tc>
                <w:tcPr>
                  <w:tcW w:w="386" w:type="pct"/>
                  <w:vAlign w:val="center"/>
                </w:tcPr>
                <w:p w14:paraId="4DB23734">
                  <w:pPr>
                    <w:pStyle w:val="43"/>
                    <w:numPr>
                      <w:ilvl w:val="0"/>
                      <w:numId w:val="0"/>
                    </w:numPr>
                    <w:rPr>
                      <w:b w:val="0"/>
                      <w:bCs/>
                    </w:rPr>
                  </w:pPr>
                  <w:r>
                    <w:rPr>
                      <w:b w:val="0"/>
                      <w:bCs/>
                    </w:rPr>
                    <w:t>/</w:t>
                  </w:r>
                </w:p>
              </w:tc>
              <w:tc>
                <w:tcPr>
                  <w:tcW w:w="373" w:type="pct"/>
                  <w:vMerge w:val="restart"/>
                  <w:vAlign w:val="center"/>
                </w:tcPr>
                <w:p w14:paraId="48FCB3CF">
                  <w:pPr>
                    <w:pStyle w:val="31"/>
                    <w:rPr>
                      <w:b/>
                    </w:rPr>
                  </w:pPr>
                  <w:r>
                    <w:t>7920</w:t>
                  </w:r>
                </w:p>
              </w:tc>
              <w:tc>
                <w:tcPr>
                  <w:tcW w:w="271" w:type="pct"/>
                  <w:vMerge w:val="restart"/>
                  <w:vAlign w:val="center"/>
                </w:tcPr>
                <w:p w14:paraId="218AF7F3">
                  <w:pPr>
                    <w:pStyle w:val="31"/>
                    <w:rPr>
                      <w:b/>
                    </w:rPr>
                  </w:pPr>
                  <w:r>
                    <w:rPr>
                      <w:rFonts w:hint="eastAsia"/>
                    </w:rPr>
                    <w:t>主要排放口</w:t>
                  </w:r>
                </w:p>
              </w:tc>
              <w:tc>
                <w:tcPr>
                  <w:tcW w:w="465" w:type="pct"/>
                  <w:vAlign w:val="center"/>
                </w:tcPr>
                <w:p w14:paraId="6B56E065">
                  <w:pPr>
                    <w:pStyle w:val="31"/>
                    <w:rPr>
                      <w:b/>
                    </w:rPr>
                  </w:pPr>
                  <w:r>
                    <w:rPr>
                      <w:b/>
                    </w:rPr>
                    <w:t>/</w:t>
                  </w:r>
                </w:p>
              </w:tc>
            </w:tr>
            <w:tr w14:paraId="018D6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8" w:type="pct"/>
                  <w:vMerge w:val="continue"/>
                  <w:vAlign w:val="center"/>
                </w:tcPr>
                <w:p w14:paraId="28186A42">
                  <w:pPr>
                    <w:pStyle w:val="31"/>
                  </w:pPr>
                </w:p>
              </w:tc>
              <w:tc>
                <w:tcPr>
                  <w:tcW w:w="392" w:type="pct"/>
                  <w:vMerge w:val="continue"/>
                  <w:vAlign w:val="center"/>
                </w:tcPr>
                <w:p w14:paraId="4BB13420">
                  <w:pPr>
                    <w:pStyle w:val="31"/>
                  </w:pPr>
                </w:p>
              </w:tc>
              <w:tc>
                <w:tcPr>
                  <w:tcW w:w="319" w:type="pct"/>
                  <w:vAlign w:val="center"/>
                </w:tcPr>
                <w:p w14:paraId="68299AC5">
                  <w:pPr>
                    <w:pStyle w:val="43"/>
                    <w:numPr>
                      <w:ilvl w:val="0"/>
                      <w:numId w:val="0"/>
                    </w:numPr>
                    <w:rPr>
                      <w:b w:val="0"/>
                      <w:bCs/>
                    </w:rPr>
                  </w:pPr>
                  <w:r>
                    <w:rPr>
                      <w:rFonts w:hint="eastAsia"/>
                      <w:b w:val="0"/>
                      <w:bCs/>
                      <w:spacing w:val="-10"/>
                    </w:rPr>
                    <w:t>二氧化硫</w:t>
                  </w:r>
                </w:p>
              </w:tc>
              <w:tc>
                <w:tcPr>
                  <w:tcW w:w="203" w:type="pct"/>
                  <w:vAlign w:val="center"/>
                </w:tcPr>
                <w:p w14:paraId="1F236E08">
                  <w:pPr>
                    <w:pStyle w:val="43"/>
                    <w:numPr>
                      <w:ilvl w:val="0"/>
                      <w:numId w:val="0"/>
                    </w:numPr>
                    <w:rPr>
                      <w:b w:val="0"/>
                      <w:bCs/>
                    </w:rPr>
                  </w:pPr>
                  <w:r>
                    <w:rPr>
                      <w:rFonts w:hint="eastAsia"/>
                      <w:b w:val="0"/>
                      <w:bCs/>
                    </w:rPr>
                    <w:t>物料衡算</w:t>
                  </w:r>
                </w:p>
              </w:tc>
              <w:tc>
                <w:tcPr>
                  <w:tcW w:w="386" w:type="pct"/>
                  <w:vAlign w:val="center"/>
                </w:tcPr>
                <w:p w14:paraId="2D40E30D">
                  <w:pPr>
                    <w:pStyle w:val="43"/>
                    <w:numPr>
                      <w:ilvl w:val="0"/>
                      <w:numId w:val="0"/>
                    </w:numPr>
                    <w:rPr>
                      <w:b w:val="0"/>
                      <w:bCs/>
                    </w:rPr>
                  </w:pPr>
                  <w:r>
                    <w:rPr>
                      <w:b w:val="0"/>
                      <w:bCs/>
                    </w:rPr>
                    <w:t>0.175</w:t>
                  </w:r>
                </w:p>
              </w:tc>
              <w:tc>
                <w:tcPr>
                  <w:tcW w:w="464" w:type="pct"/>
                  <w:vAlign w:val="center"/>
                </w:tcPr>
                <w:p w14:paraId="2D5341C4">
                  <w:pPr>
                    <w:pStyle w:val="43"/>
                    <w:numPr>
                      <w:ilvl w:val="0"/>
                      <w:numId w:val="0"/>
                    </w:numPr>
                    <w:rPr>
                      <w:b w:val="0"/>
                      <w:bCs/>
                    </w:rPr>
                  </w:pPr>
                  <w:r>
                    <w:rPr>
                      <w:b w:val="0"/>
                      <w:bCs/>
                      <w:spacing w:val="-10"/>
                    </w:rPr>
                    <w:t>100</w:t>
                  </w:r>
                </w:p>
              </w:tc>
              <w:tc>
                <w:tcPr>
                  <w:tcW w:w="397" w:type="pct"/>
                  <w:vMerge w:val="restart"/>
                  <w:vAlign w:val="center"/>
                </w:tcPr>
                <w:p w14:paraId="6E0EC016">
                  <w:pPr>
                    <w:pStyle w:val="43"/>
                    <w:numPr>
                      <w:ilvl w:val="0"/>
                      <w:numId w:val="0"/>
                    </w:numPr>
                    <w:rPr>
                      <w:b w:val="0"/>
                      <w:bCs/>
                    </w:rPr>
                  </w:pPr>
                  <w:r>
                    <w:rPr>
                      <w:b w:val="0"/>
                      <w:bCs/>
                    </w:rPr>
                    <w:t>SCR</w:t>
                  </w:r>
                  <w:r>
                    <w:rPr>
                      <w:rFonts w:hint="eastAsia"/>
                      <w:b w:val="0"/>
                      <w:bCs/>
                    </w:rPr>
                    <w:t>脱硝</w:t>
                  </w:r>
                  <w:r>
                    <w:rPr>
                      <w:b w:val="0"/>
                      <w:bCs/>
                    </w:rPr>
                    <w:t>+</w:t>
                  </w:r>
                  <w:r>
                    <w:rPr>
                      <w:rFonts w:hint="eastAsia"/>
                      <w:b w:val="0"/>
                      <w:bCs/>
                    </w:rPr>
                    <w:t>喷淋式水膜除尘器</w:t>
                  </w:r>
                </w:p>
              </w:tc>
              <w:tc>
                <w:tcPr>
                  <w:tcW w:w="397" w:type="pct"/>
                  <w:vAlign w:val="center"/>
                </w:tcPr>
                <w:p w14:paraId="46EBFB8F">
                  <w:pPr>
                    <w:pStyle w:val="43"/>
                    <w:numPr>
                      <w:ilvl w:val="0"/>
                      <w:numId w:val="0"/>
                    </w:numPr>
                    <w:rPr>
                      <w:b w:val="0"/>
                      <w:bCs/>
                    </w:rPr>
                  </w:pPr>
                  <w:r>
                    <w:rPr>
                      <w:rFonts w:eastAsia="等线" w:cs="Times New Roman"/>
                      <w:b w:val="0"/>
                      <w:bCs/>
                      <w:szCs w:val="21"/>
                    </w:rPr>
                    <w:t>0</w:t>
                  </w:r>
                </w:p>
              </w:tc>
              <w:tc>
                <w:tcPr>
                  <w:tcW w:w="350" w:type="pct"/>
                  <w:vAlign w:val="center"/>
                </w:tcPr>
                <w:p w14:paraId="661E889F">
                  <w:pPr>
                    <w:pStyle w:val="31"/>
                  </w:pPr>
                  <w:r>
                    <w:rPr>
                      <w:rFonts w:eastAsia="等线" w:cs="Times New Roman"/>
                      <w:bCs/>
                      <w:szCs w:val="21"/>
                    </w:rPr>
                    <w:t>0.24</w:t>
                  </w:r>
                </w:p>
              </w:tc>
              <w:tc>
                <w:tcPr>
                  <w:tcW w:w="350" w:type="pct"/>
                  <w:vAlign w:val="center"/>
                </w:tcPr>
                <w:p w14:paraId="3C6C1647">
                  <w:pPr>
                    <w:pStyle w:val="31"/>
                  </w:pPr>
                  <w:r>
                    <w:rPr>
                      <w:rFonts w:eastAsia="等线" w:cs="Times New Roman"/>
                      <w:bCs/>
                      <w:szCs w:val="21"/>
                    </w:rPr>
                    <w:t>0.022</w:t>
                  </w:r>
                </w:p>
              </w:tc>
              <w:tc>
                <w:tcPr>
                  <w:tcW w:w="386" w:type="pct"/>
                  <w:vAlign w:val="center"/>
                </w:tcPr>
                <w:p w14:paraId="199F6575">
                  <w:pPr>
                    <w:pStyle w:val="31"/>
                  </w:pPr>
                  <w:r>
                    <w:rPr>
                      <w:rFonts w:eastAsia="等线" w:cs="Times New Roman"/>
                      <w:bCs/>
                      <w:szCs w:val="21"/>
                    </w:rPr>
                    <w:t>0.175</w:t>
                  </w:r>
                </w:p>
              </w:tc>
              <w:tc>
                <w:tcPr>
                  <w:tcW w:w="373" w:type="pct"/>
                  <w:vMerge w:val="continue"/>
                  <w:vAlign w:val="center"/>
                </w:tcPr>
                <w:p w14:paraId="1303EDCF">
                  <w:pPr>
                    <w:pStyle w:val="43"/>
                    <w:numPr>
                      <w:ilvl w:val="0"/>
                      <w:numId w:val="0"/>
                    </w:numPr>
                    <w:rPr>
                      <w:b w:val="0"/>
                      <w:bCs/>
                    </w:rPr>
                  </w:pPr>
                </w:p>
              </w:tc>
              <w:tc>
                <w:tcPr>
                  <w:tcW w:w="271" w:type="pct"/>
                  <w:vMerge w:val="continue"/>
                  <w:vAlign w:val="center"/>
                </w:tcPr>
                <w:p w14:paraId="18C6C970">
                  <w:pPr>
                    <w:pStyle w:val="31"/>
                  </w:pPr>
                </w:p>
              </w:tc>
              <w:tc>
                <w:tcPr>
                  <w:tcW w:w="465" w:type="pct"/>
                  <w:vAlign w:val="center"/>
                </w:tcPr>
                <w:p w14:paraId="1D2A79BF">
                  <w:pPr>
                    <w:pStyle w:val="31"/>
                    <w:rPr>
                      <w:bCs/>
                    </w:rPr>
                  </w:pPr>
                  <w:r>
                    <w:rPr>
                      <w:bCs/>
                    </w:rPr>
                    <w:t>50</w:t>
                  </w:r>
                </w:p>
              </w:tc>
            </w:tr>
            <w:tr w14:paraId="14FBE2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248" w:type="pct"/>
                  <w:vMerge w:val="continue"/>
                  <w:vAlign w:val="center"/>
                </w:tcPr>
                <w:p w14:paraId="28AB05AD">
                  <w:pPr>
                    <w:pStyle w:val="31"/>
                  </w:pPr>
                </w:p>
              </w:tc>
              <w:tc>
                <w:tcPr>
                  <w:tcW w:w="392" w:type="pct"/>
                  <w:vMerge w:val="continue"/>
                  <w:vAlign w:val="center"/>
                </w:tcPr>
                <w:p w14:paraId="44058D59">
                  <w:pPr>
                    <w:pStyle w:val="31"/>
                  </w:pPr>
                </w:p>
              </w:tc>
              <w:tc>
                <w:tcPr>
                  <w:tcW w:w="319" w:type="pct"/>
                  <w:vAlign w:val="center"/>
                </w:tcPr>
                <w:p w14:paraId="240C69F6">
                  <w:pPr>
                    <w:pStyle w:val="43"/>
                    <w:numPr>
                      <w:ilvl w:val="0"/>
                      <w:numId w:val="0"/>
                    </w:numPr>
                    <w:rPr>
                      <w:b w:val="0"/>
                      <w:bCs/>
                    </w:rPr>
                  </w:pPr>
                  <w:r>
                    <w:rPr>
                      <w:rFonts w:hint="eastAsia"/>
                      <w:b w:val="0"/>
                      <w:bCs/>
                      <w:spacing w:val="-10"/>
                    </w:rPr>
                    <w:t>氮氧化物</w:t>
                  </w:r>
                </w:p>
              </w:tc>
              <w:tc>
                <w:tcPr>
                  <w:tcW w:w="203" w:type="pct"/>
                  <w:vAlign w:val="center"/>
                </w:tcPr>
                <w:p w14:paraId="0B49BD44">
                  <w:pPr>
                    <w:pStyle w:val="43"/>
                    <w:numPr>
                      <w:ilvl w:val="0"/>
                      <w:numId w:val="0"/>
                    </w:numPr>
                    <w:rPr>
                      <w:b w:val="0"/>
                      <w:bCs/>
                    </w:rPr>
                  </w:pPr>
                  <w:r>
                    <w:rPr>
                      <w:rFonts w:hint="eastAsia"/>
                      <w:b w:val="0"/>
                      <w:bCs/>
                    </w:rPr>
                    <w:t>类比</w:t>
                  </w:r>
                </w:p>
              </w:tc>
              <w:tc>
                <w:tcPr>
                  <w:tcW w:w="386" w:type="pct"/>
                  <w:vAlign w:val="center"/>
                </w:tcPr>
                <w:p w14:paraId="26EE8457">
                  <w:pPr>
                    <w:pStyle w:val="43"/>
                    <w:numPr>
                      <w:ilvl w:val="0"/>
                      <w:numId w:val="0"/>
                    </w:numPr>
                    <w:rPr>
                      <w:b w:val="0"/>
                      <w:bCs/>
                    </w:rPr>
                  </w:pPr>
                  <w:r>
                    <w:rPr>
                      <w:b w:val="0"/>
                      <w:bCs/>
                    </w:rPr>
                    <w:t>173.9</w:t>
                  </w:r>
                </w:p>
              </w:tc>
              <w:tc>
                <w:tcPr>
                  <w:tcW w:w="464" w:type="pct"/>
                  <w:vAlign w:val="center"/>
                </w:tcPr>
                <w:p w14:paraId="2757BEA5">
                  <w:pPr>
                    <w:pStyle w:val="43"/>
                    <w:numPr>
                      <w:ilvl w:val="0"/>
                      <w:numId w:val="0"/>
                    </w:numPr>
                    <w:rPr>
                      <w:b w:val="0"/>
                      <w:bCs/>
                    </w:rPr>
                  </w:pPr>
                  <w:r>
                    <w:rPr>
                      <w:b w:val="0"/>
                      <w:bCs/>
                      <w:spacing w:val="-10"/>
                    </w:rPr>
                    <w:t>100</w:t>
                  </w:r>
                </w:p>
              </w:tc>
              <w:tc>
                <w:tcPr>
                  <w:tcW w:w="397" w:type="pct"/>
                  <w:vMerge w:val="continue"/>
                  <w:vAlign w:val="center"/>
                </w:tcPr>
                <w:p w14:paraId="6C398CE4">
                  <w:pPr>
                    <w:pStyle w:val="43"/>
                    <w:numPr>
                      <w:ilvl w:val="0"/>
                      <w:numId w:val="0"/>
                    </w:numPr>
                    <w:rPr>
                      <w:b w:val="0"/>
                      <w:bCs/>
                    </w:rPr>
                  </w:pPr>
                </w:p>
              </w:tc>
              <w:tc>
                <w:tcPr>
                  <w:tcW w:w="397" w:type="pct"/>
                  <w:vAlign w:val="center"/>
                </w:tcPr>
                <w:p w14:paraId="76DEF592">
                  <w:pPr>
                    <w:pStyle w:val="43"/>
                    <w:numPr>
                      <w:ilvl w:val="0"/>
                      <w:numId w:val="0"/>
                    </w:numPr>
                    <w:rPr>
                      <w:b w:val="0"/>
                      <w:bCs/>
                    </w:rPr>
                  </w:pPr>
                  <w:r>
                    <w:rPr>
                      <w:rFonts w:eastAsia="等线" w:cs="Times New Roman"/>
                      <w:b w:val="0"/>
                      <w:bCs/>
                      <w:szCs w:val="21"/>
                    </w:rPr>
                    <w:t>79</w:t>
                  </w:r>
                </w:p>
              </w:tc>
              <w:tc>
                <w:tcPr>
                  <w:tcW w:w="350" w:type="pct"/>
                  <w:vAlign w:val="center"/>
                </w:tcPr>
                <w:p w14:paraId="627FCDDC">
                  <w:pPr>
                    <w:pStyle w:val="31"/>
                  </w:pPr>
                  <w:r>
                    <w:t>30.93</w:t>
                  </w:r>
                </w:p>
              </w:tc>
              <w:tc>
                <w:tcPr>
                  <w:tcW w:w="350" w:type="pct"/>
                  <w:vAlign w:val="center"/>
                </w:tcPr>
                <w:p w14:paraId="5C095972">
                  <w:pPr>
                    <w:pStyle w:val="31"/>
                  </w:pPr>
                  <w:r>
                    <w:t>2.25</w:t>
                  </w:r>
                </w:p>
              </w:tc>
              <w:tc>
                <w:tcPr>
                  <w:tcW w:w="386" w:type="pct"/>
                  <w:vAlign w:val="center"/>
                </w:tcPr>
                <w:p w14:paraId="6DB95329">
                  <w:pPr>
                    <w:pStyle w:val="31"/>
                  </w:pPr>
                  <w:r>
                    <w:t>17.935</w:t>
                  </w:r>
                </w:p>
              </w:tc>
              <w:tc>
                <w:tcPr>
                  <w:tcW w:w="373" w:type="pct"/>
                  <w:vMerge w:val="continue"/>
                  <w:vAlign w:val="center"/>
                </w:tcPr>
                <w:p w14:paraId="79B8498C">
                  <w:pPr>
                    <w:pStyle w:val="43"/>
                    <w:numPr>
                      <w:ilvl w:val="0"/>
                      <w:numId w:val="0"/>
                    </w:numPr>
                    <w:rPr>
                      <w:b w:val="0"/>
                      <w:bCs/>
                    </w:rPr>
                  </w:pPr>
                </w:p>
              </w:tc>
              <w:tc>
                <w:tcPr>
                  <w:tcW w:w="271" w:type="pct"/>
                  <w:vMerge w:val="continue"/>
                  <w:vAlign w:val="center"/>
                </w:tcPr>
                <w:p w14:paraId="2DEA713A">
                  <w:pPr>
                    <w:pStyle w:val="31"/>
                  </w:pPr>
                </w:p>
              </w:tc>
              <w:tc>
                <w:tcPr>
                  <w:tcW w:w="465" w:type="pct"/>
                  <w:vAlign w:val="center"/>
                </w:tcPr>
                <w:p w14:paraId="1606912B">
                  <w:pPr>
                    <w:pStyle w:val="31"/>
                    <w:rPr>
                      <w:bCs/>
                    </w:rPr>
                  </w:pPr>
                  <w:r>
                    <w:rPr>
                      <w:bCs/>
                    </w:rPr>
                    <w:t>150</w:t>
                  </w:r>
                </w:p>
              </w:tc>
            </w:tr>
            <w:tr w14:paraId="316F0CF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8" w:type="pct"/>
                  <w:vMerge w:val="continue"/>
                  <w:vAlign w:val="center"/>
                </w:tcPr>
                <w:p w14:paraId="1E3E9DA8">
                  <w:pPr>
                    <w:pStyle w:val="31"/>
                  </w:pPr>
                </w:p>
              </w:tc>
              <w:tc>
                <w:tcPr>
                  <w:tcW w:w="392" w:type="pct"/>
                  <w:vMerge w:val="continue"/>
                  <w:vAlign w:val="center"/>
                </w:tcPr>
                <w:p w14:paraId="633308E6">
                  <w:pPr>
                    <w:pStyle w:val="31"/>
                  </w:pPr>
                </w:p>
              </w:tc>
              <w:tc>
                <w:tcPr>
                  <w:tcW w:w="319" w:type="pct"/>
                  <w:vAlign w:val="center"/>
                </w:tcPr>
                <w:p w14:paraId="37E95BB6">
                  <w:pPr>
                    <w:pStyle w:val="43"/>
                    <w:numPr>
                      <w:ilvl w:val="0"/>
                      <w:numId w:val="0"/>
                    </w:numPr>
                    <w:rPr>
                      <w:b w:val="0"/>
                      <w:bCs/>
                    </w:rPr>
                  </w:pPr>
                  <w:r>
                    <w:rPr>
                      <w:rFonts w:hint="eastAsia"/>
                      <w:b w:val="0"/>
                      <w:bCs/>
                      <w:spacing w:val="-10"/>
                    </w:rPr>
                    <w:t>颗粒物</w:t>
                  </w:r>
                </w:p>
              </w:tc>
              <w:tc>
                <w:tcPr>
                  <w:tcW w:w="203" w:type="pct"/>
                  <w:vAlign w:val="center"/>
                </w:tcPr>
                <w:p w14:paraId="0E702E23">
                  <w:pPr>
                    <w:pStyle w:val="43"/>
                    <w:numPr>
                      <w:ilvl w:val="0"/>
                      <w:numId w:val="0"/>
                    </w:numPr>
                    <w:rPr>
                      <w:b w:val="0"/>
                      <w:bCs/>
                    </w:rPr>
                  </w:pPr>
                  <w:r>
                    <w:rPr>
                      <w:rFonts w:hint="eastAsia"/>
                      <w:b w:val="0"/>
                      <w:bCs/>
                    </w:rPr>
                    <w:t>类比</w:t>
                  </w:r>
                </w:p>
              </w:tc>
              <w:tc>
                <w:tcPr>
                  <w:tcW w:w="386" w:type="pct"/>
                  <w:vAlign w:val="center"/>
                </w:tcPr>
                <w:p w14:paraId="00A6A01A">
                  <w:pPr>
                    <w:pStyle w:val="43"/>
                    <w:numPr>
                      <w:ilvl w:val="0"/>
                      <w:numId w:val="0"/>
                    </w:numPr>
                    <w:rPr>
                      <w:b w:val="0"/>
                      <w:bCs/>
                    </w:rPr>
                  </w:pPr>
                  <w:r>
                    <w:rPr>
                      <w:b w:val="0"/>
                      <w:bCs/>
                    </w:rPr>
                    <w:t>28.99</w:t>
                  </w:r>
                </w:p>
              </w:tc>
              <w:tc>
                <w:tcPr>
                  <w:tcW w:w="464" w:type="pct"/>
                  <w:vAlign w:val="center"/>
                </w:tcPr>
                <w:p w14:paraId="1358BF71">
                  <w:pPr>
                    <w:pStyle w:val="43"/>
                    <w:numPr>
                      <w:ilvl w:val="0"/>
                      <w:numId w:val="0"/>
                    </w:numPr>
                    <w:rPr>
                      <w:b w:val="0"/>
                      <w:bCs/>
                    </w:rPr>
                  </w:pPr>
                  <w:r>
                    <w:rPr>
                      <w:b w:val="0"/>
                      <w:bCs/>
                      <w:spacing w:val="-10"/>
                    </w:rPr>
                    <w:t>100</w:t>
                  </w:r>
                </w:p>
              </w:tc>
              <w:tc>
                <w:tcPr>
                  <w:tcW w:w="397" w:type="pct"/>
                  <w:vMerge w:val="continue"/>
                  <w:vAlign w:val="center"/>
                </w:tcPr>
                <w:p w14:paraId="4EB51C28">
                  <w:pPr>
                    <w:pStyle w:val="43"/>
                    <w:numPr>
                      <w:ilvl w:val="0"/>
                      <w:numId w:val="0"/>
                    </w:numPr>
                    <w:rPr>
                      <w:b w:val="0"/>
                      <w:bCs/>
                    </w:rPr>
                  </w:pPr>
                </w:p>
              </w:tc>
              <w:tc>
                <w:tcPr>
                  <w:tcW w:w="397" w:type="pct"/>
                  <w:vAlign w:val="center"/>
                </w:tcPr>
                <w:p w14:paraId="1506022A">
                  <w:pPr>
                    <w:pStyle w:val="43"/>
                    <w:numPr>
                      <w:ilvl w:val="0"/>
                      <w:numId w:val="0"/>
                    </w:numPr>
                    <w:rPr>
                      <w:b w:val="0"/>
                      <w:bCs/>
                    </w:rPr>
                  </w:pPr>
                  <w:r>
                    <w:rPr>
                      <w:b w:val="0"/>
                      <w:bCs/>
                    </w:rPr>
                    <w:t>87</w:t>
                  </w:r>
                </w:p>
              </w:tc>
              <w:tc>
                <w:tcPr>
                  <w:tcW w:w="350" w:type="pct"/>
                  <w:vAlign w:val="center"/>
                </w:tcPr>
                <w:p w14:paraId="228DB5F7">
                  <w:pPr>
                    <w:pStyle w:val="31"/>
                  </w:pPr>
                  <w:r>
                    <w:t>6.49</w:t>
                  </w:r>
                </w:p>
              </w:tc>
              <w:tc>
                <w:tcPr>
                  <w:tcW w:w="350" w:type="pct"/>
                  <w:vAlign w:val="center"/>
                </w:tcPr>
                <w:p w14:paraId="318A7AC1">
                  <w:pPr>
                    <w:pStyle w:val="31"/>
                  </w:pPr>
                  <w:r>
                    <w:rPr>
                      <w:rFonts w:eastAsia="等线" w:cs="Times New Roman"/>
                      <w:bCs/>
                      <w:szCs w:val="21"/>
                    </w:rPr>
                    <w:t>0.48</w:t>
                  </w:r>
                </w:p>
              </w:tc>
              <w:tc>
                <w:tcPr>
                  <w:tcW w:w="386" w:type="pct"/>
                  <w:vAlign w:val="center"/>
                </w:tcPr>
                <w:p w14:paraId="28941688">
                  <w:pPr>
                    <w:pStyle w:val="31"/>
                  </w:pPr>
                  <w:r>
                    <w:rPr>
                      <w:rFonts w:eastAsia="等线" w:cs="Times New Roman"/>
                      <w:bCs/>
                      <w:szCs w:val="21"/>
                    </w:rPr>
                    <w:t>3.77</w:t>
                  </w:r>
                </w:p>
              </w:tc>
              <w:tc>
                <w:tcPr>
                  <w:tcW w:w="373" w:type="pct"/>
                  <w:vMerge w:val="continue"/>
                  <w:vAlign w:val="center"/>
                </w:tcPr>
                <w:p w14:paraId="54311FC5">
                  <w:pPr>
                    <w:pStyle w:val="43"/>
                    <w:numPr>
                      <w:ilvl w:val="0"/>
                      <w:numId w:val="0"/>
                    </w:numPr>
                    <w:rPr>
                      <w:b w:val="0"/>
                      <w:bCs/>
                    </w:rPr>
                  </w:pPr>
                </w:p>
              </w:tc>
              <w:tc>
                <w:tcPr>
                  <w:tcW w:w="271" w:type="pct"/>
                  <w:vMerge w:val="continue"/>
                  <w:vAlign w:val="center"/>
                </w:tcPr>
                <w:p w14:paraId="7B9CA387">
                  <w:pPr>
                    <w:pStyle w:val="31"/>
                  </w:pPr>
                </w:p>
              </w:tc>
              <w:tc>
                <w:tcPr>
                  <w:tcW w:w="465" w:type="pct"/>
                  <w:vAlign w:val="center"/>
                </w:tcPr>
                <w:p w14:paraId="433A5F83">
                  <w:pPr>
                    <w:pStyle w:val="31"/>
                    <w:rPr>
                      <w:bCs/>
                    </w:rPr>
                  </w:pPr>
                  <w:r>
                    <w:rPr>
                      <w:bCs/>
                    </w:rPr>
                    <w:t>20</w:t>
                  </w:r>
                </w:p>
              </w:tc>
            </w:tr>
            <w:tr w14:paraId="6F05AA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8" w:type="pct"/>
                  <w:vMerge w:val="continue"/>
                  <w:vAlign w:val="center"/>
                </w:tcPr>
                <w:p w14:paraId="0C513A8C">
                  <w:pPr>
                    <w:pStyle w:val="31"/>
                    <w:rPr>
                      <w:b/>
                    </w:rPr>
                  </w:pPr>
                </w:p>
              </w:tc>
              <w:tc>
                <w:tcPr>
                  <w:tcW w:w="392" w:type="pct"/>
                  <w:vMerge w:val="restart"/>
                  <w:vAlign w:val="center"/>
                </w:tcPr>
                <w:p w14:paraId="233FC608">
                  <w:pPr>
                    <w:pStyle w:val="31"/>
                    <w:rPr>
                      <w:b/>
                    </w:rPr>
                  </w:pPr>
                  <w:r>
                    <w:t>DA002</w:t>
                  </w:r>
                </w:p>
              </w:tc>
              <w:tc>
                <w:tcPr>
                  <w:tcW w:w="319" w:type="pct"/>
                  <w:vAlign w:val="center"/>
                </w:tcPr>
                <w:p w14:paraId="609CEB15">
                  <w:pPr>
                    <w:pStyle w:val="43"/>
                    <w:numPr>
                      <w:ilvl w:val="0"/>
                      <w:numId w:val="0"/>
                    </w:numPr>
                    <w:rPr>
                      <w:b w:val="0"/>
                      <w:bCs/>
                      <w:spacing w:val="-10"/>
                    </w:rPr>
                  </w:pPr>
                  <w:r>
                    <w:rPr>
                      <w:rFonts w:hint="eastAsia"/>
                      <w:b w:val="0"/>
                      <w:bCs/>
                      <w:spacing w:val="-10"/>
                    </w:rPr>
                    <w:t>烟气量</w:t>
                  </w:r>
                </w:p>
              </w:tc>
              <w:tc>
                <w:tcPr>
                  <w:tcW w:w="589" w:type="pct"/>
                  <w:gridSpan w:val="2"/>
                  <w:vAlign w:val="center"/>
                </w:tcPr>
                <w:p w14:paraId="7EF37E16">
                  <w:pPr>
                    <w:pStyle w:val="43"/>
                    <w:numPr>
                      <w:ilvl w:val="0"/>
                      <w:numId w:val="0"/>
                    </w:numPr>
                    <w:rPr>
                      <w:b w:val="0"/>
                      <w:bCs/>
                    </w:rPr>
                  </w:pPr>
                  <w:r>
                    <w:rPr>
                      <w:b w:val="0"/>
                      <w:bCs/>
                    </w:rPr>
                    <w:t>7.32</w:t>
                  </w:r>
                  <w:r>
                    <w:rPr>
                      <w:rFonts w:hint="eastAsia"/>
                      <w:b w:val="0"/>
                      <w:bCs/>
                    </w:rPr>
                    <w:t>万</w:t>
                  </w:r>
                  <w:r>
                    <w:rPr>
                      <w:b w:val="0"/>
                      <w:bCs/>
                    </w:rPr>
                    <w:t>m</w:t>
                  </w:r>
                  <w:r>
                    <w:rPr>
                      <w:b w:val="0"/>
                      <w:bCs/>
                      <w:vertAlign w:val="superscript"/>
                    </w:rPr>
                    <w:t>3</w:t>
                  </w:r>
                  <w:r>
                    <w:rPr>
                      <w:b w:val="0"/>
                      <w:bCs/>
                    </w:rPr>
                    <w:t>/h</w:t>
                  </w:r>
                </w:p>
              </w:tc>
              <w:tc>
                <w:tcPr>
                  <w:tcW w:w="464" w:type="pct"/>
                  <w:vAlign w:val="center"/>
                </w:tcPr>
                <w:p w14:paraId="5E38FCB0">
                  <w:pPr>
                    <w:pStyle w:val="43"/>
                    <w:numPr>
                      <w:ilvl w:val="0"/>
                      <w:numId w:val="0"/>
                    </w:numPr>
                    <w:rPr>
                      <w:b w:val="0"/>
                      <w:bCs/>
                      <w:spacing w:val="-10"/>
                    </w:rPr>
                  </w:pPr>
                  <w:r>
                    <w:rPr>
                      <w:b w:val="0"/>
                      <w:bCs/>
                      <w:spacing w:val="-10"/>
                    </w:rPr>
                    <w:t>/</w:t>
                  </w:r>
                </w:p>
              </w:tc>
              <w:tc>
                <w:tcPr>
                  <w:tcW w:w="397" w:type="pct"/>
                  <w:vAlign w:val="center"/>
                </w:tcPr>
                <w:p w14:paraId="4B42DEF4">
                  <w:pPr>
                    <w:pStyle w:val="43"/>
                    <w:numPr>
                      <w:ilvl w:val="0"/>
                      <w:numId w:val="0"/>
                    </w:numPr>
                    <w:rPr>
                      <w:b w:val="0"/>
                      <w:bCs/>
                    </w:rPr>
                  </w:pPr>
                  <w:r>
                    <w:rPr>
                      <w:b w:val="0"/>
                      <w:bCs/>
                    </w:rPr>
                    <w:t>/</w:t>
                  </w:r>
                </w:p>
              </w:tc>
              <w:tc>
                <w:tcPr>
                  <w:tcW w:w="397" w:type="pct"/>
                  <w:vAlign w:val="center"/>
                </w:tcPr>
                <w:p w14:paraId="5F700982">
                  <w:pPr>
                    <w:pStyle w:val="43"/>
                    <w:numPr>
                      <w:ilvl w:val="0"/>
                      <w:numId w:val="0"/>
                    </w:numPr>
                    <w:rPr>
                      <w:b w:val="0"/>
                      <w:bCs/>
                      <w:spacing w:val="-10"/>
                    </w:rPr>
                  </w:pPr>
                  <w:r>
                    <w:rPr>
                      <w:b w:val="0"/>
                      <w:bCs/>
                      <w:spacing w:val="-10"/>
                    </w:rPr>
                    <w:t>/</w:t>
                  </w:r>
                </w:p>
              </w:tc>
              <w:tc>
                <w:tcPr>
                  <w:tcW w:w="350" w:type="pct"/>
                  <w:vAlign w:val="center"/>
                </w:tcPr>
                <w:p w14:paraId="6829BC61">
                  <w:pPr>
                    <w:pStyle w:val="31"/>
                  </w:pPr>
                  <w:r>
                    <w:t>/</w:t>
                  </w:r>
                </w:p>
              </w:tc>
              <w:tc>
                <w:tcPr>
                  <w:tcW w:w="350" w:type="pct"/>
                  <w:vAlign w:val="center"/>
                </w:tcPr>
                <w:p w14:paraId="242CD49E">
                  <w:pPr>
                    <w:pStyle w:val="31"/>
                  </w:pPr>
                  <w:r>
                    <w:t>/</w:t>
                  </w:r>
                </w:p>
              </w:tc>
              <w:tc>
                <w:tcPr>
                  <w:tcW w:w="386" w:type="pct"/>
                  <w:vAlign w:val="center"/>
                </w:tcPr>
                <w:p w14:paraId="66E58325">
                  <w:pPr>
                    <w:pStyle w:val="31"/>
                  </w:pPr>
                  <w:r>
                    <w:t>/</w:t>
                  </w:r>
                </w:p>
              </w:tc>
              <w:tc>
                <w:tcPr>
                  <w:tcW w:w="373" w:type="pct"/>
                  <w:vMerge w:val="continue"/>
                  <w:vAlign w:val="center"/>
                </w:tcPr>
                <w:p w14:paraId="0DE502CD">
                  <w:pPr>
                    <w:pStyle w:val="43"/>
                    <w:numPr>
                      <w:ilvl w:val="0"/>
                      <w:numId w:val="0"/>
                    </w:numPr>
                    <w:rPr>
                      <w:b w:val="0"/>
                      <w:bCs/>
                    </w:rPr>
                  </w:pPr>
                </w:p>
              </w:tc>
              <w:tc>
                <w:tcPr>
                  <w:tcW w:w="271" w:type="pct"/>
                  <w:vMerge w:val="restart"/>
                  <w:vAlign w:val="center"/>
                </w:tcPr>
                <w:p w14:paraId="25A93C94">
                  <w:pPr>
                    <w:pStyle w:val="31"/>
                    <w:rPr>
                      <w:b/>
                    </w:rPr>
                  </w:pPr>
                  <w:r>
                    <w:rPr>
                      <w:rFonts w:hint="eastAsia"/>
                    </w:rPr>
                    <w:t>主要排放口</w:t>
                  </w:r>
                </w:p>
              </w:tc>
              <w:tc>
                <w:tcPr>
                  <w:tcW w:w="465" w:type="pct"/>
                  <w:vAlign w:val="center"/>
                </w:tcPr>
                <w:p w14:paraId="6885C5E4">
                  <w:pPr>
                    <w:pStyle w:val="31"/>
                    <w:rPr>
                      <w:bCs/>
                    </w:rPr>
                  </w:pPr>
                  <w:r>
                    <w:rPr>
                      <w:bCs/>
                    </w:rPr>
                    <w:t>/</w:t>
                  </w:r>
                </w:p>
              </w:tc>
            </w:tr>
            <w:tr w14:paraId="5036E9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8" w:type="pct"/>
                  <w:vMerge w:val="continue"/>
                  <w:vAlign w:val="center"/>
                </w:tcPr>
                <w:p w14:paraId="47706E95">
                  <w:pPr>
                    <w:pStyle w:val="43"/>
                    <w:numPr>
                      <w:ilvl w:val="0"/>
                      <w:numId w:val="0"/>
                    </w:numPr>
                    <w:rPr>
                      <w:b w:val="0"/>
                      <w:bCs/>
                    </w:rPr>
                  </w:pPr>
                </w:p>
              </w:tc>
              <w:tc>
                <w:tcPr>
                  <w:tcW w:w="392" w:type="pct"/>
                  <w:vMerge w:val="continue"/>
                  <w:vAlign w:val="center"/>
                </w:tcPr>
                <w:p w14:paraId="3F4F20AC">
                  <w:pPr>
                    <w:pStyle w:val="43"/>
                    <w:numPr>
                      <w:ilvl w:val="0"/>
                      <w:numId w:val="0"/>
                    </w:numPr>
                    <w:rPr>
                      <w:b w:val="0"/>
                      <w:bCs/>
                    </w:rPr>
                  </w:pPr>
                </w:p>
              </w:tc>
              <w:tc>
                <w:tcPr>
                  <w:tcW w:w="319" w:type="pct"/>
                  <w:vAlign w:val="center"/>
                </w:tcPr>
                <w:p w14:paraId="59A53874">
                  <w:pPr>
                    <w:pStyle w:val="43"/>
                    <w:numPr>
                      <w:ilvl w:val="0"/>
                      <w:numId w:val="0"/>
                    </w:numPr>
                    <w:rPr>
                      <w:b w:val="0"/>
                      <w:bCs/>
                    </w:rPr>
                  </w:pPr>
                  <w:r>
                    <w:rPr>
                      <w:rFonts w:hint="eastAsia"/>
                      <w:b w:val="0"/>
                      <w:bCs/>
                      <w:spacing w:val="-10"/>
                    </w:rPr>
                    <w:t>二氧化硫</w:t>
                  </w:r>
                </w:p>
              </w:tc>
              <w:tc>
                <w:tcPr>
                  <w:tcW w:w="203" w:type="pct"/>
                  <w:vAlign w:val="center"/>
                </w:tcPr>
                <w:p w14:paraId="3273AF68">
                  <w:pPr>
                    <w:pStyle w:val="43"/>
                    <w:numPr>
                      <w:ilvl w:val="0"/>
                      <w:numId w:val="0"/>
                    </w:numPr>
                    <w:rPr>
                      <w:b w:val="0"/>
                      <w:bCs/>
                    </w:rPr>
                  </w:pPr>
                  <w:r>
                    <w:rPr>
                      <w:rFonts w:hint="eastAsia"/>
                      <w:b w:val="0"/>
                      <w:bCs/>
                    </w:rPr>
                    <w:t>物料衡算</w:t>
                  </w:r>
                </w:p>
              </w:tc>
              <w:tc>
                <w:tcPr>
                  <w:tcW w:w="386" w:type="pct"/>
                  <w:vAlign w:val="center"/>
                </w:tcPr>
                <w:p w14:paraId="1B1CE686">
                  <w:pPr>
                    <w:pStyle w:val="43"/>
                    <w:numPr>
                      <w:ilvl w:val="0"/>
                      <w:numId w:val="0"/>
                    </w:numPr>
                    <w:rPr>
                      <w:b w:val="0"/>
                      <w:bCs/>
                    </w:rPr>
                  </w:pPr>
                  <w:r>
                    <w:rPr>
                      <w:b w:val="0"/>
                      <w:bCs/>
                    </w:rPr>
                    <w:t>0.175</w:t>
                  </w:r>
                </w:p>
              </w:tc>
              <w:tc>
                <w:tcPr>
                  <w:tcW w:w="464" w:type="pct"/>
                  <w:vAlign w:val="center"/>
                </w:tcPr>
                <w:p w14:paraId="3EC46FEE">
                  <w:pPr>
                    <w:pStyle w:val="43"/>
                    <w:numPr>
                      <w:ilvl w:val="0"/>
                      <w:numId w:val="0"/>
                    </w:numPr>
                    <w:rPr>
                      <w:b w:val="0"/>
                      <w:bCs/>
                    </w:rPr>
                  </w:pPr>
                  <w:r>
                    <w:rPr>
                      <w:b w:val="0"/>
                      <w:bCs/>
                      <w:spacing w:val="-10"/>
                    </w:rPr>
                    <w:t>100</w:t>
                  </w:r>
                </w:p>
              </w:tc>
              <w:tc>
                <w:tcPr>
                  <w:tcW w:w="397" w:type="pct"/>
                  <w:vMerge w:val="restart"/>
                  <w:vAlign w:val="center"/>
                </w:tcPr>
                <w:p w14:paraId="1106E1B8">
                  <w:pPr>
                    <w:pStyle w:val="43"/>
                    <w:numPr>
                      <w:ilvl w:val="0"/>
                      <w:numId w:val="0"/>
                    </w:numPr>
                    <w:rPr>
                      <w:b w:val="0"/>
                      <w:bCs/>
                    </w:rPr>
                  </w:pPr>
                  <w:r>
                    <w:rPr>
                      <w:b w:val="0"/>
                      <w:bCs/>
                    </w:rPr>
                    <w:t>SCR</w:t>
                  </w:r>
                  <w:r>
                    <w:rPr>
                      <w:rFonts w:hint="eastAsia"/>
                      <w:b w:val="0"/>
                      <w:bCs/>
                    </w:rPr>
                    <w:t>脱硝</w:t>
                  </w:r>
                  <w:r>
                    <w:rPr>
                      <w:b w:val="0"/>
                      <w:bCs/>
                    </w:rPr>
                    <w:t>+</w:t>
                  </w:r>
                  <w:r>
                    <w:rPr>
                      <w:rFonts w:hint="eastAsia"/>
                      <w:b w:val="0"/>
                      <w:bCs/>
                    </w:rPr>
                    <w:t>喷淋式水膜除尘器</w:t>
                  </w:r>
                </w:p>
              </w:tc>
              <w:tc>
                <w:tcPr>
                  <w:tcW w:w="397" w:type="pct"/>
                  <w:vAlign w:val="center"/>
                </w:tcPr>
                <w:p w14:paraId="500E04AB">
                  <w:pPr>
                    <w:pStyle w:val="43"/>
                    <w:numPr>
                      <w:ilvl w:val="0"/>
                      <w:numId w:val="0"/>
                    </w:numPr>
                    <w:rPr>
                      <w:b w:val="0"/>
                      <w:bCs/>
                    </w:rPr>
                  </w:pPr>
                  <w:r>
                    <w:rPr>
                      <w:rFonts w:eastAsia="等线" w:cs="Times New Roman"/>
                      <w:b w:val="0"/>
                      <w:bCs/>
                      <w:szCs w:val="21"/>
                    </w:rPr>
                    <w:t>0</w:t>
                  </w:r>
                </w:p>
              </w:tc>
              <w:tc>
                <w:tcPr>
                  <w:tcW w:w="350" w:type="pct"/>
                  <w:vAlign w:val="center"/>
                </w:tcPr>
                <w:p w14:paraId="44D5F022">
                  <w:pPr>
                    <w:pStyle w:val="31"/>
                  </w:pPr>
                  <w:r>
                    <w:rPr>
                      <w:rFonts w:eastAsia="等线" w:cs="Times New Roman"/>
                      <w:bCs/>
                      <w:szCs w:val="21"/>
                    </w:rPr>
                    <w:t>0.24</w:t>
                  </w:r>
                </w:p>
              </w:tc>
              <w:tc>
                <w:tcPr>
                  <w:tcW w:w="350" w:type="pct"/>
                  <w:vAlign w:val="center"/>
                </w:tcPr>
                <w:p w14:paraId="5E6A2449">
                  <w:pPr>
                    <w:pStyle w:val="31"/>
                  </w:pPr>
                  <w:r>
                    <w:rPr>
                      <w:rFonts w:eastAsia="等线" w:cs="Times New Roman"/>
                      <w:bCs/>
                      <w:szCs w:val="21"/>
                    </w:rPr>
                    <w:t>0.022</w:t>
                  </w:r>
                </w:p>
              </w:tc>
              <w:tc>
                <w:tcPr>
                  <w:tcW w:w="386" w:type="pct"/>
                  <w:vAlign w:val="center"/>
                </w:tcPr>
                <w:p w14:paraId="28FEFFDA">
                  <w:pPr>
                    <w:pStyle w:val="31"/>
                  </w:pPr>
                  <w:r>
                    <w:rPr>
                      <w:rFonts w:eastAsia="等线" w:cs="Times New Roman"/>
                      <w:bCs/>
                      <w:szCs w:val="21"/>
                    </w:rPr>
                    <w:t>0.175</w:t>
                  </w:r>
                </w:p>
              </w:tc>
              <w:tc>
                <w:tcPr>
                  <w:tcW w:w="373" w:type="pct"/>
                  <w:vMerge w:val="continue"/>
                  <w:vAlign w:val="center"/>
                </w:tcPr>
                <w:p w14:paraId="59AA2749">
                  <w:pPr>
                    <w:pStyle w:val="43"/>
                    <w:numPr>
                      <w:ilvl w:val="0"/>
                      <w:numId w:val="0"/>
                    </w:numPr>
                    <w:rPr>
                      <w:b w:val="0"/>
                      <w:bCs/>
                    </w:rPr>
                  </w:pPr>
                </w:p>
              </w:tc>
              <w:tc>
                <w:tcPr>
                  <w:tcW w:w="271" w:type="pct"/>
                  <w:vMerge w:val="continue"/>
                  <w:vAlign w:val="center"/>
                </w:tcPr>
                <w:p w14:paraId="6FB1F43B">
                  <w:pPr>
                    <w:pStyle w:val="31"/>
                  </w:pPr>
                </w:p>
              </w:tc>
              <w:tc>
                <w:tcPr>
                  <w:tcW w:w="465" w:type="pct"/>
                  <w:vAlign w:val="center"/>
                </w:tcPr>
                <w:p w14:paraId="18F37E09">
                  <w:pPr>
                    <w:pStyle w:val="31"/>
                    <w:rPr>
                      <w:bCs/>
                    </w:rPr>
                  </w:pPr>
                  <w:r>
                    <w:rPr>
                      <w:bCs/>
                    </w:rPr>
                    <w:t>50</w:t>
                  </w:r>
                </w:p>
              </w:tc>
            </w:tr>
            <w:tr w14:paraId="6837CE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8" w:type="pct"/>
                  <w:vMerge w:val="continue"/>
                  <w:vAlign w:val="center"/>
                </w:tcPr>
                <w:p w14:paraId="65B51339">
                  <w:pPr>
                    <w:pStyle w:val="43"/>
                    <w:numPr>
                      <w:ilvl w:val="0"/>
                      <w:numId w:val="0"/>
                    </w:numPr>
                    <w:jc w:val="both"/>
                    <w:rPr>
                      <w:b w:val="0"/>
                      <w:bCs/>
                    </w:rPr>
                  </w:pPr>
                </w:p>
              </w:tc>
              <w:tc>
                <w:tcPr>
                  <w:tcW w:w="392" w:type="pct"/>
                  <w:vMerge w:val="continue"/>
                  <w:vAlign w:val="center"/>
                </w:tcPr>
                <w:p w14:paraId="6EAF6E29">
                  <w:pPr>
                    <w:pStyle w:val="43"/>
                    <w:numPr>
                      <w:ilvl w:val="0"/>
                      <w:numId w:val="0"/>
                    </w:numPr>
                    <w:jc w:val="both"/>
                    <w:rPr>
                      <w:b w:val="0"/>
                      <w:bCs/>
                    </w:rPr>
                  </w:pPr>
                </w:p>
              </w:tc>
              <w:tc>
                <w:tcPr>
                  <w:tcW w:w="319" w:type="pct"/>
                  <w:vAlign w:val="center"/>
                </w:tcPr>
                <w:p w14:paraId="5B220FC8">
                  <w:pPr>
                    <w:pStyle w:val="43"/>
                    <w:numPr>
                      <w:ilvl w:val="0"/>
                      <w:numId w:val="0"/>
                    </w:numPr>
                    <w:rPr>
                      <w:b w:val="0"/>
                      <w:bCs/>
                    </w:rPr>
                  </w:pPr>
                  <w:r>
                    <w:rPr>
                      <w:rFonts w:hint="eastAsia"/>
                      <w:b w:val="0"/>
                      <w:bCs/>
                      <w:spacing w:val="-10"/>
                    </w:rPr>
                    <w:t>氮氧化物</w:t>
                  </w:r>
                </w:p>
              </w:tc>
              <w:tc>
                <w:tcPr>
                  <w:tcW w:w="203" w:type="pct"/>
                  <w:vAlign w:val="center"/>
                </w:tcPr>
                <w:p w14:paraId="44C45348">
                  <w:pPr>
                    <w:pStyle w:val="43"/>
                    <w:numPr>
                      <w:ilvl w:val="0"/>
                      <w:numId w:val="0"/>
                    </w:numPr>
                    <w:rPr>
                      <w:b w:val="0"/>
                      <w:bCs/>
                    </w:rPr>
                  </w:pPr>
                  <w:r>
                    <w:rPr>
                      <w:rFonts w:hint="eastAsia"/>
                      <w:b w:val="0"/>
                      <w:bCs/>
                    </w:rPr>
                    <w:t>类比</w:t>
                  </w:r>
                </w:p>
              </w:tc>
              <w:tc>
                <w:tcPr>
                  <w:tcW w:w="386" w:type="pct"/>
                  <w:vAlign w:val="center"/>
                </w:tcPr>
                <w:p w14:paraId="3ABBD303">
                  <w:pPr>
                    <w:pStyle w:val="43"/>
                    <w:numPr>
                      <w:ilvl w:val="0"/>
                      <w:numId w:val="0"/>
                    </w:numPr>
                    <w:rPr>
                      <w:b w:val="0"/>
                      <w:bCs/>
                    </w:rPr>
                  </w:pPr>
                  <w:r>
                    <w:rPr>
                      <w:b w:val="0"/>
                      <w:bCs/>
                    </w:rPr>
                    <w:t>173.9</w:t>
                  </w:r>
                </w:p>
              </w:tc>
              <w:tc>
                <w:tcPr>
                  <w:tcW w:w="464" w:type="pct"/>
                  <w:vAlign w:val="center"/>
                </w:tcPr>
                <w:p w14:paraId="529AFC78">
                  <w:pPr>
                    <w:pStyle w:val="43"/>
                    <w:numPr>
                      <w:ilvl w:val="0"/>
                      <w:numId w:val="0"/>
                    </w:numPr>
                    <w:rPr>
                      <w:b w:val="0"/>
                      <w:bCs/>
                    </w:rPr>
                  </w:pPr>
                  <w:r>
                    <w:rPr>
                      <w:b w:val="0"/>
                      <w:bCs/>
                      <w:spacing w:val="-10"/>
                    </w:rPr>
                    <w:t>100</w:t>
                  </w:r>
                </w:p>
              </w:tc>
              <w:tc>
                <w:tcPr>
                  <w:tcW w:w="397" w:type="pct"/>
                  <w:vMerge w:val="continue"/>
                  <w:vAlign w:val="center"/>
                </w:tcPr>
                <w:p w14:paraId="1ED47464">
                  <w:pPr>
                    <w:pStyle w:val="43"/>
                    <w:numPr>
                      <w:ilvl w:val="0"/>
                      <w:numId w:val="0"/>
                    </w:numPr>
                    <w:rPr>
                      <w:b w:val="0"/>
                      <w:bCs/>
                    </w:rPr>
                  </w:pPr>
                </w:p>
              </w:tc>
              <w:tc>
                <w:tcPr>
                  <w:tcW w:w="397" w:type="pct"/>
                  <w:vAlign w:val="center"/>
                </w:tcPr>
                <w:p w14:paraId="5781F047">
                  <w:pPr>
                    <w:pStyle w:val="43"/>
                    <w:numPr>
                      <w:ilvl w:val="0"/>
                      <w:numId w:val="0"/>
                    </w:numPr>
                    <w:rPr>
                      <w:b w:val="0"/>
                      <w:bCs/>
                    </w:rPr>
                  </w:pPr>
                  <w:r>
                    <w:rPr>
                      <w:rFonts w:eastAsia="等线" w:cs="Times New Roman"/>
                      <w:b w:val="0"/>
                      <w:bCs/>
                      <w:szCs w:val="21"/>
                    </w:rPr>
                    <w:t>79</w:t>
                  </w:r>
                </w:p>
              </w:tc>
              <w:tc>
                <w:tcPr>
                  <w:tcW w:w="350" w:type="pct"/>
                  <w:vAlign w:val="center"/>
                </w:tcPr>
                <w:p w14:paraId="2EEBA65E">
                  <w:pPr>
                    <w:pStyle w:val="31"/>
                  </w:pPr>
                  <w:r>
                    <w:t>30.93</w:t>
                  </w:r>
                </w:p>
              </w:tc>
              <w:tc>
                <w:tcPr>
                  <w:tcW w:w="350" w:type="pct"/>
                  <w:vAlign w:val="center"/>
                </w:tcPr>
                <w:p w14:paraId="215A1E12">
                  <w:pPr>
                    <w:pStyle w:val="31"/>
                  </w:pPr>
                  <w:r>
                    <w:t>2.25</w:t>
                  </w:r>
                </w:p>
              </w:tc>
              <w:tc>
                <w:tcPr>
                  <w:tcW w:w="386" w:type="pct"/>
                  <w:vAlign w:val="center"/>
                </w:tcPr>
                <w:p w14:paraId="19405BAD">
                  <w:pPr>
                    <w:pStyle w:val="31"/>
                  </w:pPr>
                  <w:r>
                    <w:t>17.935</w:t>
                  </w:r>
                </w:p>
              </w:tc>
              <w:tc>
                <w:tcPr>
                  <w:tcW w:w="373" w:type="pct"/>
                  <w:vMerge w:val="continue"/>
                  <w:vAlign w:val="center"/>
                </w:tcPr>
                <w:p w14:paraId="5509CC18">
                  <w:pPr>
                    <w:pStyle w:val="43"/>
                    <w:numPr>
                      <w:ilvl w:val="0"/>
                      <w:numId w:val="0"/>
                    </w:numPr>
                    <w:rPr>
                      <w:b w:val="0"/>
                      <w:bCs/>
                    </w:rPr>
                  </w:pPr>
                </w:p>
              </w:tc>
              <w:tc>
                <w:tcPr>
                  <w:tcW w:w="271" w:type="pct"/>
                  <w:vMerge w:val="continue"/>
                  <w:vAlign w:val="center"/>
                </w:tcPr>
                <w:p w14:paraId="73E7A329">
                  <w:pPr>
                    <w:pStyle w:val="31"/>
                  </w:pPr>
                </w:p>
              </w:tc>
              <w:tc>
                <w:tcPr>
                  <w:tcW w:w="465" w:type="pct"/>
                  <w:vAlign w:val="center"/>
                </w:tcPr>
                <w:p w14:paraId="186B520F">
                  <w:pPr>
                    <w:pStyle w:val="31"/>
                    <w:rPr>
                      <w:bCs/>
                    </w:rPr>
                  </w:pPr>
                  <w:r>
                    <w:rPr>
                      <w:bCs/>
                    </w:rPr>
                    <w:t>150</w:t>
                  </w:r>
                </w:p>
              </w:tc>
            </w:tr>
            <w:tr w14:paraId="5C67F3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8" w:type="pct"/>
                  <w:vMerge w:val="continue"/>
                  <w:vAlign w:val="center"/>
                </w:tcPr>
                <w:p w14:paraId="3FECC406">
                  <w:pPr>
                    <w:pStyle w:val="43"/>
                    <w:numPr>
                      <w:ilvl w:val="0"/>
                      <w:numId w:val="0"/>
                    </w:numPr>
                    <w:jc w:val="both"/>
                    <w:rPr>
                      <w:b w:val="0"/>
                      <w:bCs/>
                    </w:rPr>
                  </w:pPr>
                </w:p>
              </w:tc>
              <w:tc>
                <w:tcPr>
                  <w:tcW w:w="392" w:type="pct"/>
                  <w:vMerge w:val="continue"/>
                  <w:vAlign w:val="center"/>
                </w:tcPr>
                <w:p w14:paraId="7928FECE">
                  <w:pPr>
                    <w:pStyle w:val="43"/>
                    <w:numPr>
                      <w:ilvl w:val="0"/>
                      <w:numId w:val="0"/>
                    </w:numPr>
                    <w:jc w:val="both"/>
                    <w:rPr>
                      <w:b w:val="0"/>
                      <w:bCs/>
                    </w:rPr>
                  </w:pPr>
                </w:p>
              </w:tc>
              <w:tc>
                <w:tcPr>
                  <w:tcW w:w="319" w:type="pct"/>
                  <w:vAlign w:val="center"/>
                </w:tcPr>
                <w:p w14:paraId="34C422DE">
                  <w:pPr>
                    <w:pStyle w:val="43"/>
                    <w:numPr>
                      <w:ilvl w:val="0"/>
                      <w:numId w:val="0"/>
                    </w:numPr>
                    <w:rPr>
                      <w:b w:val="0"/>
                      <w:bCs/>
                    </w:rPr>
                  </w:pPr>
                  <w:r>
                    <w:rPr>
                      <w:rFonts w:hint="eastAsia"/>
                      <w:b w:val="0"/>
                      <w:bCs/>
                      <w:spacing w:val="-10"/>
                    </w:rPr>
                    <w:t>颗粒物</w:t>
                  </w:r>
                </w:p>
              </w:tc>
              <w:tc>
                <w:tcPr>
                  <w:tcW w:w="203" w:type="pct"/>
                  <w:vAlign w:val="center"/>
                </w:tcPr>
                <w:p w14:paraId="637A6634">
                  <w:pPr>
                    <w:pStyle w:val="43"/>
                    <w:numPr>
                      <w:ilvl w:val="0"/>
                      <w:numId w:val="0"/>
                    </w:numPr>
                    <w:rPr>
                      <w:b w:val="0"/>
                      <w:bCs/>
                    </w:rPr>
                  </w:pPr>
                  <w:r>
                    <w:rPr>
                      <w:rFonts w:hint="eastAsia"/>
                      <w:b w:val="0"/>
                      <w:bCs/>
                    </w:rPr>
                    <w:t>类比</w:t>
                  </w:r>
                </w:p>
              </w:tc>
              <w:tc>
                <w:tcPr>
                  <w:tcW w:w="386" w:type="pct"/>
                  <w:vAlign w:val="center"/>
                </w:tcPr>
                <w:p w14:paraId="69AFC4A3">
                  <w:pPr>
                    <w:pStyle w:val="43"/>
                    <w:numPr>
                      <w:ilvl w:val="0"/>
                      <w:numId w:val="0"/>
                    </w:numPr>
                    <w:rPr>
                      <w:b w:val="0"/>
                      <w:bCs/>
                    </w:rPr>
                  </w:pPr>
                  <w:r>
                    <w:rPr>
                      <w:b w:val="0"/>
                      <w:bCs/>
                    </w:rPr>
                    <w:t>28.99</w:t>
                  </w:r>
                </w:p>
              </w:tc>
              <w:tc>
                <w:tcPr>
                  <w:tcW w:w="464" w:type="pct"/>
                  <w:vAlign w:val="center"/>
                </w:tcPr>
                <w:p w14:paraId="171782B3">
                  <w:pPr>
                    <w:pStyle w:val="43"/>
                    <w:numPr>
                      <w:ilvl w:val="0"/>
                      <w:numId w:val="0"/>
                    </w:numPr>
                    <w:rPr>
                      <w:b w:val="0"/>
                      <w:bCs/>
                    </w:rPr>
                  </w:pPr>
                  <w:r>
                    <w:rPr>
                      <w:b w:val="0"/>
                      <w:bCs/>
                      <w:spacing w:val="-10"/>
                    </w:rPr>
                    <w:t>100</w:t>
                  </w:r>
                </w:p>
              </w:tc>
              <w:tc>
                <w:tcPr>
                  <w:tcW w:w="397" w:type="pct"/>
                  <w:vMerge w:val="continue"/>
                  <w:vAlign w:val="center"/>
                </w:tcPr>
                <w:p w14:paraId="7BFDCC90">
                  <w:pPr>
                    <w:pStyle w:val="43"/>
                    <w:numPr>
                      <w:ilvl w:val="0"/>
                      <w:numId w:val="0"/>
                    </w:numPr>
                    <w:rPr>
                      <w:b w:val="0"/>
                      <w:bCs/>
                    </w:rPr>
                  </w:pPr>
                </w:p>
              </w:tc>
              <w:tc>
                <w:tcPr>
                  <w:tcW w:w="397" w:type="pct"/>
                  <w:vAlign w:val="center"/>
                </w:tcPr>
                <w:p w14:paraId="529DB1B6">
                  <w:pPr>
                    <w:pStyle w:val="43"/>
                    <w:numPr>
                      <w:ilvl w:val="0"/>
                      <w:numId w:val="0"/>
                    </w:numPr>
                    <w:rPr>
                      <w:b w:val="0"/>
                      <w:bCs/>
                    </w:rPr>
                  </w:pPr>
                  <w:r>
                    <w:rPr>
                      <w:b w:val="0"/>
                      <w:bCs/>
                    </w:rPr>
                    <w:t>87</w:t>
                  </w:r>
                </w:p>
              </w:tc>
              <w:tc>
                <w:tcPr>
                  <w:tcW w:w="350" w:type="pct"/>
                  <w:vAlign w:val="center"/>
                </w:tcPr>
                <w:p w14:paraId="06B787A2">
                  <w:pPr>
                    <w:pStyle w:val="31"/>
                  </w:pPr>
                  <w:r>
                    <w:t>6.49</w:t>
                  </w:r>
                </w:p>
              </w:tc>
              <w:tc>
                <w:tcPr>
                  <w:tcW w:w="350" w:type="pct"/>
                  <w:vAlign w:val="center"/>
                </w:tcPr>
                <w:p w14:paraId="49DB16A3">
                  <w:pPr>
                    <w:pStyle w:val="31"/>
                  </w:pPr>
                  <w:r>
                    <w:rPr>
                      <w:rFonts w:eastAsia="等线" w:cs="Times New Roman"/>
                      <w:bCs/>
                      <w:szCs w:val="21"/>
                    </w:rPr>
                    <w:t>0.48</w:t>
                  </w:r>
                </w:p>
              </w:tc>
              <w:tc>
                <w:tcPr>
                  <w:tcW w:w="386" w:type="pct"/>
                  <w:vAlign w:val="center"/>
                </w:tcPr>
                <w:p w14:paraId="75003B4F">
                  <w:pPr>
                    <w:pStyle w:val="31"/>
                  </w:pPr>
                  <w:r>
                    <w:rPr>
                      <w:rFonts w:eastAsia="等线" w:cs="Times New Roman"/>
                      <w:bCs/>
                      <w:szCs w:val="21"/>
                    </w:rPr>
                    <w:t>3.77</w:t>
                  </w:r>
                </w:p>
              </w:tc>
              <w:tc>
                <w:tcPr>
                  <w:tcW w:w="373" w:type="pct"/>
                  <w:vMerge w:val="continue"/>
                  <w:vAlign w:val="center"/>
                </w:tcPr>
                <w:p w14:paraId="24F04C92">
                  <w:pPr>
                    <w:pStyle w:val="43"/>
                    <w:numPr>
                      <w:ilvl w:val="0"/>
                      <w:numId w:val="0"/>
                    </w:numPr>
                    <w:rPr>
                      <w:b w:val="0"/>
                      <w:bCs/>
                    </w:rPr>
                  </w:pPr>
                </w:p>
              </w:tc>
              <w:tc>
                <w:tcPr>
                  <w:tcW w:w="271" w:type="pct"/>
                  <w:vMerge w:val="continue"/>
                  <w:vAlign w:val="center"/>
                </w:tcPr>
                <w:p w14:paraId="31B65515">
                  <w:pPr>
                    <w:pStyle w:val="43"/>
                    <w:numPr>
                      <w:ilvl w:val="0"/>
                      <w:numId w:val="0"/>
                    </w:numPr>
                    <w:rPr>
                      <w:b w:val="0"/>
                      <w:bCs/>
                    </w:rPr>
                  </w:pPr>
                </w:p>
              </w:tc>
              <w:tc>
                <w:tcPr>
                  <w:tcW w:w="465" w:type="pct"/>
                  <w:vAlign w:val="center"/>
                </w:tcPr>
                <w:p w14:paraId="3AEACA84">
                  <w:pPr>
                    <w:pStyle w:val="43"/>
                    <w:numPr>
                      <w:ilvl w:val="0"/>
                      <w:numId w:val="0"/>
                    </w:numPr>
                    <w:rPr>
                      <w:b w:val="0"/>
                      <w:bCs/>
                    </w:rPr>
                  </w:pPr>
                  <w:r>
                    <w:rPr>
                      <w:b w:val="0"/>
                      <w:bCs/>
                    </w:rPr>
                    <w:t>20</w:t>
                  </w:r>
                </w:p>
              </w:tc>
            </w:tr>
            <w:tr w14:paraId="59FEFD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48" w:type="pct"/>
                  <w:vAlign w:val="center"/>
                </w:tcPr>
                <w:p w14:paraId="1AE83122">
                  <w:pPr>
                    <w:pStyle w:val="43"/>
                    <w:numPr>
                      <w:ilvl w:val="0"/>
                      <w:numId w:val="0"/>
                    </w:numPr>
                    <w:jc w:val="both"/>
                    <w:rPr>
                      <w:b w:val="0"/>
                      <w:bCs/>
                    </w:rPr>
                  </w:pPr>
                  <w:r>
                    <w:rPr>
                      <w:rFonts w:hint="eastAsia"/>
                      <w:b w:val="0"/>
                      <w:bCs/>
                    </w:rPr>
                    <w:t>氨水罐</w:t>
                  </w:r>
                </w:p>
              </w:tc>
              <w:tc>
                <w:tcPr>
                  <w:tcW w:w="392" w:type="pct"/>
                  <w:vAlign w:val="center"/>
                </w:tcPr>
                <w:p w14:paraId="58B19288">
                  <w:pPr>
                    <w:pStyle w:val="43"/>
                    <w:numPr>
                      <w:ilvl w:val="0"/>
                      <w:numId w:val="0"/>
                    </w:numPr>
                    <w:rPr>
                      <w:b w:val="0"/>
                      <w:bCs/>
                    </w:rPr>
                  </w:pPr>
                  <w:r>
                    <w:rPr>
                      <w:b w:val="0"/>
                      <w:bCs/>
                    </w:rPr>
                    <w:t>/</w:t>
                  </w:r>
                </w:p>
              </w:tc>
              <w:tc>
                <w:tcPr>
                  <w:tcW w:w="319" w:type="pct"/>
                  <w:vAlign w:val="center"/>
                </w:tcPr>
                <w:p w14:paraId="2F4F598D">
                  <w:pPr>
                    <w:pStyle w:val="43"/>
                    <w:numPr>
                      <w:ilvl w:val="0"/>
                      <w:numId w:val="0"/>
                    </w:numPr>
                    <w:rPr>
                      <w:b w:val="0"/>
                      <w:bCs/>
                      <w:spacing w:val="-10"/>
                    </w:rPr>
                  </w:pPr>
                  <w:r>
                    <w:rPr>
                      <w:rFonts w:hint="eastAsia"/>
                      <w:b w:val="0"/>
                      <w:bCs/>
                      <w:spacing w:val="-10"/>
                    </w:rPr>
                    <w:t>氨气</w:t>
                  </w:r>
                </w:p>
              </w:tc>
              <w:tc>
                <w:tcPr>
                  <w:tcW w:w="203" w:type="pct"/>
                  <w:vAlign w:val="center"/>
                </w:tcPr>
                <w:p w14:paraId="122B5084">
                  <w:pPr>
                    <w:pStyle w:val="43"/>
                    <w:numPr>
                      <w:ilvl w:val="0"/>
                      <w:numId w:val="0"/>
                    </w:numPr>
                    <w:rPr>
                      <w:b w:val="0"/>
                      <w:bCs/>
                    </w:rPr>
                  </w:pPr>
                  <w:r>
                    <w:rPr>
                      <w:rFonts w:hint="eastAsia"/>
                      <w:b w:val="0"/>
                      <w:bCs/>
                    </w:rPr>
                    <w:t>物料衡算</w:t>
                  </w:r>
                </w:p>
              </w:tc>
              <w:tc>
                <w:tcPr>
                  <w:tcW w:w="386" w:type="pct"/>
                  <w:vAlign w:val="center"/>
                </w:tcPr>
                <w:p w14:paraId="22BC86B6">
                  <w:pPr>
                    <w:pStyle w:val="43"/>
                    <w:numPr>
                      <w:ilvl w:val="0"/>
                      <w:numId w:val="0"/>
                    </w:numPr>
                    <w:rPr>
                      <w:b w:val="0"/>
                      <w:bCs/>
                    </w:rPr>
                  </w:pPr>
                  <w:r>
                    <w:rPr>
                      <w:b w:val="0"/>
                      <w:bCs/>
                    </w:rPr>
                    <w:t>0.42</w:t>
                  </w:r>
                </w:p>
              </w:tc>
              <w:tc>
                <w:tcPr>
                  <w:tcW w:w="464" w:type="pct"/>
                  <w:vAlign w:val="center"/>
                </w:tcPr>
                <w:p w14:paraId="3588B4C8">
                  <w:pPr>
                    <w:pStyle w:val="43"/>
                    <w:numPr>
                      <w:ilvl w:val="0"/>
                      <w:numId w:val="0"/>
                    </w:numPr>
                    <w:rPr>
                      <w:b w:val="0"/>
                      <w:bCs/>
                      <w:spacing w:val="-10"/>
                    </w:rPr>
                  </w:pPr>
                  <w:r>
                    <w:rPr>
                      <w:b w:val="0"/>
                      <w:bCs/>
                      <w:spacing w:val="-10"/>
                    </w:rPr>
                    <w:t>/</w:t>
                  </w:r>
                </w:p>
              </w:tc>
              <w:tc>
                <w:tcPr>
                  <w:tcW w:w="397" w:type="pct"/>
                  <w:vAlign w:val="center"/>
                </w:tcPr>
                <w:p w14:paraId="588C2D21">
                  <w:pPr>
                    <w:pStyle w:val="43"/>
                    <w:numPr>
                      <w:ilvl w:val="0"/>
                      <w:numId w:val="0"/>
                    </w:numPr>
                    <w:rPr>
                      <w:b w:val="0"/>
                      <w:bCs/>
                    </w:rPr>
                  </w:pPr>
                  <w:r>
                    <w:rPr>
                      <w:b w:val="0"/>
                      <w:bCs/>
                    </w:rPr>
                    <w:t>/</w:t>
                  </w:r>
                </w:p>
              </w:tc>
              <w:tc>
                <w:tcPr>
                  <w:tcW w:w="397" w:type="pct"/>
                  <w:vAlign w:val="center"/>
                </w:tcPr>
                <w:p w14:paraId="14AC27FA">
                  <w:pPr>
                    <w:pStyle w:val="43"/>
                    <w:numPr>
                      <w:ilvl w:val="0"/>
                      <w:numId w:val="0"/>
                    </w:numPr>
                    <w:rPr>
                      <w:b w:val="0"/>
                      <w:bCs/>
                    </w:rPr>
                  </w:pPr>
                  <w:r>
                    <w:rPr>
                      <w:b w:val="0"/>
                      <w:bCs/>
                    </w:rPr>
                    <w:t>/</w:t>
                  </w:r>
                </w:p>
              </w:tc>
              <w:tc>
                <w:tcPr>
                  <w:tcW w:w="350" w:type="pct"/>
                  <w:vAlign w:val="center"/>
                </w:tcPr>
                <w:p w14:paraId="2B866542">
                  <w:pPr>
                    <w:pStyle w:val="31"/>
                  </w:pPr>
                  <w:r>
                    <w:t>/</w:t>
                  </w:r>
                </w:p>
              </w:tc>
              <w:tc>
                <w:tcPr>
                  <w:tcW w:w="350" w:type="pct"/>
                  <w:vAlign w:val="center"/>
                </w:tcPr>
                <w:p w14:paraId="5DE75ABC">
                  <w:pPr>
                    <w:pStyle w:val="31"/>
                    <w:rPr>
                      <w:rFonts w:eastAsia="等线" w:cs="Times New Roman"/>
                      <w:bCs/>
                      <w:szCs w:val="21"/>
                    </w:rPr>
                  </w:pPr>
                  <w:r>
                    <w:rPr>
                      <w:rFonts w:eastAsia="等线" w:cs="Times New Roman"/>
                      <w:bCs/>
                      <w:szCs w:val="21"/>
                    </w:rPr>
                    <w:t>/</w:t>
                  </w:r>
                </w:p>
              </w:tc>
              <w:tc>
                <w:tcPr>
                  <w:tcW w:w="386" w:type="pct"/>
                  <w:vAlign w:val="center"/>
                </w:tcPr>
                <w:p w14:paraId="0F90BC43">
                  <w:pPr>
                    <w:pStyle w:val="31"/>
                    <w:rPr>
                      <w:rFonts w:eastAsia="等线" w:cs="Times New Roman"/>
                      <w:bCs/>
                      <w:szCs w:val="21"/>
                    </w:rPr>
                  </w:pPr>
                  <w:r>
                    <w:rPr>
                      <w:rFonts w:eastAsia="等线" w:cs="Times New Roman"/>
                      <w:bCs/>
                      <w:szCs w:val="21"/>
                    </w:rPr>
                    <w:t>0.309</w:t>
                  </w:r>
                </w:p>
              </w:tc>
              <w:tc>
                <w:tcPr>
                  <w:tcW w:w="373" w:type="pct"/>
                  <w:vAlign w:val="center"/>
                </w:tcPr>
                <w:p w14:paraId="3E930146">
                  <w:pPr>
                    <w:pStyle w:val="43"/>
                    <w:numPr>
                      <w:ilvl w:val="0"/>
                      <w:numId w:val="0"/>
                    </w:numPr>
                    <w:rPr>
                      <w:b w:val="0"/>
                      <w:bCs/>
                    </w:rPr>
                  </w:pPr>
                  <w:r>
                    <w:rPr>
                      <w:b w:val="0"/>
                      <w:bCs/>
                    </w:rPr>
                    <w:t>7920</w:t>
                  </w:r>
                </w:p>
              </w:tc>
              <w:tc>
                <w:tcPr>
                  <w:tcW w:w="271" w:type="pct"/>
                  <w:vAlign w:val="center"/>
                </w:tcPr>
                <w:p w14:paraId="28A4B758">
                  <w:pPr>
                    <w:pStyle w:val="43"/>
                    <w:numPr>
                      <w:ilvl w:val="0"/>
                      <w:numId w:val="0"/>
                    </w:numPr>
                    <w:rPr>
                      <w:b w:val="0"/>
                      <w:bCs/>
                    </w:rPr>
                  </w:pPr>
                  <w:r>
                    <w:rPr>
                      <w:b w:val="0"/>
                      <w:bCs/>
                    </w:rPr>
                    <w:t>/</w:t>
                  </w:r>
                </w:p>
              </w:tc>
              <w:tc>
                <w:tcPr>
                  <w:tcW w:w="465" w:type="pct"/>
                  <w:vAlign w:val="center"/>
                </w:tcPr>
                <w:p w14:paraId="521A676F">
                  <w:pPr>
                    <w:pStyle w:val="43"/>
                    <w:numPr>
                      <w:ilvl w:val="0"/>
                      <w:numId w:val="0"/>
                    </w:numPr>
                    <w:rPr>
                      <w:b w:val="0"/>
                      <w:bCs/>
                    </w:rPr>
                  </w:pPr>
                  <w:r>
                    <w:rPr>
                      <w:b w:val="0"/>
                      <w:bCs/>
                    </w:rPr>
                    <w:t>/</w:t>
                  </w:r>
                </w:p>
              </w:tc>
            </w:tr>
          </w:tbl>
          <w:p w14:paraId="26528143">
            <w:pPr>
              <w:pStyle w:val="43"/>
            </w:pPr>
            <w:r>
              <w:rPr>
                <w:rFonts w:hint="eastAsia"/>
              </w:rPr>
              <w:t>废气排放口基本信息表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38"/>
              <w:gridCol w:w="1338"/>
              <w:gridCol w:w="3217"/>
              <w:gridCol w:w="1264"/>
              <w:gridCol w:w="1159"/>
              <w:gridCol w:w="1724"/>
              <w:gridCol w:w="1371"/>
              <w:gridCol w:w="1351"/>
              <w:gridCol w:w="1621"/>
            </w:tblGrid>
            <w:tr w14:paraId="4B85E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92" w:type="pct"/>
                  <w:vMerge w:val="restart"/>
                  <w:vAlign w:val="center"/>
                </w:tcPr>
                <w:p w14:paraId="4635BC29">
                  <w:pPr>
                    <w:pStyle w:val="31"/>
                  </w:pPr>
                  <w:r>
                    <w:rPr>
                      <w:rFonts w:hint="eastAsia"/>
                    </w:rPr>
                    <w:t>排放口编号</w:t>
                  </w:r>
                </w:p>
              </w:tc>
              <w:tc>
                <w:tcPr>
                  <w:tcW w:w="492" w:type="pct"/>
                  <w:vMerge w:val="restart"/>
                  <w:vAlign w:val="center"/>
                </w:tcPr>
                <w:p w14:paraId="16803C0D">
                  <w:pPr>
                    <w:pStyle w:val="31"/>
                  </w:pPr>
                  <w:r>
                    <w:rPr>
                      <w:rFonts w:hint="eastAsia"/>
                    </w:rPr>
                    <w:t>排放口名称</w:t>
                  </w:r>
                </w:p>
              </w:tc>
              <w:tc>
                <w:tcPr>
                  <w:tcW w:w="1145" w:type="pct"/>
                  <w:vMerge w:val="restart"/>
                  <w:vAlign w:val="center"/>
                </w:tcPr>
                <w:p w14:paraId="508C7951">
                  <w:pPr>
                    <w:pStyle w:val="31"/>
                  </w:pPr>
                  <w:r>
                    <w:rPr>
                      <w:rFonts w:hint="eastAsia"/>
                    </w:rPr>
                    <w:t>污染物种类</w:t>
                  </w:r>
                </w:p>
              </w:tc>
              <w:tc>
                <w:tcPr>
                  <w:tcW w:w="656" w:type="pct"/>
                  <w:gridSpan w:val="2"/>
                  <w:vAlign w:val="center"/>
                </w:tcPr>
                <w:p w14:paraId="3816F3EA">
                  <w:pPr>
                    <w:pStyle w:val="31"/>
                  </w:pPr>
                  <w:r>
                    <w:rPr>
                      <w:rFonts w:hint="eastAsia"/>
                    </w:rPr>
                    <w:t>排放口地理坐标</w:t>
                  </w:r>
                </w:p>
              </w:tc>
              <w:tc>
                <w:tcPr>
                  <w:tcW w:w="626" w:type="pct"/>
                  <w:vMerge w:val="restart"/>
                  <w:vAlign w:val="center"/>
                </w:tcPr>
                <w:p w14:paraId="63982987">
                  <w:pPr>
                    <w:pStyle w:val="31"/>
                  </w:pPr>
                  <w:r>
                    <w:rPr>
                      <w:rFonts w:hint="eastAsia"/>
                    </w:rPr>
                    <w:t>排气筒高度（m）</w:t>
                  </w:r>
                </w:p>
              </w:tc>
              <w:tc>
                <w:tcPr>
                  <w:tcW w:w="503" w:type="pct"/>
                  <w:vMerge w:val="restart"/>
                  <w:vAlign w:val="center"/>
                </w:tcPr>
                <w:p w14:paraId="5F7E11DC">
                  <w:pPr>
                    <w:pStyle w:val="31"/>
                  </w:pPr>
                  <w:r>
                    <w:rPr>
                      <w:rFonts w:hint="eastAsia"/>
                    </w:rPr>
                    <w:t>排气筒内径（m）</w:t>
                  </w:r>
                </w:p>
              </w:tc>
              <w:tc>
                <w:tcPr>
                  <w:tcW w:w="496" w:type="pct"/>
                  <w:vMerge w:val="restart"/>
                  <w:vAlign w:val="center"/>
                </w:tcPr>
                <w:p w14:paraId="027FFB65">
                  <w:pPr>
                    <w:pStyle w:val="31"/>
                  </w:pPr>
                  <w:r>
                    <w:rPr>
                      <w:rFonts w:hint="eastAsia"/>
                    </w:rPr>
                    <w:t>排放温度（℃）</w:t>
                  </w:r>
                </w:p>
              </w:tc>
              <w:tc>
                <w:tcPr>
                  <w:tcW w:w="590" w:type="pct"/>
                  <w:vMerge w:val="restart"/>
                  <w:vAlign w:val="center"/>
                </w:tcPr>
                <w:p w14:paraId="02DBF656">
                  <w:pPr>
                    <w:pStyle w:val="31"/>
                  </w:pPr>
                  <w:r>
                    <w:rPr>
                      <w:rFonts w:hint="eastAsia"/>
                    </w:rPr>
                    <w:t>排放口类别</w:t>
                  </w:r>
                </w:p>
              </w:tc>
            </w:tr>
            <w:tr w14:paraId="4AA2A8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492" w:type="pct"/>
                  <w:vMerge w:val="continue"/>
                  <w:vAlign w:val="center"/>
                </w:tcPr>
                <w:p w14:paraId="6C048B48">
                  <w:pPr>
                    <w:pStyle w:val="31"/>
                  </w:pPr>
                </w:p>
              </w:tc>
              <w:tc>
                <w:tcPr>
                  <w:tcW w:w="492" w:type="pct"/>
                  <w:vMerge w:val="continue"/>
                  <w:vAlign w:val="center"/>
                </w:tcPr>
                <w:p w14:paraId="05602F96">
                  <w:pPr>
                    <w:pStyle w:val="31"/>
                  </w:pPr>
                </w:p>
              </w:tc>
              <w:tc>
                <w:tcPr>
                  <w:tcW w:w="1145" w:type="pct"/>
                  <w:vMerge w:val="continue"/>
                  <w:vAlign w:val="center"/>
                </w:tcPr>
                <w:p w14:paraId="560E4CA8">
                  <w:pPr>
                    <w:pStyle w:val="31"/>
                  </w:pPr>
                </w:p>
              </w:tc>
              <w:tc>
                <w:tcPr>
                  <w:tcW w:w="328" w:type="pct"/>
                  <w:vAlign w:val="center"/>
                </w:tcPr>
                <w:p w14:paraId="7D9FA796">
                  <w:pPr>
                    <w:pStyle w:val="31"/>
                  </w:pPr>
                  <w:r>
                    <w:rPr>
                      <w:rFonts w:hint="eastAsia"/>
                    </w:rPr>
                    <w:t>经度</w:t>
                  </w:r>
                </w:p>
              </w:tc>
              <w:tc>
                <w:tcPr>
                  <w:tcW w:w="328" w:type="pct"/>
                  <w:vAlign w:val="center"/>
                </w:tcPr>
                <w:p w14:paraId="70ED2E89">
                  <w:pPr>
                    <w:pStyle w:val="31"/>
                  </w:pPr>
                  <w:r>
                    <w:rPr>
                      <w:rFonts w:hint="eastAsia"/>
                    </w:rPr>
                    <w:t>纬度</w:t>
                  </w:r>
                </w:p>
              </w:tc>
              <w:tc>
                <w:tcPr>
                  <w:tcW w:w="626" w:type="pct"/>
                  <w:vMerge w:val="continue"/>
                  <w:vAlign w:val="center"/>
                </w:tcPr>
                <w:p w14:paraId="561F2026">
                  <w:pPr>
                    <w:pStyle w:val="31"/>
                  </w:pPr>
                </w:p>
              </w:tc>
              <w:tc>
                <w:tcPr>
                  <w:tcW w:w="503" w:type="pct"/>
                  <w:vMerge w:val="continue"/>
                  <w:vAlign w:val="center"/>
                </w:tcPr>
                <w:p w14:paraId="03213EAE">
                  <w:pPr>
                    <w:pStyle w:val="31"/>
                  </w:pPr>
                </w:p>
              </w:tc>
              <w:tc>
                <w:tcPr>
                  <w:tcW w:w="496" w:type="pct"/>
                  <w:vMerge w:val="continue"/>
                  <w:vAlign w:val="center"/>
                </w:tcPr>
                <w:p w14:paraId="2D6E49C4">
                  <w:pPr>
                    <w:pStyle w:val="31"/>
                  </w:pPr>
                </w:p>
              </w:tc>
              <w:tc>
                <w:tcPr>
                  <w:tcW w:w="590" w:type="pct"/>
                  <w:vMerge w:val="continue"/>
                  <w:vAlign w:val="center"/>
                </w:tcPr>
                <w:p w14:paraId="7B10B2A7">
                  <w:pPr>
                    <w:pStyle w:val="31"/>
                  </w:pPr>
                </w:p>
              </w:tc>
            </w:tr>
            <w:tr w14:paraId="03A7AD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Align w:val="center"/>
                </w:tcPr>
                <w:p w14:paraId="5D207B80">
                  <w:pPr>
                    <w:pStyle w:val="31"/>
                  </w:pPr>
                  <w:r>
                    <w:rPr>
                      <w:rFonts w:hint="eastAsia"/>
                    </w:rPr>
                    <w:t>DA001</w:t>
                  </w:r>
                </w:p>
              </w:tc>
              <w:tc>
                <w:tcPr>
                  <w:tcW w:w="492" w:type="pct"/>
                  <w:vAlign w:val="center"/>
                </w:tcPr>
                <w:p w14:paraId="422EC74D">
                  <w:pPr>
                    <w:pStyle w:val="31"/>
                  </w:pPr>
                  <w:r>
                    <w:rPr>
                      <w:rFonts w:hint="eastAsia"/>
                    </w:rPr>
                    <w:t>废气排放口</w:t>
                  </w:r>
                </w:p>
              </w:tc>
              <w:tc>
                <w:tcPr>
                  <w:tcW w:w="1145" w:type="pct"/>
                  <w:vAlign w:val="center"/>
                </w:tcPr>
                <w:p w14:paraId="17A09ABC">
                  <w:pPr>
                    <w:pStyle w:val="31"/>
                  </w:pPr>
                  <w:r>
                    <w:rPr>
                      <w:rFonts w:hint="eastAsia"/>
                    </w:rPr>
                    <w:t>氮氧化物、二氧化硫、颗粒物</w:t>
                  </w:r>
                </w:p>
              </w:tc>
              <w:tc>
                <w:tcPr>
                  <w:tcW w:w="328" w:type="pct"/>
                  <w:vAlign w:val="center"/>
                </w:tcPr>
                <w:p w14:paraId="075CD5E6">
                  <w:pPr>
                    <w:pStyle w:val="31"/>
                  </w:pPr>
                  <w:r>
                    <w:t>105.29824438</w:t>
                  </w:r>
                </w:p>
              </w:tc>
              <w:tc>
                <w:tcPr>
                  <w:tcW w:w="328" w:type="pct"/>
                  <w:vAlign w:val="center"/>
                </w:tcPr>
                <w:p w14:paraId="0F86837E">
                  <w:pPr>
                    <w:pStyle w:val="31"/>
                  </w:pPr>
                  <w:r>
                    <w:t>30.58076772</w:t>
                  </w:r>
                </w:p>
              </w:tc>
              <w:tc>
                <w:tcPr>
                  <w:tcW w:w="626" w:type="pct"/>
                  <w:vAlign w:val="center"/>
                </w:tcPr>
                <w:p w14:paraId="366F2F52">
                  <w:pPr>
                    <w:pStyle w:val="31"/>
                  </w:pPr>
                  <w:r>
                    <w:rPr>
                      <w:rFonts w:hint="eastAsia"/>
                    </w:rPr>
                    <w:t>26</w:t>
                  </w:r>
                </w:p>
              </w:tc>
              <w:tc>
                <w:tcPr>
                  <w:tcW w:w="503" w:type="pct"/>
                  <w:vAlign w:val="center"/>
                </w:tcPr>
                <w:p w14:paraId="62773F9E">
                  <w:pPr>
                    <w:pStyle w:val="31"/>
                  </w:pPr>
                  <w:r>
                    <w:rPr>
                      <w:rFonts w:hint="eastAsia"/>
                    </w:rPr>
                    <w:t>1.2</w:t>
                  </w:r>
                </w:p>
              </w:tc>
              <w:tc>
                <w:tcPr>
                  <w:tcW w:w="496" w:type="pct"/>
                  <w:vAlign w:val="center"/>
                </w:tcPr>
                <w:p w14:paraId="13D080A5">
                  <w:pPr>
                    <w:pStyle w:val="31"/>
                  </w:pPr>
                  <w:r>
                    <w:rPr>
                      <w:rFonts w:hint="eastAsia"/>
                    </w:rPr>
                    <w:t>60</w:t>
                  </w:r>
                </w:p>
              </w:tc>
              <w:tc>
                <w:tcPr>
                  <w:tcW w:w="590" w:type="pct"/>
                  <w:vAlign w:val="center"/>
                </w:tcPr>
                <w:p w14:paraId="40E3F12A">
                  <w:pPr>
                    <w:pStyle w:val="31"/>
                  </w:pPr>
                  <w:r>
                    <w:rPr>
                      <w:rFonts w:hint="eastAsia"/>
                    </w:rPr>
                    <w:t>主要排放口</w:t>
                  </w:r>
                </w:p>
              </w:tc>
            </w:tr>
            <w:tr w14:paraId="5E7CB5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92" w:type="pct"/>
                  <w:vAlign w:val="center"/>
                </w:tcPr>
                <w:p w14:paraId="52A7A36B">
                  <w:pPr>
                    <w:pStyle w:val="31"/>
                  </w:pPr>
                  <w:r>
                    <w:rPr>
                      <w:rFonts w:hint="eastAsia"/>
                    </w:rPr>
                    <w:t>DA002</w:t>
                  </w:r>
                </w:p>
              </w:tc>
              <w:tc>
                <w:tcPr>
                  <w:tcW w:w="492" w:type="pct"/>
                  <w:vAlign w:val="center"/>
                </w:tcPr>
                <w:p w14:paraId="043520D5">
                  <w:pPr>
                    <w:pStyle w:val="31"/>
                  </w:pPr>
                  <w:r>
                    <w:rPr>
                      <w:rFonts w:hint="eastAsia"/>
                    </w:rPr>
                    <w:t>废气排放口</w:t>
                  </w:r>
                </w:p>
              </w:tc>
              <w:tc>
                <w:tcPr>
                  <w:tcW w:w="1145" w:type="pct"/>
                  <w:vAlign w:val="center"/>
                </w:tcPr>
                <w:p w14:paraId="05394082">
                  <w:pPr>
                    <w:pStyle w:val="31"/>
                  </w:pPr>
                  <w:r>
                    <w:rPr>
                      <w:rFonts w:hint="eastAsia"/>
                    </w:rPr>
                    <w:t>氮氧化物、二氧化硫、颗粒物</w:t>
                  </w:r>
                </w:p>
              </w:tc>
              <w:tc>
                <w:tcPr>
                  <w:tcW w:w="328" w:type="pct"/>
                  <w:vAlign w:val="center"/>
                </w:tcPr>
                <w:p w14:paraId="006C6664">
                  <w:pPr>
                    <w:pStyle w:val="31"/>
                  </w:pPr>
                  <w:r>
                    <w:t>105.29835465</w:t>
                  </w:r>
                </w:p>
              </w:tc>
              <w:tc>
                <w:tcPr>
                  <w:tcW w:w="328" w:type="pct"/>
                  <w:vAlign w:val="center"/>
                </w:tcPr>
                <w:p w14:paraId="59A0AF6B">
                  <w:pPr>
                    <w:pStyle w:val="31"/>
                  </w:pPr>
                  <w:r>
                    <w:t>30.58075864</w:t>
                  </w:r>
                </w:p>
              </w:tc>
              <w:tc>
                <w:tcPr>
                  <w:tcW w:w="626" w:type="pct"/>
                  <w:vAlign w:val="center"/>
                </w:tcPr>
                <w:p w14:paraId="04767258">
                  <w:pPr>
                    <w:pStyle w:val="31"/>
                  </w:pPr>
                  <w:r>
                    <w:rPr>
                      <w:rFonts w:hint="eastAsia"/>
                    </w:rPr>
                    <w:t>26</w:t>
                  </w:r>
                </w:p>
              </w:tc>
              <w:tc>
                <w:tcPr>
                  <w:tcW w:w="503" w:type="pct"/>
                  <w:vAlign w:val="center"/>
                </w:tcPr>
                <w:p w14:paraId="4F0D4A12">
                  <w:pPr>
                    <w:pStyle w:val="31"/>
                  </w:pPr>
                  <w:r>
                    <w:rPr>
                      <w:rFonts w:hint="eastAsia"/>
                    </w:rPr>
                    <w:t>1.2</w:t>
                  </w:r>
                </w:p>
              </w:tc>
              <w:tc>
                <w:tcPr>
                  <w:tcW w:w="496" w:type="pct"/>
                  <w:vAlign w:val="center"/>
                </w:tcPr>
                <w:p w14:paraId="4BDF85E8">
                  <w:pPr>
                    <w:pStyle w:val="31"/>
                  </w:pPr>
                  <w:r>
                    <w:rPr>
                      <w:rFonts w:hint="eastAsia"/>
                    </w:rPr>
                    <w:t>60</w:t>
                  </w:r>
                </w:p>
              </w:tc>
              <w:tc>
                <w:tcPr>
                  <w:tcW w:w="590" w:type="pct"/>
                  <w:vAlign w:val="center"/>
                </w:tcPr>
                <w:p w14:paraId="5920E84D">
                  <w:pPr>
                    <w:pStyle w:val="31"/>
                  </w:pPr>
                  <w:r>
                    <w:rPr>
                      <w:rFonts w:hint="eastAsia"/>
                    </w:rPr>
                    <w:t>主要排放口</w:t>
                  </w:r>
                </w:p>
              </w:tc>
            </w:tr>
          </w:tbl>
          <w:p w14:paraId="71538B29">
            <w:pPr>
              <w:pStyle w:val="43"/>
              <w:numPr>
                <w:ilvl w:val="0"/>
                <w:numId w:val="0"/>
              </w:numPr>
            </w:pPr>
          </w:p>
          <w:p w14:paraId="2D0E9CC1">
            <w:pPr>
              <w:pStyle w:val="43"/>
              <w:numPr>
                <w:ilvl w:val="0"/>
                <w:numId w:val="0"/>
              </w:numPr>
            </w:pPr>
          </w:p>
        </w:tc>
      </w:tr>
    </w:tbl>
    <w:p w14:paraId="3A2F3017">
      <w:pPr>
        <w:ind w:firstLine="480"/>
        <w:sectPr>
          <w:pgSz w:w="16838" w:h="11906" w:orient="landscape"/>
          <w:pgMar w:top="1440" w:right="1080" w:bottom="1440" w:left="1080" w:header="851" w:footer="992" w:gutter="0"/>
          <w:cols w:space="425" w:num="1"/>
          <w:docGrid w:type="lines" w:linePitch="326" w:charSpace="0"/>
        </w:sect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79"/>
        <w:gridCol w:w="8017"/>
      </w:tblGrid>
      <w:tr w14:paraId="4536F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740" w:hRule="atLeast"/>
          <w:jc w:val="center"/>
        </w:trPr>
        <w:tc>
          <w:tcPr>
            <w:tcW w:w="279" w:type="dxa"/>
          </w:tcPr>
          <w:p w14:paraId="3F54AE1C">
            <w:pPr>
              <w:ind w:firstLine="0" w:firstLineChars="0"/>
            </w:pPr>
          </w:p>
        </w:tc>
        <w:tc>
          <w:tcPr>
            <w:tcW w:w="8017" w:type="dxa"/>
            <w:vAlign w:val="center"/>
          </w:tcPr>
          <w:p w14:paraId="2EA83427">
            <w:pPr>
              <w:ind w:firstLine="482"/>
              <w:rPr>
                <w:b/>
                <w:bCs/>
              </w:rPr>
            </w:pPr>
            <w:r>
              <w:rPr>
                <w:rFonts w:hint="eastAsia"/>
                <w:b/>
                <w:bCs/>
              </w:rPr>
              <w:t>（3）非正常工况污染物排放情况</w:t>
            </w:r>
          </w:p>
          <w:p w14:paraId="05E576B1">
            <w:pPr>
              <w:ind w:firstLine="480"/>
            </w:pPr>
            <w:r>
              <w:rPr>
                <w:rFonts w:hint="eastAsia"/>
              </w:rPr>
              <w:t>非正常排放情况指生产过程中生产设备开停、检修、工艺设备运转异常等非正常工况下的污染物排放，以及污染物排放控制达不到应有效率等情况下的排放，非正常排放工况下废气排放对环境空气影响大于正常情况。废气非正常排放情况按SCR脱硝+喷淋式水膜除尘器的处理效率均为0计算。项目非正常工况废气污染物排放情况详见表4-6。</w:t>
            </w:r>
          </w:p>
          <w:p w14:paraId="4F071275">
            <w:pPr>
              <w:pStyle w:val="43"/>
            </w:pPr>
            <w:r>
              <w:rPr>
                <w:rFonts w:hint="eastAsia"/>
              </w:rPr>
              <w:t>项目非正常</w:t>
            </w:r>
            <w:r>
              <w:rPr>
                <w:rStyle w:val="44"/>
                <w:rFonts w:hint="eastAsia"/>
                <w:b/>
                <w:bCs/>
              </w:rPr>
              <w:t>工况废气污染</w:t>
            </w:r>
            <w:r>
              <w:rPr>
                <w:rFonts w:hint="eastAsia"/>
              </w:rPr>
              <w:t>物排放核算表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40"/>
              <w:gridCol w:w="952"/>
              <w:gridCol w:w="1113"/>
              <w:gridCol w:w="1317"/>
              <w:gridCol w:w="1535"/>
              <w:gridCol w:w="1458"/>
              <w:gridCol w:w="1046"/>
            </w:tblGrid>
            <w:tr w14:paraId="38FBE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9" w:type="pct"/>
                  <w:vAlign w:val="center"/>
                </w:tcPr>
                <w:p w14:paraId="5D5BE825">
                  <w:pPr>
                    <w:pStyle w:val="31"/>
                    <w:rPr>
                      <w:b/>
                      <w:bCs/>
                    </w:rPr>
                  </w:pPr>
                  <w:r>
                    <w:rPr>
                      <w:b/>
                      <w:bCs/>
                    </w:rPr>
                    <w:t>序号</w:t>
                  </w:r>
                </w:p>
              </w:tc>
              <w:tc>
                <w:tcPr>
                  <w:tcW w:w="598" w:type="pct"/>
                  <w:vAlign w:val="center"/>
                </w:tcPr>
                <w:p w14:paraId="29E5C4E2">
                  <w:pPr>
                    <w:pStyle w:val="31"/>
                    <w:rPr>
                      <w:b/>
                      <w:bCs/>
                    </w:rPr>
                  </w:pPr>
                  <w:r>
                    <w:rPr>
                      <w:b/>
                      <w:bCs/>
                    </w:rPr>
                    <w:t>污染源</w:t>
                  </w:r>
                </w:p>
              </w:tc>
              <w:tc>
                <w:tcPr>
                  <w:tcW w:w="699" w:type="pct"/>
                  <w:vAlign w:val="center"/>
                </w:tcPr>
                <w:p w14:paraId="6EBEEC17">
                  <w:pPr>
                    <w:pStyle w:val="31"/>
                    <w:rPr>
                      <w:b/>
                      <w:bCs/>
                    </w:rPr>
                  </w:pPr>
                  <w:r>
                    <w:rPr>
                      <w:rFonts w:hint="eastAsia"/>
                      <w:b/>
                      <w:bCs/>
                    </w:rPr>
                    <w:t>非正常原因</w:t>
                  </w:r>
                </w:p>
              </w:tc>
              <w:tc>
                <w:tcPr>
                  <w:tcW w:w="827" w:type="pct"/>
                  <w:vAlign w:val="center"/>
                </w:tcPr>
                <w:p w14:paraId="2D740DF7">
                  <w:pPr>
                    <w:pStyle w:val="31"/>
                    <w:rPr>
                      <w:b/>
                      <w:bCs/>
                    </w:rPr>
                  </w:pPr>
                  <w:r>
                    <w:rPr>
                      <w:b/>
                      <w:bCs/>
                    </w:rPr>
                    <w:t>污染物</w:t>
                  </w:r>
                </w:p>
              </w:tc>
              <w:tc>
                <w:tcPr>
                  <w:tcW w:w="964" w:type="pct"/>
                  <w:vAlign w:val="center"/>
                </w:tcPr>
                <w:p w14:paraId="58488DE0">
                  <w:pPr>
                    <w:pStyle w:val="31"/>
                    <w:rPr>
                      <w:b/>
                      <w:bCs/>
                    </w:rPr>
                  </w:pPr>
                  <w:r>
                    <w:rPr>
                      <w:b/>
                      <w:bCs/>
                    </w:rPr>
                    <w:t>非正常排放浓度（mg/m</w:t>
                  </w:r>
                  <w:r>
                    <w:rPr>
                      <w:b/>
                      <w:bCs/>
                      <w:vertAlign w:val="superscript"/>
                    </w:rPr>
                    <w:t>3</w:t>
                  </w:r>
                  <w:r>
                    <w:rPr>
                      <w:b/>
                      <w:bCs/>
                    </w:rPr>
                    <w:t>）</w:t>
                  </w:r>
                </w:p>
              </w:tc>
              <w:tc>
                <w:tcPr>
                  <w:tcW w:w="916" w:type="pct"/>
                  <w:vAlign w:val="center"/>
                </w:tcPr>
                <w:p w14:paraId="7277BFB6">
                  <w:pPr>
                    <w:pStyle w:val="31"/>
                    <w:rPr>
                      <w:b/>
                      <w:bCs/>
                    </w:rPr>
                  </w:pPr>
                  <w:r>
                    <w:rPr>
                      <w:rFonts w:hint="eastAsia"/>
                      <w:b/>
                      <w:bCs/>
                    </w:rPr>
                    <w:t>非正常排放速率（kg/h）</w:t>
                  </w:r>
                </w:p>
              </w:tc>
              <w:tc>
                <w:tcPr>
                  <w:tcW w:w="657" w:type="pct"/>
                  <w:vAlign w:val="center"/>
                </w:tcPr>
                <w:p w14:paraId="77029430">
                  <w:pPr>
                    <w:pStyle w:val="31"/>
                    <w:rPr>
                      <w:b/>
                      <w:bCs/>
                    </w:rPr>
                  </w:pPr>
                  <w:r>
                    <w:rPr>
                      <w:rFonts w:hint="eastAsia"/>
                      <w:b/>
                      <w:bCs/>
                    </w:rPr>
                    <w:t>单次持续时间（h）</w:t>
                  </w:r>
                </w:p>
              </w:tc>
            </w:tr>
            <w:tr w14:paraId="0D58DA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339" w:type="pct"/>
                  <w:vMerge w:val="restart"/>
                  <w:vAlign w:val="center"/>
                </w:tcPr>
                <w:p w14:paraId="328D4309">
                  <w:pPr>
                    <w:pStyle w:val="31"/>
                  </w:pPr>
                  <w:r>
                    <w:rPr>
                      <w:rFonts w:hint="eastAsia"/>
                    </w:rPr>
                    <w:t>1</w:t>
                  </w:r>
                </w:p>
              </w:tc>
              <w:tc>
                <w:tcPr>
                  <w:tcW w:w="598" w:type="pct"/>
                  <w:vMerge w:val="restart"/>
                  <w:vAlign w:val="center"/>
                </w:tcPr>
                <w:p w14:paraId="70518AC8">
                  <w:pPr>
                    <w:pStyle w:val="31"/>
                  </w:pPr>
                  <w:r>
                    <w:rPr>
                      <w:rFonts w:hint="eastAsia"/>
                    </w:rPr>
                    <w:t>DA001</w:t>
                  </w:r>
                </w:p>
              </w:tc>
              <w:tc>
                <w:tcPr>
                  <w:tcW w:w="699" w:type="pct"/>
                  <w:vMerge w:val="restart"/>
                  <w:vAlign w:val="center"/>
                </w:tcPr>
                <w:p w14:paraId="034604AF">
                  <w:pPr>
                    <w:pStyle w:val="31"/>
                  </w:pPr>
                  <w:r>
                    <w:rPr>
                      <w:rFonts w:hint="eastAsia"/>
                    </w:rPr>
                    <w:t>开停、检修、工艺设备运转异常，处理效率为0</w:t>
                  </w:r>
                </w:p>
              </w:tc>
              <w:tc>
                <w:tcPr>
                  <w:tcW w:w="827" w:type="pct"/>
                  <w:vAlign w:val="center"/>
                </w:tcPr>
                <w:p w14:paraId="302E61F3">
                  <w:pPr>
                    <w:pStyle w:val="31"/>
                  </w:pPr>
                  <w:r>
                    <w:rPr>
                      <w:rFonts w:hint="eastAsia"/>
                      <w:spacing w:val="-10"/>
                    </w:rPr>
                    <w:t>氮氧化物</w:t>
                  </w:r>
                </w:p>
              </w:tc>
              <w:tc>
                <w:tcPr>
                  <w:tcW w:w="964" w:type="pct"/>
                  <w:vAlign w:val="center"/>
                </w:tcPr>
                <w:p w14:paraId="7E707FD7">
                  <w:pPr>
                    <w:pStyle w:val="31"/>
                  </w:pPr>
                  <w:r>
                    <w:rPr>
                      <w:rFonts w:hint="eastAsia"/>
                    </w:rPr>
                    <w:t>150</w:t>
                  </w:r>
                </w:p>
              </w:tc>
              <w:tc>
                <w:tcPr>
                  <w:tcW w:w="916" w:type="pct"/>
                  <w:vAlign w:val="center"/>
                </w:tcPr>
                <w:p w14:paraId="3CE566C6">
                  <w:pPr>
                    <w:pStyle w:val="31"/>
                  </w:pPr>
                  <w:r>
                    <w:rPr>
                      <w:rFonts w:hint="eastAsia"/>
                    </w:rPr>
                    <w:t>21.96</w:t>
                  </w:r>
                </w:p>
              </w:tc>
              <w:tc>
                <w:tcPr>
                  <w:tcW w:w="657" w:type="pct"/>
                  <w:vAlign w:val="center"/>
                </w:tcPr>
                <w:p w14:paraId="47A48396">
                  <w:pPr>
                    <w:pStyle w:val="31"/>
                  </w:pPr>
                  <w:r>
                    <w:rPr>
                      <w:rFonts w:hint="eastAsia"/>
                    </w:rPr>
                    <w:t>1</w:t>
                  </w:r>
                </w:p>
              </w:tc>
            </w:tr>
            <w:tr w14:paraId="7C1625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339" w:type="pct"/>
                  <w:vMerge w:val="continue"/>
                  <w:vAlign w:val="center"/>
                </w:tcPr>
                <w:p w14:paraId="75D20E65">
                  <w:pPr>
                    <w:pStyle w:val="31"/>
                  </w:pPr>
                </w:p>
              </w:tc>
              <w:tc>
                <w:tcPr>
                  <w:tcW w:w="598" w:type="pct"/>
                  <w:vMerge w:val="continue"/>
                  <w:vAlign w:val="center"/>
                </w:tcPr>
                <w:p w14:paraId="167F3740">
                  <w:pPr>
                    <w:pStyle w:val="31"/>
                  </w:pPr>
                </w:p>
              </w:tc>
              <w:tc>
                <w:tcPr>
                  <w:tcW w:w="699" w:type="pct"/>
                  <w:vMerge w:val="continue"/>
                  <w:vAlign w:val="center"/>
                </w:tcPr>
                <w:p w14:paraId="29773DC9">
                  <w:pPr>
                    <w:pStyle w:val="31"/>
                  </w:pPr>
                </w:p>
              </w:tc>
              <w:tc>
                <w:tcPr>
                  <w:tcW w:w="827" w:type="pct"/>
                  <w:vAlign w:val="center"/>
                </w:tcPr>
                <w:p w14:paraId="5E8A0FF3">
                  <w:pPr>
                    <w:pStyle w:val="31"/>
                    <w:rPr>
                      <w:spacing w:val="-10"/>
                    </w:rPr>
                  </w:pPr>
                  <w:r>
                    <w:rPr>
                      <w:rFonts w:hint="eastAsia"/>
                      <w:spacing w:val="-10"/>
                    </w:rPr>
                    <w:t>颗粒物</w:t>
                  </w:r>
                </w:p>
              </w:tc>
              <w:tc>
                <w:tcPr>
                  <w:tcW w:w="964" w:type="pct"/>
                  <w:vAlign w:val="center"/>
                </w:tcPr>
                <w:p w14:paraId="7192C580">
                  <w:pPr>
                    <w:pStyle w:val="31"/>
                  </w:pPr>
                  <w:r>
                    <w:rPr>
                      <w:rFonts w:hint="eastAsia"/>
                    </w:rPr>
                    <w:t>25</w:t>
                  </w:r>
                </w:p>
              </w:tc>
              <w:tc>
                <w:tcPr>
                  <w:tcW w:w="916" w:type="pct"/>
                  <w:vAlign w:val="center"/>
                </w:tcPr>
                <w:p w14:paraId="26AFB2BE">
                  <w:pPr>
                    <w:pStyle w:val="31"/>
                  </w:pPr>
                  <w:r>
                    <w:rPr>
                      <w:rFonts w:hint="eastAsia"/>
                    </w:rPr>
                    <w:t>3.66</w:t>
                  </w:r>
                </w:p>
              </w:tc>
              <w:tc>
                <w:tcPr>
                  <w:tcW w:w="657" w:type="pct"/>
                  <w:vAlign w:val="center"/>
                </w:tcPr>
                <w:p w14:paraId="3D68E496">
                  <w:pPr>
                    <w:pStyle w:val="31"/>
                  </w:pPr>
                  <w:r>
                    <w:rPr>
                      <w:rFonts w:hint="eastAsia"/>
                    </w:rPr>
                    <w:t>1</w:t>
                  </w:r>
                </w:p>
              </w:tc>
            </w:tr>
            <w:tr w14:paraId="184057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9" w:type="pct"/>
                  <w:vMerge w:val="continue"/>
                  <w:vAlign w:val="center"/>
                </w:tcPr>
                <w:p w14:paraId="24B6AB2B">
                  <w:pPr>
                    <w:pStyle w:val="31"/>
                  </w:pPr>
                </w:p>
              </w:tc>
              <w:tc>
                <w:tcPr>
                  <w:tcW w:w="598" w:type="pct"/>
                  <w:vMerge w:val="continue"/>
                  <w:vAlign w:val="center"/>
                </w:tcPr>
                <w:p w14:paraId="0ED15AA7">
                  <w:pPr>
                    <w:pStyle w:val="31"/>
                  </w:pPr>
                </w:p>
              </w:tc>
              <w:tc>
                <w:tcPr>
                  <w:tcW w:w="699" w:type="pct"/>
                  <w:vMerge w:val="continue"/>
                  <w:vAlign w:val="center"/>
                </w:tcPr>
                <w:p w14:paraId="108F7DD4">
                  <w:pPr>
                    <w:pStyle w:val="31"/>
                  </w:pPr>
                </w:p>
              </w:tc>
              <w:tc>
                <w:tcPr>
                  <w:tcW w:w="827" w:type="pct"/>
                  <w:vAlign w:val="center"/>
                </w:tcPr>
                <w:p w14:paraId="6BDAFA97">
                  <w:pPr>
                    <w:pStyle w:val="31"/>
                  </w:pPr>
                  <w:r>
                    <w:rPr>
                      <w:rFonts w:hint="eastAsia"/>
                    </w:rPr>
                    <w:t>二氧化硫</w:t>
                  </w:r>
                </w:p>
              </w:tc>
              <w:tc>
                <w:tcPr>
                  <w:tcW w:w="964" w:type="pct"/>
                  <w:vAlign w:val="center"/>
                </w:tcPr>
                <w:p w14:paraId="4ACC651F">
                  <w:pPr>
                    <w:pStyle w:val="31"/>
                  </w:pPr>
                  <w:r>
                    <w:rPr>
                      <w:rFonts w:hint="eastAsia"/>
                    </w:rPr>
                    <w:t>0.24</w:t>
                  </w:r>
                </w:p>
              </w:tc>
              <w:tc>
                <w:tcPr>
                  <w:tcW w:w="916" w:type="pct"/>
                  <w:vAlign w:val="center"/>
                </w:tcPr>
                <w:p w14:paraId="1E503041">
                  <w:pPr>
                    <w:pStyle w:val="31"/>
                  </w:pPr>
                  <w:r>
                    <w:rPr>
                      <w:rFonts w:hint="eastAsia"/>
                    </w:rPr>
                    <w:t>0.022</w:t>
                  </w:r>
                </w:p>
              </w:tc>
              <w:tc>
                <w:tcPr>
                  <w:tcW w:w="657" w:type="pct"/>
                  <w:vAlign w:val="center"/>
                </w:tcPr>
                <w:p w14:paraId="0557E6DD">
                  <w:pPr>
                    <w:pStyle w:val="31"/>
                  </w:pPr>
                  <w:r>
                    <w:rPr>
                      <w:rFonts w:hint="eastAsia"/>
                    </w:rPr>
                    <w:t>1</w:t>
                  </w:r>
                </w:p>
              </w:tc>
            </w:tr>
            <w:tr w14:paraId="13B312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9" w:type="pct"/>
                  <w:vMerge w:val="restart"/>
                  <w:vAlign w:val="center"/>
                </w:tcPr>
                <w:p w14:paraId="77591C83">
                  <w:pPr>
                    <w:pStyle w:val="31"/>
                  </w:pPr>
                  <w:r>
                    <w:rPr>
                      <w:rFonts w:hint="eastAsia"/>
                    </w:rPr>
                    <w:t>1</w:t>
                  </w:r>
                </w:p>
              </w:tc>
              <w:tc>
                <w:tcPr>
                  <w:tcW w:w="598" w:type="pct"/>
                  <w:vMerge w:val="restart"/>
                  <w:vAlign w:val="center"/>
                </w:tcPr>
                <w:p w14:paraId="30A7B8AA">
                  <w:pPr>
                    <w:pStyle w:val="31"/>
                  </w:pPr>
                  <w:r>
                    <w:rPr>
                      <w:rFonts w:hint="eastAsia"/>
                    </w:rPr>
                    <w:t>DA002</w:t>
                  </w:r>
                </w:p>
              </w:tc>
              <w:tc>
                <w:tcPr>
                  <w:tcW w:w="699" w:type="pct"/>
                  <w:vMerge w:val="restart"/>
                  <w:vAlign w:val="center"/>
                </w:tcPr>
                <w:p w14:paraId="2D641AF7">
                  <w:pPr>
                    <w:pStyle w:val="31"/>
                  </w:pPr>
                  <w:r>
                    <w:rPr>
                      <w:rFonts w:hint="eastAsia"/>
                    </w:rPr>
                    <w:t>开停、检修、工艺设备运转异常，处理效率为0</w:t>
                  </w:r>
                </w:p>
              </w:tc>
              <w:tc>
                <w:tcPr>
                  <w:tcW w:w="827" w:type="pct"/>
                  <w:vAlign w:val="center"/>
                </w:tcPr>
                <w:p w14:paraId="746B3AF6">
                  <w:pPr>
                    <w:pStyle w:val="31"/>
                    <w:rPr>
                      <w:spacing w:val="-10"/>
                    </w:rPr>
                  </w:pPr>
                  <w:r>
                    <w:rPr>
                      <w:rFonts w:hint="eastAsia"/>
                      <w:spacing w:val="-10"/>
                    </w:rPr>
                    <w:t>氮氧化物</w:t>
                  </w:r>
                </w:p>
              </w:tc>
              <w:tc>
                <w:tcPr>
                  <w:tcW w:w="964" w:type="pct"/>
                  <w:vAlign w:val="center"/>
                </w:tcPr>
                <w:p w14:paraId="50C1E946">
                  <w:pPr>
                    <w:pStyle w:val="31"/>
                  </w:pPr>
                  <w:r>
                    <w:rPr>
                      <w:rFonts w:hint="eastAsia"/>
                    </w:rPr>
                    <w:t>150</w:t>
                  </w:r>
                </w:p>
              </w:tc>
              <w:tc>
                <w:tcPr>
                  <w:tcW w:w="916" w:type="pct"/>
                  <w:vAlign w:val="center"/>
                </w:tcPr>
                <w:p w14:paraId="3A1F10A6">
                  <w:pPr>
                    <w:pStyle w:val="31"/>
                  </w:pPr>
                  <w:r>
                    <w:rPr>
                      <w:rFonts w:hint="eastAsia"/>
                    </w:rPr>
                    <w:t>21.96</w:t>
                  </w:r>
                </w:p>
              </w:tc>
              <w:tc>
                <w:tcPr>
                  <w:tcW w:w="657" w:type="pct"/>
                  <w:vAlign w:val="center"/>
                </w:tcPr>
                <w:p w14:paraId="54CE9190">
                  <w:pPr>
                    <w:pStyle w:val="31"/>
                  </w:pPr>
                  <w:r>
                    <w:rPr>
                      <w:rFonts w:hint="eastAsia"/>
                    </w:rPr>
                    <w:t>1</w:t>
                  </w:r>
                </w:p>
              </w:tc>
            </w:tr>
            <w:tr w14:paraId="5CEC1D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9" w:type="pct"/>
                  <w:vMerge w:val="continue"/>
                  <w:vAlign w:val="center"/>
                </w:tcPr>
                <w:p w14:paraId="60B9936F">
                  <w:pPr>
                    <w:pStyle w:val="31"/>
                  </w:pPr>
                </w:p>
              </w:tc>
              <w:tc>
                <w:tcPr>
                  <w:tcW w:w="598" w:type="pct"/>
                  <w:vMerge w:val="continue"/>
                  <w:vAlign w:val="center"/>
                </w:tcPr>
                <w:p w14:paraId="4A59F8BE">
                  <w:pPr>
                    <w:pStyle w:val="31"/>
                  </w:pPr>
                </w:p>
              </w:tc>
              <w:tc>
                <w:tcPr>
                  <w:tcW w:w="699" w:type="pct"/>
                  <w:vMerge w:val="continue"/>
                  <w:vAlign w:val="center"/>
                </w:tcPr>
                <w:p w14:paraId="78A86EAE">
                  <w:pPr>
                    <w:pStyle w:val="31"/>
                  </w:pPr>
                </w:p>
              </w:tc>
              <w:tc>
                <w:tcPr>
                  <w:tcW w:w="827" w:type="pct"/>
                  <w:vAlign w:val="center"/>
                </w:tcPr>
                <w:p w14:paraId="70AB0B5C">
                  <w:pPr>
                    <w:pStyle w:val="31"/>
                    <w:rPr>
                      <w:spacing w:val="-10"/>
                    </w:rPr>
                  </w:pPr>
                  <w:r>
                    <w:rPr>
                      <w:rFonts w:hint="eastAsia"/>
                      <w:spacing w:val="-10"/>
                    </w:rPr>
                    <w:t>颗粒物</w:t>
                  </w:r>
                </w:p>
              </w:tc>
              <w:tc>
                <w:tcPr>
                  <w:tcW w:w="964" w:type="pct"/>
                  <w:vAlign w:val="center"/>
                </w:tcPr>
                <w:p w14:paraId="6CDFB5E4">
                  <w:pPr>
                    <w:pStyle w:val="31"/>
                  </w:pPr>
                  <w:r>
                    <w:rPr>
                      <w:rFonts w:hint="eastAsia"/>
                    </w:rPr>
                    <w:t>25</w:t>
                  </w:r>
                </w:p>
              </w:tc>
              <w:tc>
                <w:tcPr>
                  <w:tcW w:w="916" w:type="pct"/>
                  <w:vAlign w:val="center"/>
                </w:tcPr>
                <w:p w14:paraId="5D51D434">
                  <w:pPr>
                    <w:pStyle w:val="31"/>
                  </w:pPr>
                  <w:r>
                    <w:rPr>
                      <w:rFonts w:hint="eastAsia"/>
                    </w:rPr>
                    <w:t>3.66</w:t>
                  </w:r>
                </w:p>
              </w:tc>
              <w:tc>
                <w:tcPr>
                  <w:tcW w:w="657" w:type="pct"/>
                  <w:vAlign w:val="center"/>
                </w:tcPr>
                <w:p w14:paraId="2746A9C8">
                  <w:pPr>
                    <w:pStyle w:val="31"/>
                  </w:pPr>
                  <w:r>
                    <w:rPr>
                      <w:rFonts w:hint="eastAsia"/>
                    </w:rPr>
                    <w:t>1</w:t>
                  </w:r>
                </w:p>
              </w:tc>
            </w:tr>
            <w:tr w14:paraId="5F54D3C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9" w:type="pct"/>
                  <w:vMerge w:val="continue"/>
                  <w:vAlign w:val="center"/>
                </w:tcPr>
                <w:p w14:paraId="57D24819">
                  <w:pPr>
                    <w:pStyle w:val="31"/>
                  </w:pPr>
                </w:p>
              </w:tc>
              <w:tc>
                <w:tcPr>
                  <w:tcW w:w="598" w:type="pct"/>
                  <w:vMerge w:val="continue"/>
                  <w:vAlign w:val="center"/>
                </w:tcPr>
                <w:p w14:paraId="3924DA66">
                  <w:pPr>
                    <w:pStyle w:val="31"/>
                  </w:pPr>
                </w:p>
              </w:tc>
              <w:tc>
                <w:tcPr>
                  <w:tcW w:w="699" w:type="pct"/>
                  <w:vMerge w:val="continue"/>
                  <w:vAlign w:val="center"/>
                </w:tcPr>
                <w:p w14:paraId="55DB436F">
                  <w:pPr>
                    <w:pStyle w:val="31"/>
                  </w:pPr>
                </w:p>
              </w:tc>
              <w:tc>
                <w:tcPr>
                  <w:tcW w:w="827" w:type="pct"/>
                  <w:vAlign w:val="center"/>
                </w:tcPr>
                <w:p w14:paraId="57B6E4FF">
                  <w:pPr>
                    <w:pStyle w:val="31"/>
                    <w:rPr>
                      <w:spacing w:val="-10"/>
                    </w:rPr>
                  </w:pPr>
                  <w:r>
                    <w:rPr>
                      <w:rFonts w:hint="eastAsia"/>
                    </w:rPr>
                    <w:t>二氧化硫</w:t>
                  </w:r>
                </w:p>
              </w:tc>
              <w:tc>
                <w:tcPr>
                  <w:tcW w:w="964" w:type="pct"/>
                  <w:vAlign w:val="center"/>
                </w:tcPr>
                <w:p w14:paraId="1E7BE527">
                  <w:pPr>
                    <w:pStyle w:val="31"/>
                  </w:pPr>
                  <w:r>
                    <w:rPr>
                      <w:rFonts w:hint="eastAsia"/>
                    </w:rPr>
                    <w:t>0.24</w:t>
                  </w:r>
                </w:p>
              </w:tc>
              <w:tc>
                <w:tcPr>
                  <w:tcW w:w="916" w:type="pct"/>
                  <w:vAlign w:val="center"/>
                </w:tcPr>
                <w:p w14:paraId="1212CCD5">
                  <w:pPr>
                    <w:pStyle w:val="31"/>
                  </w:pPr>
                  <w:r>
                    <w:rPr>
                      <w:rFonts w:hint="eastAsia"/>
                    </w:rPr>
                    <w:t>0.022</w:t>
                  </w:r>
                </w:p>
              </w:tc>
              <w:tc>
                <w:tcPr>
                  <w:tcW w:w="657" w:type="pct"/>
                  <w:vAlign w:val="center"/>
                </w:tcPr>
                <w:p w14:paraId="7648BBAD">
                  <w:pPr>
                    <w:pStyle w:val="31"/>
                  </w:pPr>
                  <w:r>
                    <w:rPr>
                      <w:rFonts w:hint="eastAsia"/>
                    </w:rPr>
                    <w:t>1</w:t>
                  </w:r>
                </w:p>
              </w:tc>
            </w:tr>
          </w:tbl>
          <w:p w14:paraId="544E7EB2">
            <w:pPr>
              <w:ind w:firstLine="482"/>
              <w:rPr>
                <w:b/>
                <w:bCs/>
              </w:rPr>
            </w:pPr>
            <w:r>
              <w:rPr>
                <w:rFonts w:hint="eastAsia"/>
                <w:b/>
                <w:bCs/>
              </w:rPr>
              <w:t>对应措施：</w:t>
            </w:r>
          </w:p>
          <w:p w14:paraId="625F4BFA">
            <w:pPr>
              <w:ind w:firstLine="480"/>
            </w:pPr>
            <w:r>
              <w:t>为防止生产废气非正常工况排放，企业必须加强废气处理设施的管理，定期检修，确保废气处理设施正常运行，在废气处理设备停止运行或出现故障时，产生废气的各工序也必须相应停止生产。为杜绝废气非正常排放，应采取以下措施确保废气达标排放：</w:t>
            </w:r>
          </w:p>
          <w:p w14:paraId="7CF2A370">
            <w:pPr>
              <w:ind w:firstLine="480"/>
            </w:pPr>
            <w:r>
              <w:rPr>
                <w:rFonts w:ascii="Cambria Math" w:hAnsi="Cambria Math" w:cs="Cambria Math"/>
              </w:rPr>
              <w:t>①</w:t>
            </w:r>
            <w:r>
              <w:t>安排专人负责环保设备的日常维护和管理，每个固定时间检查、汇报情况，及时发现废气处理设备的隐患，确保废气处理系统正常运行；</w:t>
            </w:r>
          </w:p>
          <w:p w14:paraId="0374F5EE">
            <w:pPr>
              <w:ind w:firstLine="480"/>
            </w:pPr>
            <w:r>
              <w:rPr>
                <w:rFonts w:ascii="Cambria Math" w:hAnsi="Cambria Math" w:cs="Cambria Math"/>
              </w:rPr>
              <w:t>②</w:t>
            </w:r>
            <w:r>
              <w:t>建立健全的环保管理机构，对环保管理人员和技术人员进行岗位培训，委托具有专业资质的环境检测单位对项目排放的各类污染物进行定期检测；</w:t>
            </w:r>
          </w:p>
          <w:p w14:paraId="390B50DA">
            <w:pPr>
              <w:ind w:firstLine="480"/>
            </w:pPr>
            <w:r>
              <w:rPr>
                <w:rFonts w:ascii="Cambria Math" w:hAnsi="Cambria Math" w:cs="Cambria Math"/>
              </w:rPr>
              <w:t>③</w:t>
            </w:r>
            <w:r>
              <w:t>应定期维护、检修废气净化装置，以保持废气处理装置的净化能力和净化</w:t>
            </w:r>
            <w:r>
              <w:rPr>
                <w:rFonts w:hint="eastAsia"/>
              </w:rPr>
              <w:t>容量；</w:t>
            </w:r>
          </w:p>
          <w:p w14:paraId="0229872D">
            <w:pPr>
              <w:ind w:firstLine="480"/>
            </w:pPr>
            <w:r>
              <w:rPr>
                <w:rFonts w:ascii="Cambria Math" w:hAnsi="Cambria Math" w:cs="Cambria Math"/>
              </w:rPr>
              <w:t>④</w:t>
            </w:r>
            <w:r>
              <w:rPr>
                <w:rFonts w:hint="eastAsia"/>
              </w:rPr>
              <w:t>生产加工前，废气处理设备开启，关闭生产设备一段时间后再关闭废气处理设备，不存在有机废气突然排放的情况。</w:t>
            </w:r>
          </w:p>
          <w:p w14:paraId="0E3383DF">
            <w:pPr>
              <w:ind w:firstLine="482"/>
              <w:rPr>
                <w:b/>
                <w:bCs/>
              </w:rPr>
            </w:pPr>
            <w:r>
              <w:rPr>
                <w:rFonts w:hint="eastAsia"/>
                <w:b/>
                <w:bCs/>
              </w:rPr>
              <w:t>（4）大气污染物排放量核算</w:t>
            </w:r>
          </w:p>
          <w:p w14:paraId="6956B02B">
            <w:pPr>
              <w:ind w:firstLine="480"/>
            </w:pPr>
            <w:r>
              <w:rPr>
                <w:rFonts w:hint="eastAsia"/>
              </w:rPr>
              <w:t>本项目废气主要为锅炉废气，核算污染物为氮氧化物、二氧化硫、颗粒物，根据《排污许可证核发与申请技术规范 锅炉》（HJ953-2018）“单台出力10吨/小时（7兆瓦）及以上或者合计出力20吨/小时（14兆瓦）及以上锅炉排污单位的所有烟肉排放口为主要排放口”，本项目为4台35t/h锅炉，故本项目排放口为主要排放口。其排放量核算见下表。</w:t>
            </w:r>
          </w:p>
          <w:p w14:paraId="3DB14E45">
            <w:pPr>
              <w:pStyle w:val="43"/>
            </w:pPr>
            <w:r>
              <w:rPr>
                <w:rFonts w:hint="eastAsia"/>
              </w:rPr>
              <w:t>项目有组织大气污染物排放量</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228"/>
              <w:gridCol w:w="1829"/>
              <w:gridCol w:w="2621"/>
              <w:gridCol w:w="2283"/>
            </w:tblGrid>
            <w:tr w14:paraId="7E9242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771" w:type="pct"/>
                  <w:vMerge w:val="restart"/>
                  <w:vAlign w:val="center"/>
                </w:tcPr>
                <w:p w14:paraId="56146F14">
                  <w:pPr>
                    <w:pStyle w:val="31"/>
                    <w:rPr>
                      <w:b/>
                      <w:bCs/>
                    </w:rPr>
                  </w:pPr>
                  <w:r>
                    <w:rPr>
                      <w:rFonts w:hint="eastAsia"/>
                      <w:b/>
                      <w:bCs/>
                    </w:rPr>
                    <w:t>序号</w:t>
                  </w:r>
                </w:p>
              </w:tc>
              <w:tc>
                <w:tcPr>
                  <w:tcW w:w="1149" w:type="pct"/>
                  <w:vMerge w:val="restart"/>
                  <w:vAlign w:val="center"/>
                </w:tcPr>
                <w:p w14:paraId="68F62D14">
                  <w:pPr>
                    <w:pStyle w:val="31"/>
                    <w:rPr>
                      <w:b/>
                      <w:bCs/>
                    </w:rPr>
                  </w:pPr>
                  <w:r>
                    <w:rPr>
                      <w:rFonts w:hint="eastAsia"/>
                      <w:b/>
                      <w:bCs/>
                    </w:rPr>
                    <w:t>排放口编号</w:t>
                  </w:r>
                </w:p>
              </w:tc>
              <w:tc>
                <w:tcPr>
                  <w:tcW w:w="1646" w:type="pct"/>
                  <w:vMerge w:val="restart"/>
                  <w:vAlign w:val="center"/>
                </w:tcPr>
                <w:p w14:paraId="472C37CD">
                  <w:pPr>
                    <w:pStyle w:val="31"/>
                    <w:rPr>
                      <w:b/>
                      <w:bCs/>
                    </w:rPr>
                  </w:pPr>
                  <w:r>
                    <w:rPr>
                      <w:rFonts w:hint="eastAsia"/>
                      <w:b/>
                      <w:bCs/>
                    </w:rPr>
                    <w:t>污染物</w:t>
                  </w:r>
                </w:p>
              </w:tc>
              <w:tc>
                <w:tcPr>
                  <w:tcW w:w="1434" w:type="pct"/>
                  <w:vMerge w:val="restart"/>
                  <w:vAlign w:val="center"/>
                </w:tcPr>
                <w:p w14:paraId="06657DA8">
                  <w:pPr>
                    <w:pStyle w:val="31"/>
                    <w:rPr>
                      <w:b/>
                      <w:bCs/>
                    </w:rPr>
                  </w:pPr>
                  <w:r>
                    <w:rPr>
                      <w:rFonts w:hint="eastAsia"/>
                      <w:b/>
                      <w:bCs/>
                    </w:rPr>
                    <w:t>核算年排放量（t/a）</w:t>
                  </w:r>
                </w:p>
              </w:tc>
            </w:tr>
            <w:tr w14:paraId="7D2DF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6" w:hRule="atLeast"/>
                <w:jc w:val="center"/>
              </w:trPr>
              <w:tc>
                <w:tcPr>
                  <w:tcW w:w="771" w:type="pct"/>
                  <w:vMerge w:val="continue"/>
                  <w:vAlign w:val="center"/>
                </w:tcPr>
                <w:p w14:paraId="4C181D8A">
                  <w:pPr>
                    <w:pStyle w:val="31"/>
                  </w:pPr>
                </w:p>
              </w:tc>
              <w:tc>
                <w:tcPr>
                  <w:tcW w:w="1149" w:type="pct"/>
                  <w:vMerge w:val="continue"/>
                  <w:vAlign w:val="center"/>
                </w:tcPr>
                <w:p w14:paraId="543203C9">
                  <w:pPr>
                    <w:pStyle w:val="31"/>
                  </w:pPr>
                </w:p>
              </w:tc>
              <w:tc>
                <w:tcPr>
                  <w:tcW w:w="1646" w:type="pct"/>
                  <w:vMerge w:val="continue"/>
                  <w:vAlign w:val="center"/>
                </w:tcPr>
                <w:p w14:paraId="1DC808E5">
                  <w:pPr>
                    <w:pStyle w:val="31"/>
                  </w:pPr>
                </w:p>
              </w:tc>
              <w:tc>
                <w:tcPr>
                  <w:tcW w:w="1434" w:type="pct"/>
                  <w:vMerge w:val="continue"/>
                  <w:vAlign w:val="center"/>
                </w:tcPr>
                <w:p w14:paraId="1E09E8A0">
                  <w:pPr>
                    <w:pStyle w:val="31"/>
                  </w:pPr>
                </w:p>
              </w:tc>
            </w:tr>
            <w:tr w14:paraId="101C88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4"/>
                  <w:vAlign w:val="center"/>
                </w:tcPr>
                <w:p w14:paraId="6714480A">
                  <w:pPr>
                    <w:pStyle w:val="31"/>
                  </w:pPr>
                  <w:r>
                    <w:rPr>
                      <w:rFonts w:hint="eastAsia"/>
                    </w:rPr>
                    <w:t>主要排放口</w:t>
                  </w:r>
                </w:p>
              </w:tc>
            </w:tr>
            <w:tr w14:paraId="5339AD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1" w:type="pct"/>
                  <w:vMerge w:val="restart"/>
                  <w:vAlign w:val="center"/>
                </w:tcPr>
                <w:p w14:paraId="319CC540">
                  <w:pPr>
                    <w:pStyle w:val="31"/>
                  </w:pPr>
                  <w:r>
                    <w:rPr>
                      <w:rFonts w:hint="eastAsia"/>
                    </w:rPr>
                    <w:t>1</w:t>
                  </w:r>
                </w:p>
              </w:tc>
              <w:tc>
                <w:tcPr>
                  <w:tcW w:w="1149" w:type="pct"/>
                  <w:vMerge w:val="restart"/>
                  <w:vAlign w:val="center"/>
                </w:tcPr>
                <w:p w14:paraId="6647F041">
                  <w:pPr>
                    <w:pStyle w:val="31"/>
                  </w:pPr>
                  <w:r>
                    <w:rPr>
                      <w:rFonts w:hint="eastAsia"/>
                    </w:rPr>
                    <w:t>DA001</w:t>
                  </w:r>
                </w:p>
              </w:tc>
              <w:tc>
                <w:tcPr>
                  <w:tcW w:w="1646" w:type="pct"/>
                  <w:vAlign w:val="center"/>
                </w:tcPr>
                <w:p w14:paraId="70D8DCCE">
                  <w:pPr>
                    <w:pStyle w:val="31"/>
                  </w:pPr>
                  <w:r>
                    <w:rPr>
                      <w:rFonts w:hint="eastAsia"/>
                    </w:rPr>
                    <w:t>二氧化硫</w:t>
                  </w:r>
                </w:p>
              </w:tc>
              <w:tc>
                <w:tcPr>
                  <w:tcW w:w="1434" w:type="pct"/>
                </w:tcPr>
                <w:p w14:paraId="4A9BB9F4">
                  <w:pPr>
                    <w:pStyle w:val="31"/>
                  </w:pPr>
                  <w:r>
                    <w:rPr>
                      <w:rFonts w:hint="eastAsia"/>
                    </w:rPr>
                    <w:t>0.175</w:t>
                  </w:r>
                </w:p>
              </w:tc>
            </w:tr>
            <w:tr w14:paraId="281F1B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1" w:type="pct"/>
                  <w:vMerge w:val="continue"/>
                  <w:vAlign w:val="center"/>
                </w:tcPr>
                <w:p w14:paraId="66CFEA86">
                  <w:pPr>
                    <w:pStyle w:val="31"/>
                  </w:pPr>
                </w:p>
              </w:tc>
              <w:tc>
                <w:tcPr>
                  <w:tcW w:w="1149" w:type="pct"/>
                  <w:vMerge w:val="continue"/>
                  <w:vAlign w:val="center"/>
                </w:tcPr>
                <w:p w14:paraId="5164FE74">
                  <w:pPr>
                    <w:pStyle w:val="31"/>
                  </w:pPr>
                </w:p>
              </w:tc>
              <w:tc>
                <w:tcPr>
                  <w:tcW w:w="1646" w:type="pct"/>
                  <w:vAlign w:val="center"/>
                </w:tcPr>
                <w:p w14:paraId="2A8297EF">
                  <w:pPr>
                    <w:pStyle w:val="31"/>
                  </w:pPr>
                  <w:r>
                    <w:rPr>
                      <w:rFonts w:hint="eastAsia"/>
                    </w:rPr>
                    <w:t>氮氧化物</w:t>
                  </w:r>
                </w:p>
              </w:tc>
              <w:tc>
                <w:tcPr>
                  <w:tcW w:w="1434" w:type="pct"/>
                  <w:vAlign w:val="center"/>
                </w:tcPr>
                <w:p w14:paraId="6F0B85F6">
                  <w:pPr>
                    <w:pStyle w:val="31"/>
                  </w:pPr>
                  <w:r>
                    <w:rPr>
                      <w:rFonts w:hint="eastAsia"/>
                    </w:rPr>
                    <w:t>17.935</w:t>
                  </w:r>
                </w:p>
              </w:tc>
            </w:tr>
            <w:tr w14:paraId="4373E5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1" w:type="pct"/>
                  <w:vMerge w:val="continue"/>
                  <w:vAlign w:val="center"/>
                </w:tcPr>
                <w:p w14:paraId="4C7EA910">
                  <w:pPr>
                    <w:pStyle w:val="31"/>
                  </w:pPr>
                </w:p>
              </w:tc>
              <w:tc>
                <w:tcPr>
                  <w:tcW w:w="1149" w:type="pct"/>
                  <w:vMerge w:val="continue"/>
                  <w:vAlign w:val="center"/>
                </w:tcPr>
                <w:p w14:paraId="3228A879">
                  <w:pPr>
                    <w:pStyle w:val="31"/>
                  </w:pPr>
                </w:p>
              </w:tc>
              <w:tc>
                <w:tcPr>
                  <w:tcW w:w="1646" w:type="pct"/>
                  <w:vAlign w:val="center"/>
                </w:tcPr>
                <w:p w14:paraId="5CD405BE">
                  <w:pPr>
                    <w:pStyle w:val="31"/>
                  </w:pPr>
                  <w:r>
                    <w:rPr>
                      <w:rFonts w:hint="eastAsia"/>
                    </w:rPr>
                    <w:t>颗粒物</w:t>
                  </w:r>
                </w:p>
              </w:tc>
              <w:tc>
                <w:tcPr>
                  <w:tcW w:w="1434" w:type="pct"/>
                  <w:vAlign w:val="center"/>
                </w:tcPr>
                <w:p w14:paraId="4CED376B">
                  <w:pPr>
                    <w:pStyle w:val="31"/>
                  </w:pPr>
                  <w:r>
                    <w:rPr>
                      <w:rFonts w:eastAsia="等线" w:cs="Times New Roman"/>
                      <w:bCs/>
                      <w:szCs w:val="21"/>
                    </w:rPr>
                    <w:t>3.77</w:t>
                  </w:r>
                </w:p>
              </w:tc>
            </w:tr>
            <w:tr w14:paraId="161801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1" w:type="pct"/>
                  <w:vMerge w:val="restart"/>
                  <w:vAlign w:val="center"/>
                </w:tcPr>
                <w:p w14:paraId="502CD3DB">
                  <w:pPr>
                    <w:pStyle w:val="31"/>
                  </w:pPr>
                  <w:r>
                    <w:rPr>
                      <w:rFonts w:hint="eastAsia"/>
                    </w:rPr>
                    <w:t>2</w:t>
                  </w:r>
                </w:p>
              </w:tc>
              <w:tc>
                <w:tcPr>
                  <w:tcW w:w="1149" w:type="pct"/>
                  <w:vMerge w:val="restart"/>
                  <w:vAlign w:val="center"/>
                </w:tcPr>
                <w:p w14:paraId="62C85BD6">
                  <w:pPr>
                    <w:pStyle w:val="31"/>
                  </w:pPr>
                  <w:r>
                    <w:rPr>
                      <w:rFonts w:hint="eastAsia"/>
                    </w:rPr>
                    <w:t>DA002</w:t>
                  </w:r>
                </w:p>
              </w:tc>
              <w:tc>
                <w:tcPr>
                  <w:tcW w:w="1646" w:type="pct"/>
                  <w:vAlign w:val="center"/>
                </w:tcPr>
                <w:p w14:paraId="3B78146F">
                  <w:pPr>
                    <w:pStyle w:val="31"/>
                  </w:pPr>
                  <w:r>
                    <w:rPr>
                      <w:rFonts w:hint="eastAsia"/>
                    </w:rPr>
                    <w:t>二氧化硫</w:t>
                  </w:r>
                </w:p>
              </w:tc>
              <w:tc>
                <w:tcPr>
                  <w:tcW w:w="1434" w:type="pct"/>
                </w:tcPr>
                <w:p w14:paraId="08B4AB30">
                  <w:pPr>
                    <w:pStyle w:val="31"/>
                  </w:pPr>
                  <w:r>
                    <w:rPr>
                      <w:rFonts w:hint="eastAsia"/>
                    </w:rPr>
                    <w:t>0.175</w:t>
                  </w:r>
                </w:p>
              </w:tc>
            </w:tr>
            <w:tr w14:paraId="10BEA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771" w:type="pct"/>
                  <w:vMerge w:val="continue"/>
                  <w:vAlign w:val="center"/>
                </w:tcPr>
                <w:p w14:paraId="31F09E77">
                  <w:pPr>
                    <w:pStyle w:val="31"/>
                  </w:pPr>
                </w:p>
              </w:tc>
              <w:tc>
                <w:tcPr>
                  <w:tcW w:w="1149" w:type="pct"/>
                  <w:vMerge w:val="continue"/>
                  <w:vAlign w:val="center"/>
                </w:tcPr>
                <w:p w14:paraId="76FC13A5">
                  <w:pPr>
                    <w:pStyle w:val="31"/>
                  </w:pPr>
                </w:p>
              </w:tc>
              <w:tc>
                <w:tcPr>
                  <w:tcW w:w="1646" w:type="pct"/>
                  <w:vAlign w:val="center"/>
                </w:tcPr>
                <w:p w14:paraId="3F8A87AB">
                  <w:pPr>
                    <w:pStyle w:val="31"/>
                  </w:pPr>
                  <w:r>
                    <w:rPr>
                      <w:rFonts w:hint="eastAsia"/>
                    </w:rPr>
                    <w:t>氮氧化物</w:t>
                  </w:r>
                </w:p>
              </w:tc>
              <w:tc>
                <w:tcPr>
                  <w:tcW w:w="1434" w:type="pct"/>
                  <w:vAlign w:val="center"/>
                </w:tcPr>
                <w:p w14:paraId="40838629">
                  <w:pPr>
                    <w:pStyle w:val="31"/>
                  </w:pPr>
                  <w:r>
                    <w:rPr>
                      <w:rFonts w:hint="eastAsia"/>
                    </w:rPr>
                    <w:t>17.935</w:t>
                  </w:r>
                </w:p>
              </w:tc>
            </w:tr>
            <w:tr w14:paraId="21CCE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771" w:type="pct"/>
                  <w:vMerge w:val="continue"/>
                  <w:vAlign w:val="center"/>
                </w:tcPr>
                <w:p w14:paraId="7C322E45">
                  <w:pPr>
                    <w:pStyle w:val="31"/>
                  </w:pPr>
                </w:p>
              </w:tc>
              <w:tc>
                <w:tcPr>
                  <w:tcW w:w="1149" w:type="pct"/>
                  <w:vMerge w:val="continue"/>
                  <w:vAlign w:val="center"/>
                </w:tcPr>
                <w:p w14:paraId="2C2607A7">
                  <w:pPr>
                    <w:pStyle w:val="31"/>
                  </w:pPr>
                </w:p>
              </w:tc>
              <w:tc>
                <w:tcPr>
                  <w:tcW w:w="1646" w:type="pct"/>
                  <w:vAlign w:val="center"/>
                </w:tcPr>
                <w:p w14:paraId="4A004B70">
                  <w:pPr>
                    <w:pStyle w:val="31"/>
                  </w:pPr>
                  <w:r>
                    <w:rPr>
                      <w:rFonts w:hint="eastAsia"/>
                    </w:rPr>
                    <w:t>颗粒物</w:t>
                  </w:r>
                </w:p>
              </w:tc>
              <w:tc>
                <w:tcPr>
                  <w:tcW w:w="1434" w:type="pct"/>
                  <w:vAlign w:val="center"/>
                </w:tcPr>
                <w:p w14:paraId="085AE341">
                  <w:pPr>
                    <w:pStyle w:val="31"/>
                  </w:pPr>
                  <w:r>
                    <w:rPr>
                      <w:rFonts w:eastAsia="等线" w:cs="Times New Roman"/>
                      <w:bCs/>
                      <w:szCs w:val="21"/>
                    </w:rPr>
                    <w:t>3.77</w:t>
                  </w:r>
                </w:p>
              </w:tc>
            </w:tr>
            <w:tr w14:paraId="690FE5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920" w:type="pct"/>
                  <w:gridSpan w:val="2"/>
                  <w:vMerge w:val="restart"/>
                  <w:vAlign w:val="center"/>
                </w:tcPr>
                <w:p w14:paraId="4CBCCE5B">
                  <w:pPr>
                    <w:pStyle w:val="31"/>
                  </w:pPr>
                  <w:r>
                    <w:rPr>
                      <w:rFonts w:hint="eastAsia"/>
                    </w:rPr>
                    <w:t>主要排放口合计</w:t>
                  </w:r>
                </w:p>
              </w:tc>
              <w:tc>
                <w:tcPr>
                  <w:tcW w:w="1646" w:type="pct"/>
                  <w:vAlign w:val="center"/>
                </w:tcPr>
                <w:p w14:paraId="02454FE8">
                  <w:pPr>
                    <w:pStyle w:val="31"/>
                  </w:pPr>
                  <w:r>
                    <w:rPr>
                      <w:rFonts w:hint="eastAsia"/>
                    </w:rPr>
                    <w:t>二氧化硫</w:t>
                  </w:r>
                </w:p>
              </w:tc>
              <w:tc>
                <w:tcPr>
                  <w:tcW w:w="1434" w:type="pct"/>
                </w:tcPr>
                <w:p w14:paraId="38171866">
                  <w:pPr>
                    <w:pStyle w:val="31"/>
                  </w:pPr>
                  <w:r>
                    <w:rPr>
                      <w:rFonts w:hint="eastAsia"/>
                    </w:rPr>
                    <w:t>0.35</w:t>
                  </w:r>
                </w:p>
              </w:tc>
            </w:tr>
            <w:tr w14:paraId="4AB72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920" w:type="pct"/>
                  <w:gridSpan w:val="2"/>
                  <w:vMerge w:val="continue"/>
                  <w:vAlign w:val="center"/>
                </w:tcPr>
                <w:p w14:paraId="21F118FD">
                  <w:pPr>
                    <w:pStyle w:val="31"/>
                  </w:pPr>
                </w:p>
              </w:tc>
              <w:tc>
                <w:tcPr>
                  <w:tcW w:w="1646" w:type="pct"/>
                  <w:vAlign w:val="center"/>
                </w:tcPr>
                <w:p w14:paraId="39585802">
                  <w:pPr>
                    <w:pStyle w:val="31"/>
                  </w:pPr>
                  <w:r>
                    <w:rPr>
                      <w:rFonts w:hint="eastAsia"/>
                    </w:rPr>
                    <w:t>氮氧化物</w:t>
                  </w:r>
                </w:p>
              </w:tc>
              <w:tc>
                <w:tcPr>
                  <w:tcW w:w="1434" w:type="pct"/>
                </w:tcPr>
                <w:p w14:paraId="0D35241D">
                  <w:pPr>
                    <w:pStyle w:val="31"/>
                  </w:pPr>
                  <w:r>
                    <w:rPr>
                      <w:rFonts w:hint="eastAsia"/>
                    </w:rPr>
                    <w:t>35.87</w:t>
                  </w:r>
                </w:p>
              </w:tc>
            </w:tr>
            <w:tr w14:paraId="1F1ED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920" w:type="pct"/>
                  <w:gridSpan w:val="2"/>
                  <w:vMerge w:val="continue"/>
                  <w:vAlign w:val="center"/>
                </w:tcPr>
                <w:p w14:paraId="6FA435A1">
                  <w:pPr>
                    <w:pStyle w:val="31"/>
                  </w:pPr>
                </w:p>
              </w:tc>
              <w:tc>
                <w:tcPr>
                  <w:tcW w:w="1646" w:type="pct"/>
                  <w:vAlign w:val="center"/>
                </w:tcPr>
                <w:p w14:paraId="09AA4B71">
                  <w:pPr>
                    <w:pStyle w:val="31"/>
                  </w:pPr>
                  <w:r>
                    <w:rPr>
                      <w:rFonts w:hint="eastAsia"/>
                    </w:rPr>
                    <w:t>颗粒物</w:t>
                  </w:r>
                </w:p>
              </w:tc>
              <w:tc>
                <w:tcPr>
                  <w:tcW w:w="1434" w:type="pct"/>
                </w:tcPr>
                <w:p w14:paraId="651CDB88">
                  <w:pPr>
                    <w:pStyle w:val="31"/>
                  </w:pPr>
                  <w:r>
                    <w:rPr>
                      <w:rFonts w:hint="eastAsia"/>
                    </w:rPr>
                    <w:t>7.54</w:t>
                  </w:r>
                </w:p>
              </w:tc>
            </w:tr>
          </w:tbl>
          <w:p w14:paraId="7CBA339D">
            <w:pPr>
              <w:ind w:firstLine="482"/>
              <w:rPr>
                <w:b/>
                <w:bCs/>
              </w:rPr>
            </w:pPr>
            <w:r>
              <w:rPr>
                <w:rFonts w:hint="eastAsia"/>
                <w:b/>
                <w:bCs/>
              </w:rPr>
              <w:t>（5）监测要求</w:t>
            </w:r>
          </w:p>
          <w:p w14:paraId="0E5B0B05">
            <w:pPr>
              <w:ind w:firstLine="480"/>
            </w:pPr>
            <w:r>
              <w:rPr>
                <w:rFonts w:hint="eastAsia"/>
              </w:rPr>
              <w:t>根据《排污许可证核发与申请技术规范 锅炉》（HJ953-2018）和</w:t>
            </w:r>
            <w:r>
              <w:rPr>
                <w:rFonts w:cs="Times New Roman"/>
                <w:bCs/>
                <w:szCs w:val="24"/>
              </w:rPr>
              <w:t>《排污单位自行监测技术指南 火力发电及锅炉》（HJ820-2017）</w:t>
            </w:r>
            <w:r>
              <w:rPr>
                <w:rFonts w:hint="eastAsia"/>
              </w:rPr>
              <w:t>，项目废气监测要求见表4-8。</w:t>
            </w:r>
          </w:p>
          <w:p w14:paraId="55C27164">
            <w:pPr>
              <w:pStyle w:val="43"/>
            </w:pPr>
            <w:r>
              <w:rPr>
                <w:rFonts w:hint="eastAsia"/>
              </w:rPr>
              <w:t>废气监测要求一览表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71"/>
              <w:gridCol w:w="4490"/>
              <w:gridCol w:w="1700"/>
            </w:tblGrid>
            <w:tr w14:paraId="0765B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Align w:val="center"/>
                </w:tcPr>
                <w:p w14:paraId="1F84FA79">
                  <w:pPr>
                    <w:pStyle w:val="31"/>
                    <w:rPr>
                      <w:b/>
                      <w:bCs/>
                    </w:rPr>
                  </w:pPr>
                  <w:r>
                    <w:rPr>
                      <w:rFonts w:hint="eastAsia"/>
                      <w:b/>
                      <w:bCs/>
                    </w:rPr>
                    <w:t>监测点位</w:t>
                  </w:r>
                </w:p>
              </w:tc>
              <w:tc>
                <w:tcPr>
                  <w:tcW w:w="2820" w:type="pct"/>
                  <w:vAlign w:val="center"/>
                </w:tcPr>
                <w:p w14:paraId="4B89B212">
                  <w:pPr>
                    <w:pStyle w:val="31"/>
                    <w:rPr>
                      <w:b/>
                      <w:bCs/>
                    </w:rPr>
                  </w:pPr>
                  <w:r>
                    <w:rPr>
                      <w:rFonts w:hint="eastAsia"/>
                      <w:b/>
                      <w:bCs/>
                    </w:rPr>
                    <w:t>监测因子</w:t>
                  </w:r>
                </w:p>
              </w:tc>
              <w:tc>
                <w:tcPr>
                  <w:tcW w:w="1068" w:type="pct"/>
                  <w:vAlign w:val="center"/>
                </w:tcPr>
                <w:p w14:paraId="7C814CA1">
                  <w:pPr>
                    <w:pStyle w:val="31"/>
                    <w:rPr>
                      <w:b/>
                      <w:bCs/>
                    </w:rPr>
                  </w:pPr>
                  <w:r>
                    <w:rPr>
                      <w:rFonts w:hint="eastAsia"/>
                      <w:b/>
                      <w:bCs/>
                    </w:rPr>
                    <w:t>自行监测频次</w:t>
                  </w:r>
                </w:p>
              </w:tc>
            </w:tr>
            <w:tr w14:paraId="1DC878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restart"/>
                  <w:vAlign w:val="center"/>
                </w:tcPr>
                <w:p w14:paraId="637DB5A2">
                  <w:pPr>
                    <w:pStyle w:val="31"/>
                  </w:pPr>
                  <w:r>
                    <w:rPr>
                      <w:rFonts w:hint="eastAsia"/>
                    </w:rPr>
                    <w:t>废气排放口（DA001）</w:t>
                  </w:r>
                </w:p>
              </w:tc>
              <w:tc>
                <w:tcPr>
                  <w:tcW w:w="2820" w:type="pct"/>
                  <w:vAlign w:val="center"/>
                </w:tcPr>
                <w:p w14:paraId="68ADFF96">
                  <w:pPr>
                    <w:pStyle w:val="31"/>
                  </w:pPr>
                  <w:r>
                    <w:rPr>
                      <w:rFonts w:hint="eastAsia"/>
                    </w:rPr>
                    <w:t>氮氧化物、二氧化硫、颗粒物</w:t>
                  </w:r>
                </w:p>
              </w:tc>
              <w:tc>
                <w:tcPr>
                  <w:tcW w:w="1068" w:type="pct"/>
                  <w:vAlign w:val="center"/>
                </w:tcPr>
                <w:p w14:paraId="7633015E">
                  <w:pPr>
                    <w:pStyle w:val="31"/>
                  </w:pPr>
                  <w:r>
                    <w:rPr>
                      <w:rFonts w:hint="eastAsia"/>
                    </w:rPr>
                    <w:t>自动监测</w:t>
                  </w:r>
                </w:p>
              </w:tc>
            </w:tr>
            <w:tr w14:paraId="4E7A60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continue"/>
                  <w:vAlign w:val="center"/>
                </w:tcPr>
                <w:p w14:paraId="2EB8ECF6">
                  <w:pPr>
                    <w:pStyle w:val="31"/>
                  </w:pPr>
                </w:p>
              </w:tc>
              <w:tc>
                <w:tcPr>
                  <w:tcW w:w="2820" w:type="pct"/>
                  <w:vAlign w:val="center"/>
                </w:tcPr>
                <w:p w14:paraId="0767736F">
                  <w:pPr>
                    <w:pStyle w:val="31"/>
                  </w:pPr>
                  <w:r>
                    <w:rPr>
                      <w:rFonts w:hint="eastAsia"/>
                    </w:rPr>
                    <w:t>氨、林格曼黑度</w:t>
                  </w:r>
                </w:p>
              </w:tc>
              <w:tc>
                <w:tcPr>
                  <w:tcW w:w="1068" w:type="pct"/>
                  <w:vAlign w:val="center"/>
                </w:tcPr>
                <w:p w14:paraId="26C4298A">
                  <w:pPr>
                    <w:pStyle w:val="31"/>
                  </w:pPr>
                  <w:r>
                    <w:rPr>
                      <w:rFonts w:hint="eastAsia"/>
                    </w:rPr>
                    <w:t>季度</w:t>
                  </w:r>
                </w:p>
              </w:tc>
            </w:tr>
            <w:tr w14:paraId="7A4F98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restart"/>
                  <w:vAlign w:val="center"/>
                </w:tcPr>
                <w:p w14:paraId="47C7D43E">
                  <w:pPr>
                    <w:pStyle w:val="31"/>
                  </w:pPr>
                  <w:r>
                    <w:rPr>
                      <w:rFonts w:hint="eastAsia"/>
                    </w:rPr>
                    <w:t>废气排放口（DA002）</w:t>
                  </w:r>
                </w:p>
              </w:tc>
              <w:tc>
                <w:tcPr>
                  <w:tcW w:w="2820" w:type="pct"/>
                  <w:vAlign w:val="center"/>
                </w:tcPr>
                <w:p w14:paraId="58263613">
                  <w:pPr>
                    <w:pStyle w:val="31"/>
                  </w:pPr>
                  <w:r>
                    <w:rPr>
                      <w:rFonts w:hint="eastAsia"/>
                    </w:rPr>
                    <w:t>氮氧化物、二氧化硫、颗粒物</w:t>
                  </w:r>
                </w:p>
              </w:tc>
              <w:tc>
                <w:tcPr>
                  <w:tcW w:w="1068" w:type="pct"/>
                  <w:vAlign w:val="center"/>
                </w:tcPr>
                <w:p w14:paraId="4CF551CA">
                  <w:pPr>
                    <w:pStyle w:val="31"/>
                  </w:pPr>
                  <w:r>
                    <w:rPr>
                      <w:rFonts w:hint="eastAsia"/>
                    </w:rPr>
                    <w:t>自动监测</w:t>
                  </w:r>
                </w:p>
              </w:tc>
            </w:tr>
            <w:tr w14:paraId="46C54F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Merge w:val="continue"/>
                  <w:vAlign w:val="center"/>
                </w:tcPr>
                <w:p w14:paraId="5AA90286">
                  <w:pPr>
                    <w:pStyle w:val="31"/>
                  </w:pPr>
                </w:p>
              </w:tc>
              <w:tc>
                <w:tcPr>
                  <w:tcW w:w="2820" w:type="pct"/>
                  <w:vAlign w:val="center"/>
                </w:tcPr>
                <w:p w14:paraId="20D2A23A">
                  <w:pPr>
                    <w:pStyle w:val="31"/>
                  </w:pPr>
                  <w:r>
                    <w:rPr>
                      <w:rFonts w:hint="eastAsia"/>
                    </w:rPr>
                    <w:t>氨、林格曼黑度</w:t>
                  </w:r>
                </w:p>
              </w:tc>
              <w:tc>
                <w:tcPr>
                  <w:tcW w:w="1068" w:type="pct"/>
                  <w:vAlign w:val="center"/>
                </w:tcPr>
                <w:p w14:paraId="4BA652DA">
                  <w:pPr>
                    <w:pStyle w:val="31"/>
                  </w:pPr>
                  <w:r>
                    <w:rPr>
                      <w:rFonts w:hint="eastAsia"/>
                    </w:rPr>
                    <w:t>季度</w:t>
                  </w:r>
                </w:p>
              </w:tc>
            </w:tr>
            <w:tr w14:paraId="2F9B80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2" w:type="pct"/>
                  <w:vAlign w:val="center"/>
                </w:tcPr>
                <w:p w14:paraId="1A871D2B">
                  <w:pPr>
                    <w:pStyle w:val="31"/>
                  </w:pPr>
                  <w:r>
                    <w:rPr>
                      <w:rFonts w:hint="eastAsia"/>
                    </w:rPr>
                    <w:t>厂界</w:t>
                  </w:r>
                </w:p>
              </w:tc>
              <w:tc>
                <w:tcPr>
                  <w:tcW w:w="2820" w:type="pct"/>
                  <w:vAlign w:val="center"/>
                </w:tcPr>
                <w:p w14:paraId="4C76BB49">
                  <w:pPr>
                    <w:pStyle w:val="31"/>
                  </w:pPr>
                  <w:r>
                    <w:rPr>
                      <w:rFonts w:hint="eastAsia"/>
                    </w:rPr>
                    <w:t>颗粒物、氨</w:t>
                  </w:r>
                </w:p>
              </w:tc>
              <w:tc>
                <w:tcPr>
                  <w:tcW w:w="1068" w:type="pct"/>
                  <w:vAlign w:val="center"/>
                </w:tcPr>
                <w:p w14:paraId="01FBAFFF">
                  <w:pPr>
                    <w:pStyle w:val="31"/>
                  </w:pPr>
                  <w:r>
                    <w:rPr>
                      <w:rFonts w:hint="eastAsia"/>
                    </w:rPr>
                    <w:t>1次/季度</w:t>
                  </w:r>
                </w:p>
              </w:tc>
            </w:tr>
          </w:tbl>
          <w:p w14:paraId="7B944DC6">
            <w:pPr>
              <w:ind w:firstLine="482"/>
              <w:rPr>
                <w:b/>
                <w:bCs/>
              </w:rPr>
            </w:pPr>
            <w:r>
              <w:rPr>
                <w:rFonts w:hint="eastAsia"/>
                <w:b/>
                <w:bCs/>
              </w:rPr>
              <w:t>（6）废气环境影响结论</w:t>
            </w:r>
          </w:p>
          <w:p w14:paraId="0378A80F">
            <w:pPr>
              <w:ind w:firstLine="480"/>
            </w:pPr>
            <w:r>
              <w:rPr>
                <w:rFonts w:hint="eastAsia"/>
              </w:rPr>
              <w:t>项目所在地属于环境空气二类区，现状监测点处特征污染物满足相关空气标准要求，项目所在地具有一定的环境容量可接纳本项目特征污染物的排放。</w:t>
            </w:r>
            <w:bookmarkStart w:id="12" w:name="_Toc22936"/>
            <w:r>
              <w:t>项目运营期间产生的污染物经治理后均能达标排放，</w:t>
            </w:r>
            <w:r>
              <w:rPr>
                <w:rFonts w:hint="eastAsia"/>
              </w:rPr>
              <w:t>项目周边不存在自然保护区、风景名胜区、森林公园等需要特殊保护的区域</w:t>
            </w:r>
            <w:r>
              <w:t>，项目污染物经治理后能达标排放，对环境影响较小。因此，本项目在落实具体措施后，大气污染物经处理排放对评价范围内的大气环境影响较小。</w:t>
            </w:r>
            <w:bookmarkEnd w:id="12"/>
          </w:p>
          <w:p w14:paraId="46D3F621">
            <w:pPr>
              <w:ind w:firstLine="482"/>
              <w:rPr>
                <w:b/>
                <w:bCs/>
              </w:rPr>
            </w:pPr>
            <w:r>
              <w:rPr>
                <w:rFonts w:hint="eastAsia"/>
                <w:b/>
                <w:bCs/>
              </w:rPr>
              <w:t>1.2运营期废水环境影响和保护措施</w:t>
            </w:r>
          </w:p>
          <w:p w14:paraId="4C96300C">
            <w:pPr>
              <w:ind w:firstLine="480"/>
            </w:pPr>
            <w:r>
              <w:rPr>
                <w:rFonts w:hint="eastAsia"/>
              </w:rPr>
              <w:t>（1）源强核算</w:t>
            </w:r>
          </w:p>
          <w:p w14:paraId="38BE10F4">
            <w:pPr>
              <w:ind w:firstLine="480"/>
            </w:pPr>
            <w:r>
              <w:rPr>
                <w:rFonts w:hint="eastAsia"/>
              </w:rPr>
              <w:t>1）生活用水</w:t>
            </w:r>
          </w:p>
          <w:p w14:paraId="6E9D3D40">
            <w:pPr>
              <w:ind w:firstLine="480"/>
            </w:pPr>
            <w:r>
              <w:rPr>
                <w:rFonts w:hint="eastAsia"/>
              </w:rPr>
              <w:t>项目劳动定员为12人，根据《建筑给排水设计规范》（GB50015-2010）工业企业建筑、管理人员的生活用水定额为30~50L/人·天，本项目用水量按50L/人·天计算，生活用水量为0.6m</w:t>
            </w:r>
            <w:r>
              <w:rPr>
                <w:rFonts w:hint="eastAsia"/>
                <w:vertAlign w:val="superscript"/>
              </w:rPr>
              <w:t>3</w:t>
            </w:r>
            <w:r>
              <w:rPr>
                <w:rFonts w:hint="eastAsia"/>
              </w:rPr>
              <w:t>/d，年工作330天，则生活用水量198m</w:t>
            </w:r>
            <w:r>
              <w:rPr>
                <w:rFonts w:hint="eastAsia"/>
                <w:vertAlign w:val="superscript"/>
              </w:rPr>
              <w:t>3</w:t>
            </w:r>
            <w:r>
              <w:rPr>
                <w:rFonts w:hint="eastAsia"/>
              </w:rPr>
              <w:t>/a。</w:t>
            </w:r>
            <w:r>
              <w:rPr>
                <w:bCs/>
              </w:rPr>
              <w:t>生活污水产生系数按照85%计，则生活污水产生量</w:t>
            </w:r>
            <w:r>
              <w:rPr>
                <w:rFonts w:hint="eastAsia"/>
                <w:bCs/>
              </w:rPr>
              <w:t>0.51</w:t>
            </w:r>
            <w:r>
              <w:rPr>
                <w:bCs/>
              </w:rPr>
              <w:t>m</w:t>
            </w:r>
            <w:r>
              <w:rPr>
                <w:bCs/>
                <w:vertAlign w:val="superscript"/>
              </w:rPr>
              <w:t>3</w:t>
            </w:r>
            <w:r>
              <w:rPr>
                <w:bCs/>
              </w:rPr>
              <w:t>/d</w:t>
            </w:r>
            <w:r>
              <w:rPr>
                <w:rFonts w:hint="eastAsia"/>
                <w:bCs/>
              </w:rPr>
              <w:t>，168.3</w:t>
            </w:r>
            <w:r>
              <w:rPr>
                <w:bCs/>
              </w:rPr>
              <w:t>m</w:t>
            </w:r>
            <w:r>
              <w:rPr>
                <w:bCs/>
                <w:vertAlign w:val="superscript"/>
              </w:rPr>
              <w:t>3</w:t>
            </w:r>
            <w:r>
              <w:rPr>
                <w:bCs/>
              </w:rPr>
              <w:t>/a。</w:t>
            </w:r>
          </w:p>
          <w:p w14:paraId="2143AD93">
            <w:pPr>
              <w:ind w:firstLine="480"/>
            </w:pPr>
            <w:r>
              <w:rPr>
                <w:rFonts w:hint="eastAsia"/>
              </w:rPr>
              <w:t>2）生产用水</w:t>
            </w:r>
          </w:p>
          <w:p w14:paraId="3C66947A">
            <w:pPr>
              <w:widowControl/>
              <w:adjustRightInd w:val="0"/>
              <w:snapToGrid w:val="0"/>
              <w:ind w:firstLine="480"/>
              <w:jc w:val="left"/>
              <w:rPr>
                <w:rFonts w:ascii="Cambria Math" w:hAnsi="Cambria Math" w:cs="Cambria Math"/>
                <w:kern w:val="0"/>
                <w:lang w:bidi="ar"/>
              </w:rPr>
            </w:pPr>
            <w:r>
              <w:rPr>
                <w:rFonts w:ascii="Cambria Math" w:hAnsi="Cambria Math" w:cs="Cambria Math"/>
                <w:kern w:val="0"/>
                <w:lang w:bidi="ar"/>
              </w:rPr>
              <w:t>①</w:t>
            </w:r>
            <w:r>
              <w:rPr>
                <w:rFonts w:hint="eastAsia" w:ascii="Cambria Math" w:hAnsi="Cambria Math" w:cs="Cambria Math"/>
                <w:kern w:val="0"/>
                <w:lang w:bidi="ar"/>
              </w:rPr>
              <w:t>锅炉用水</w:t>
            </w:r>
          </w:p>
          <w:p w14:paraId="465AEF60">
            <w:pPr>
              <w:widowControl/>
              <w:adjustRightInd w:val="0"/>
              <w:snapToGrid w:val="0"/>
              <w:ind w:firstLine="480"/>
              <w:jc w:val="left"/>
              <w:rPr>
                <w:rFonts w:ascii="Cambria Math" w:hAnsi="Cambria Math" w:cs="Cambria Math"/>
                <w:kern w:val="0"/>
                <w:lang w:bidi="ar"/>
              </w:rPr>
            </w:pPr>
            <w:r>
              <w:rPr>
                <w:rFonts w:hint="eastAsia" w:ascii="Cambria Math" w:hAnsi="Cambria Math" w:cs="Cambria Math"/>
                <w:kern w:val="0"/>
                <w:lang w:bidi="ar"/>
              </w:rPr>
              <w:t>a.锅炉产生蒸汽用水量</w:t>
            </w:r>
          </w:p>
          <w:p w14:paraId="299E14A9">
            <w:pPr>
              <w:widowControl/>
              <w:adjustRightInd w:val="0"/>
              <w:snapToGrid w:val="0"/>
              <w:ind w:firstLine="480"/>
              <w:jc w:val="left"/>
              <w:rPr>
                <w:rFonts w:cs="Times New Roman"/>
                <w:kern w:val="0"/>
                <w:lang w:bidi="ar"/>
              </w:rPr>
            </w:pPr>
            <w:r>
              <w:rPr>
                <w:rFonts w:hint="eastAsia" w:cs="Times New Roman"/>
                <w:kern w:val="0"/>
                <w:lang w:bidi="ar"/>
              </w:rPr>
              <w:t>本项目年产80万t蒸汽，则蒸汽用水量为800000</w:t>
            </w:r>
            <w:r>
              <w:rPr>
                <w:bCs/>
              </w:rPr>
              <w:t>m</w:t>
            </w:r>
            <w:r>
              <w:rPr>
                <w:bCs/>
                <w:vertAlign w:val="superscript"/>
              </w:rPr>
              <w:t>3</w:t>
            </w:r>
            <w:r>
              <w:rPr>
                <w:rFonts w:hint="eastAsia" w:cs="Times New Roman"/>
                <w:kern w:val="0"/>
                <w:lang w:bidi="ar"/>
              </w:rPr>
              <w:t>/a，2424.24</w:t>
            </w:r>
            <w:r>
              <w:rPr>
                <w:bCs/>
              </w:rPr>
              <w:t>m</w:t>
            </w:r>
            <w:r>
              <w:rPr>
                <w:bCs/>
                <w:vertAlign w:val="superscript"/>
              </w:rPr>
              <w:t>3</w:t>
            </w:r>
            <w:r>
              <w:rPr>
                <w:rFonts w:hint="eastAsia" w:cs="Times New Roman"/>
                <w:kern w:val="0"/>
                <w:lang w:bidi="ar"/>
              </w:rPr>
              <w:t>/d。本项目蒸汽输入用户后，全部损耗，无蒸汽冷凝回用。</w:t>
            </w:r>
          </w:p>
          <w:p w14:paraId="308B689E">
            <w:pPr>
              <w:widowControl/>
              <w:adjustRightInd w:val="0"/>
              <w:snapToGrid w:val="0"/>
              <w:ind w:firstLine="480"/>
              <w:jc w:val="left"/>
              <w:rPr>
                <w:kern w:val="0"/>
                <w:lang w:bidi="ar"/>
              </w:rPr>
            </w:pPr>
            <w:r>
              <w:rPr>
                <w:rFonts w:hint="eastAsia" w:cs="Times New Roman"/>
                <w:kern w:val="0"/>
                <w:lang w:bidi="ar"/>
              </w:rPr>
              <w:t>b.</w:t>
            </w:r>
            <w:r>
              <w:rPr>
                <w:rFonts w:cs="Times New Roman"/>
                <w:kern w:val="0"/>
                <w:lang w:bidi="ar"/>
              </w:rPr>
              <w:t>锅炉</w:t>
            </w:r>
            <w:r>
              <w:rPr>
                <w:rFonts w:hint="eastAsia" w:cs="Times New Roman"/>
                <w:kern w:val="0"/>
                <w:lang w:bidi="ar"/>
              </w:rPr>
              <w:t>排污水</w:t>
            </w:r>
          </w:p>
          <w:p w14:paraId="6F394B57">
            <w:pPr>
              <w:widowControl/>
              <w:wordWrap w:val="0"/>
              <w:adjustRightInd w:val="0"/>
              <w:snapToGrid w:val="0"/>
              <w:ind w:firstLine="480"/>
              <w:jc w:val="left"/>
              <w:rPr>
                <w:szCs w:val="24"/>
              </w:rPr>
            </w:pPr>
            <w:r>
              <w:rPr>
                <w:rFonts w:hint="eastAsia" w:cs="Times New Roman"/>
                <w:kern w:val="0"/>
                <w:lang w:bidi="ar"/>
              </w:rPr>
              <w:t>参考《排污源统计调查排污核算方法和系数手册》（2021年版），本项目为锅炉外水处理，参考“生物质燃料”中工业废水产污系数为0.356吨/吨-原料（锅炉排污水+软化处理废水）。根据前文，本项目生物质燃料用量为260</w:t>
            </w:r>
            <w:r>
              <w:rPr>
                <w:rFonts w:hint="eastAsia"/>
                <w:szCs w:val="24"/>
              </w:rPr>
              <w:t>000t</w:t>
            </w:r>
            <w:r>
              <w:rPr>
                <w:szCs w:val="24"/>
              </w:rPr>
              <w:t>。</w:t>
            </w:r>
            <w:r>
              <w:rPr>
                <w:rFonts w:hint="eastAsia"/>
                <w:szCs w:val="24"/>
              </w:rPr>
              <w:t>则项目锅炉排污水</w:t>
            </w:r>
            <w:r>
              <w:rPr>
                <w:rFonts w:hint="eastAsia" w:cs="Times New Roman"/>
                <w:kern w:val="0"/>
                <w:lang w:bidi="ar"/>
              </w:rPr>
              <w:t>+软化处理废水</w:t>
            </w:r>
            <w:r>
              <w:rPr>
                <w:rFonts w:hint="eastAsia"/>
                <w:szCs w:val="24"/>
              </w:rPr>
              <w:t>为280.49m</w:t>
            </w:r>
            <w:r>
              <w:rPr>
                <w:rFonts w:hint="eastAsia"/>
                <w:szCs w:val="24"/>
                <w:vertAlign w:val="superscript"/>
              </w:rPr>
              <w:t>3</w:t>
            </w:r>
            <w:r>
              <w:rPr>
                <w:rFonts w:hint="eastAsia"/>
                <w:szCs w:val="24"/>
              </w:rPr>
              <w:t>/d，92560m</w:t>
            </w:r>
            <w:r>
              <w:rPr>
                <w:rFonts w:hint="eastAsia"/>
                <w:szCs w:val="24"/>
                <w:vertAlign w:val="superscript"/>
              </w:rPr>
              <w:t>3</w:t>
            </w:r>
            <w:r>
              <w:rPr>
                <w:rFonts w:hint="eastAsia"/>
                <w:szCs w:val="24"/>
              </w:rPr>
              <w:t>/a。</w:t>
            </w:r>
          </w:p>
          <w:p w14:paraId="040C2F90">
            <w:pPr>
              <w:widowControl/>
              <w:wordWrap w:val="0"/>
              <w:adjustRightInd w:val="0"/>
              <w:snapToGrid w:val="0"/>
              <w:ind w:firstLine="480"/>
              <w:jc w:val="left"/>
              <w:rPr>
                <w:szCs w:val="24"/>
              </w:rPr>
            </w:pPr>
            <w:r>
              <w:rPr>
                <w:rFonts w:hint="eastAsia"/>
                <w:szCs w:val="24"/>
              </w:rPr>
              <w:t>根据建设单位提供资料，软水处理效率约90%，产生2424.24</w:t>
            </w:r>
            <w:r>
              <w:rPr>
                <w:bCs/>
              </w:rPr>
              <w:t>m</w:t>
            </w:r>
            <w:r>
              <w:rPr>
                <w:bCs/>
                <w:vertAlign w:val="superscript"/>
              </w:rPr>
              <w:t>3</w:t>
            </w:r>
            <w:r>
              <w:rPr>
                <w:rFonts w:hint="eastAsia"/>
                <w:szCs w:val="24"/>
              </w:rPr>
              <w:t>/d，</w:t>
            </w:r>
            <w:r>
              <w:rPr>
                <w:rFonts w:hint="eastAsia" w:cs="Times New Roman"/>
                <w:kern w:val="0"/>
                <w:lang w:bidi="ar"/>
              </w:rPr>
              <w:t>800000</w:t>
            </w:r>
            <w:r>
              <w:rPr>
                <w:bCs/>
              </w:rPr>
              <w:t>m</w:t>
            </w:r>
            <w:r>
              <w:rPr>
                <w:bCs/>
                <w:vertAlign w:val="superscript"/>
              </w:rPr>
              <w:t>3</w:t>
            </w:r>
            <w:r>
              <w:rPr>
                <w:rFonts w:hint="eastAsia" w:cs="Times New Roman"/>
                <w:kern w:val="0"/>
                <w:lang w:bidi="ar"/>
              </w:rPr>
              <w:t>/a</w:t>
            </w:r>
            <w:r>
              <w:rPr>
                <w:rFonts w:hint="eastAsia"/>
                <w:szCs w:val="24"/>
              </w:rPr>
              <w:t>软水，会产生浓水269.36m</w:t>
            </w:r>
            <w:r>
              <w:rPr>
                <w:rFonts w:hint="eastAsia"/>
                <w:szCs w:val="24"/>
                <w:vertAlign w:val="superscript"/>
              </w:rPr>
              <w:t>3</w:t>
            </w:r>
            <w:r>
              <w:rPr>
                <w:rFonts w:hint="eastAsia"/>
                <w:szCs w:val="24"/>
              </w:rPr>
              <w:t>/d，</w:t>
            </w:r>
            <w:r>
              <w:rPr>
                <w:rFonts w:hint="eastAsia" w:cs="Times New Roman"/>
                <w:kern w:val="0"/>
                <w:lang w:bidi="ar"/>
              </w:rPr>
              <w:t>88888.8</w:t>
            </w:r>
            <w:r>
              <w:rPr>
                <w:bCs/>
              </w:rPr>
              <w:t>m</w:t>
            </w:r>
            <w:r>
              <w:rPr>
                <w:bCs/>
                <w:vertAlign w:val="superscript"/>
              </w:rPr>
              <w:t>3</w:t>
            </w:r>
            <w:r>
              <w:rPr>
                <w:rFonts w:hint="eastAsia" w:cs="Times New Roman"/>
                <w:kern w:val="0"/>
                <w:lang w:bidi="ar"/>
              </w:rPr>
              <w:t>/a</w:t>
            </w:r>
            <w:r>
              <w:rPr>
                <w:rFonts w:hint="eastAsia"/>
                <w:szCs w:val="24"/>
              </w:rPr>
              <w:t>。则锅炉排污水11.12m</w:t>
            </w:r>
            <w:r>
              <w:rPr>
                <w:rFonts w:hint="eastAsia"/>
                <w:szCs w:val="24"/>
                <w:vertAlign w:val="superscript"/>
              </w:rPr>
              <w:t>3</w:t>
            </w:r>
            <w:r>
              <w:rPr>
                <w:rFonts w:hint="eastAsia"/>
                <w:szCs w:val="24"/>
              </w:rPr>
              <w:t>/d，</w:t>
            </w:r>
            <w:r>
              <w:rPr>
                <w:rFonts w:hint="eastAsia" w:cs="Times New Roman"/>
                <w:kern w:val="0"/>
                <w:lang w:bidi="ar"/>
              </w:rPr>
              <w:t>3671.2</w:t>
            </w:r>
            <w:r>
              <w:rPr>
                <w:bCs/>
              </w:rPr>
              <w:t>m</w:t>
            </w:r>
            <w:r>
              <w:rPr>
                <w:bCs/>
                <w:vertAlign w:val="superscript"/>
              </w:rPr>
              <w:t>3</w:t>
            </w:r>
            <w:r>
              <w:rPr>
                <w:rFonts w:hint="eastAsia" w:cs="Times New Roman"/>
                <w:kern w:val="0"/>
                <w:lang w:bidi="ar"/>
              </w:rPr>
              <w:t>/a</w:t>
            </w:r>
            <w:r>
              <w:rPr>
                <w:rFonts w:hint="eastAsia"/>
                <w:szCs w:val="24"/>
              </w:rPr>
              <w:t>。</w:t>
            </w:r>
          </w:p>
          <w:p w14:paraId="62894A9A">
            <w:pPr>
              <w:ind w:firstLine="480"/>
              <w:rPr>
                <w:szCs w:val="24"/>
                <w:u w:val="single"/>
              </w:rPr>
            </w:pPr>
            <w:r>
              <w:rPr>
                <w:rFonts w:hint="eastAsia" w:cs="Times New Roman"/>
                <w:kern w:val="0"/>
                <w:u w:val="single"/>
                <w:lang w:bidi="ar"/>
              </w:rPr>
              <w:t>综上，锅炉用水量为</w:t>
            </w:r>
            <w:r>
              <w:rPr>
                <w:rFonts w:hint="eastAsia"/>
                <w:szCs w:val="24"/>
                <w:u w:val="single"/>
              </w:rPr>
              <w:t>2704.73m</w:t>
            </w:r>
            <w:r>
              <w:rPr>
                <w:rFonts w:hint="eastAsia"/>
                <w:szCs w:val="24"/>
                <w:u w:val="single"/>
                <w:vertAlign w:val="superscript"/>
              </w:rPr>
              <w:t>3</w:t>
            </w:r>
            <w:r>
              <w:rPr>
                <w:rFonts w:hint="eastAsia"/>
                <w:szCs w:val="24"/>
                <w:u w:val="single"/>
              </w:rPr>
              <w:t>/d，892560m</w:t>
            </w:r>
            <w:r>
              <w:rPr>
                <w:rFonts w:hint="eastAsia"/>
                <w:szCs w:val="24"/>
                <w:u w:val="single"/>
                <w:vertAlign w:val="superscript"/>
              </w:rPr>
              <w:t>3</w:t>
            </w:r>
            <w:r>
              <w:rPr>
                <w:rFonts w:hint="eastAsia"/>
                <w:szCs w:val="24"/>
                <w:u w:val="single"/>
              </w:rPr>
              <w:t>/a</w:t>
            </w:r>
            <w:r>
              <w:rPr>
                <w:rFonts w:hint="eastAsia" w:cs="Times New Roman"/>
                <w:kern w:val="0"/>
                <w:u w:val="single"/>
                <w:lang w:bidi="ar"/>
              </w:rPr>
              <w:t>，排水量为</w:t>
            </w:r>
            <w:r>
              <w:rPr>
                <w:rFonts w:hint="eastAsia"/>
                <w:szCs w:val="24"/>
                <w:u w:val="single"/>
              </w:rPr>
              <w:t>280.48m</w:t>
            </w:r>
            <w:r>
              <w:rPr>
                <w:rFonts w:hint="eastAsia"/>
                <w:szCs w:val="24"/>
                <w:u w:val="single"/>
                <w:vertAlign w:val="superscript"/>
              </w:rPr>
              <w:t>3</w:t>
            </w:r>
            <w:r>
              <w:rPr>
                <w:rFonts w:hint="eastAsia"/>
                <w:szCs w:val="24"/>
                <w:u w:val="single"/>
              </w:rPr>
              <w:t>/d，92560m</w:t>
            </w:r>
            <w:r>
              <w:rPr>
                <w:rFonts w:hint="eastAsia"/>
                <w:szCs w:val="24"/>
                <w:u w:val="single"/>
                <w:vertAlign w:val="superscript"/>
              </w:rPr>
              <w:t>3</w:t>
            </w:r>
            <w:r>
              <w:rPr>
                <w:rFonts w:hint="eastAsia"/>
                <w:szCs w:val="24"/>
                <w:u w:val="single"/>
              </w:rPr>
              <w:t>/a。</w:t>
            </w:r>
          </w:p>
          <w:p w14:paraId="47FFE4FD">
            <w:pPr>
              <w:widowControl/>
              <w:adjustRightInd w:val="0"/>
              <w:snapToGrid w:val="0"/>
              <w:ind w:firstLine="480"/>
              <w:jc w:val="left"/>
              <w:rPr>
                <w:kern w:val="0"/>
                <w:lang w:bidi="ar"/>
              </w:rPr>
            </w:pPr>
            <w:r>
              <w:rPr>
                <w:rFonts w:ascii="Cambria Math" w:hAnsi="Cambria Math" w:cs="Cambria Math"/>
                <w:kern w:val="0"/>
                <w:lang w:bidi="ar"/>
              </w:rPr>
              <w:t>②</w:t>
            </w:r>
            <w:r>
              <w:rPr>
                <w:rFonts w:cs="Times New Roman"/>
                <w:kern w:val="0"/>
                <w:lang w:bidi="ar"/>
              </w:rPr>
              <w:t>气化冷却用水</w:t>
            </w:r>
          </w:p>
          <w:p w14:paraId="3F009F18">
            <w:pPr>
              <w:widowControl/>
              <w:adjustRightInd w:val="0"/>
              <w:snapToGrid w:val="0"/>
              <w:ind w:firstLine="480"/>
              <w:jc w:val="left"/>
              <w:rPr>
                <w:rFonts w:cs="Times New Roman"/>
                <w:kern w:val="0"/>
                <w:lang w:bidi="ar"/>
              </w:rPr>
            </w:pPr>
            <w:r>
              <w:rPr>
                <w:rFonts w:cs="Times New Roman"/>
                <w:kern w:val="0"/>
                <w:lang w:bidi="ar"/>
              </w:rPr>
              <w:t>气化炉冷却水主要用于</w:t>
            </w:r>
            <w:r>
              <w:rPr>
                <w:rFonts w:hint="eastAsia" w:cs="Times New Roman"/>
                <w:kern w:val="0"/>
                <w:lang w:bidi="ar"/>
              </w:rPr>
              <w:t>给</w:t>
            </w:r>
            <w:r>
              <w:rPr>
                <w:rFonts w:cs="Times New Roman"/>
                <w:kern w:val="0"/>
                <w:lang w:bidi="ar"/>
              </w:rPr>
              <w:t>气化炉炉体</w:t>
            </w:r>
            <w:r>
              <w:rPr>
                <w:rFonts w:hint="eastAsia" w:cs="Times New Roman"/>
                <w:kern w:val="0"/>
                <w:lang w:bidi="ar"/>
              </w:rPr>
              <w:t>降温</w:t>
            </w:r>
            <w:r>
              <w:rPr>
                <w:rFonts w:cs="Times New Roman"/>
                <w:kern w:val="0"/>
                <w:lang w:bidi="ar"/>
              </w:rPr>
              <w:t>。气化炉炉体循环冷却水</w:t>
            </w:r>
            <w:r>
              <w:rPr>
                <w:rFonts w:hint="eastAsia" w:cs="Times New Roman"/>
                <w:kern w:val="0"/>
                <w:lang w:bidi="ar"/>
              </w:rPr>
              <w:t>池共两个，每个容积为5m</w:t>
            </w:r>
            <w:r>
              <w:rPr>
                <w:rFonts w:hint="eastAsia" w:cs="Times New Roman"/>
                <w:kern w:val="0"/>
                <w:vertAlign w:val="superscript"/>
                <w:lang w:bidi="ar"/>
              </w:rPr>
              <w:t>3</w:t>
            </w:r>
            <w:r>
              <w:rPr>
                <w:rFonts w:hint="eastAsia" w:cs="Times New Roman"/>
                <w:kern w:val="0"/>
                <w:lang w:bidi="ar"/>
              </w:rPr>
              <w:t>（共10m</w:t>
            </w:r>
            <w:r>
              <w:rPr>
                <w:rFonts w:hint="eastAsia" w:cs="Times New Roman"/>
                <w:kern w:val="0"/>
                <w:vertAlign w:val="superscript"/>
                <w:lang w:bidi="ar"/>
              </w:rPr>
              <w:t>3</w:t>
            </w:r>
            <w:r>
              <w:rPr>
                <w:rFonts w:hint="eastAsia" w:cs="Times New Roman"/>
                <w:kern w:val="0"/>
                <w:lang w:bidi="ar"/>
              </w:rPr>
              <w:t>），冷却用水循环使用，不外排，定期补充，</w:t>
            </w:r>
            <w:r>
              <w:rPr>
                <w:rFonts w:cs="Times New Roman"/>
                <w:kern w:val="0"/>
                <w:lang w:bidi="ar"/>
              </w:rPr>
              <w:t>冷却水</w:t>
            </w:r>
            <w:r>
              <w:rPr>
                <w:rFonts w:hint="eastAsia" w:cs="Times New Roman"/>
                <w:kern w:val="0"/>
                <w:lang w:bidi="ar"/>
              </w:rPr>
              <w:t>每日</w:t>
            </w:r>
            <w:r>
              <w:rPr>
                <w:rFonts w:cs="Times New Roman"/>
                <w:kern w:val="0"/>
                <w:lang w:bidi="ar"/>
              </w:rPr>
              <w:t>补充量按照循环水量的</w:t>
            </w:r>
            <w:r>
              <w:rPr>
                <w:rFonts w:hint="eastAsia" w:cs="Times New Roman"/>
                <w:kern w:val="0"/>
                <w:lang w:bidi="ar"/>
              </w:rPr>
              <w:t>20</w:t>
            </w:r>
            <w:r>
              <w:rPr>
                <w:rFonts w:cs="Times New Roman"/>
                <w:kern w:val="0"/>
                <w:lang w:bidi="ar"/>
              </w:rPr>
              <w:t>%计，则项目气化炉冷却水补充量为</w:t>
            </w:r>
            <w:r>
              <w:rPr>
                <w:rFonts w:hint="eastAsia" w:cs="Times New Roman"/>
                <w:kern w:val="0"/>
                <w:lang w:bidi="ar"/>
              </w:rPr>
              <w:t>2m</w:t>
            </w:r>
            <w:r>
              <w:rPr>
                <w:rFonts w:hint="eastAsia" w:cs="Times New Roman"/>
                <w:kern w:val="0"/>
                <w:vertAlign w:val="superscript"/>
                <w:lang w:bidi="ar"/>
              </w:rPr>
              <w:t>3</w:t>
            </w:r>
            <w:r>
              <w:rPr>
                <w:rFonts w:hint="eastAsia" w:cs="Times New Roman"/>
                <w:kern w:val="0"/>
                <w:lang w:bidi="ar"/>
              </w:rPr>
              <w:t>/d</w:t>
            </w:r>
            <w:r>
              <w:rPr>
                <w:rFonts w:cs="Times New Roman"/>
                <w:kern w:val="0"/>
                <w:lang w:bidi="ar"/>
              </w:rPr>
              <w:t>，</w:t>
            </w:r>
            <w:r>
              <w:rPr>
                <w:rFonts w:hint="eastAsia" w:cs="Times New Roman"/>
                <w:kern w:val="0"/>
                <w:lang w:bidi="ar"/>
              </w:rPr>
              <w:t>660m</w:t>
            </w:r>
            <w:r>
              <w:rPr>
                <w:rFonts w:hint="eastAsia" w:cs="Times New Roman"/>
                <w:kern w:val="0"/>
                <w:vertAlign w:val="superscript"/>
                <w:lang w:bidi="ar"/>
              </w:rPr>
              <w:t>3</w:t>
            </w:r>
            <w:r>
              <w:rPr>
                <w:rFonts w:cs="Times New Roman"/>
                <w:kern w:val="0"/>
                <w:lang w:bidi="ar"/>
              </w:rPr>
              <w:t>/a。</w:t>
            </w:r>
          </w:p>
          <w:p w14:paraId="15E425C0">
            <w:pPr>
              <w:widowControl/>
              <w:adjustRightInd w:val="0"/>
              <w:snapToGrid w:val="0"/>
              <w:ind w:firstLine="480"/>
              <w:jc w:val="left"/>
              <w:rPr>
                <w:rFonts w:cs="Times New Roman"/>
                <w:kern w:val="0"/>
                <w:lang w:bidi="ar"/>
              </w:rPr>
            </w:pPr>
            <w:r>
              <w:rPr>
                <w:rFonts w:hint="eastAsia"/>
                <w:kern w:val="0"/>
                <w:lang w:bidi="ar"/>
              </w:rPr>
              <w:t>本项目气化炉冷却用水使用纯水，企业设有软水处理设施，</w:t>
            </w:r>
            <w:r>
              <w:rPr>
                <w:rFonts w:cs="Times New Roman"/>
                <w:kern w:val="0"/>
                <w:lang w:bidi="ar"/>
              </w:rPr>
              <w:t>制备系统软水制备率约为</w:t>
            </w:r>
            <w:r>
              <w:rPr>
                <w:rFonts w:hint="eastAsia" w:cs="Times New Roman"/>
                <w:kern w:val="0"/>
                <w:lang w:bidi="ar"/>
              </w:rPr>
              <w:t>85%，则供</w:t>
            </w:r>
            <w:r>
              <w:rPr>
                <w:rFonts w:cs="Times New Roman"/>
                <w:kern w:val="0"/>
                <w:lang w:bidi="ar"/>
              </w:rPr>
              <w:t>气化冷却用水</w:t>
            </w:r>
            <w:r>
              <w:rPr>
                <w:rFonts w:hint="eastAsia" w:cs="Times New Roman"/>
                <w:kern w:val="0"/>
                <w:lang w:bidi="ar"/>
              </w:rPr>
              <w:t>补充水需要原水2m</w:t>
            </w:r>
            <w:r>
              <w:rPr>
                <w:rFonts w:hint="eastAsia" w:cs="Times New Roman"/>
                <w:kern w:val="0"/>
                <w:vertAlign w:val="superscript"/>
                <w:lang w:bidi="ar"/>
              </w:rPr>
              <w:t>3</w:t>
            </w:r>
            <w:r>
              <w:rPr>
                <w:rFonts w:hint="eastAsia" w:cs="Times New Roman"/>
                <w:kern w:val="0"/>
                <w:lang w:bidi="ar"/>
              </w:rPr>
              <w:t>/d，660m</w:t>
            </w:r>
            <w:r>
              <w:rPr>
                <w:rFonts w:hint="eastAsia" w:cs="Times New Roman"/>
                <w:kern w:val="0"/>
                <w:vertAlign w:val="superscript"/>
                <w:lang w:bidi="ar"/>
              </w:rPr>
              <w:t>3</w:t>
            </w:r>
            <w:r>
              <w:rPr>
                <w:rFonts w:hint="eastAsia" w:cs="Times New Roman"/>
                <w:kern w:val="0"/>
                <w:lang w:bidi="ar"/>
              </w:rPr>
              <w:t>/a，产生废水2.35m</w:t>
            </w:r>
            <w:r>
              <w:rPr>
                <w:rFonts w:hint="eastAsia" w:cs="Times New Roman"/>
                <w:kern w:val="0"/>
                <w:vertAlign w:val="superscript"/>
                <w:lang w:bidi="ar"/>
              </w:rPr>
              <w:t>3</w:t>
            </w:r>
            <w:r>
              <w:rPr>
                <w:rFonts w:hint="eastAsia" w:cs="Times New Roman"/>
                <w:kern w:val="0"/>
                <w:lang w:bidi="ar"/>
              </w:rPr>
              <w:t>/d，776.47m</w:t>
            </w:r>
            <w:r>
              <w:rPr>
                <w:rFonts w:hint="eastAsia" w:cs="Times New Roman"/>
                <w:kern w:val="0"/>
                <w:vertAlign w:val="superscript"/>
                <w:lang w:bidi="ar"/>
              </w:rPr>
              <w:t>3</w:t>
            </w:r>
            <w:r>
              <w:rPr>
                <w:rFonts w:hint="eastAsia" w:cs="Times New Roman"/>
                <w:kern w:val="0"/>
                <w:lang w:bidi="ar"/>
              </w:rPr>
              <w:t>/a。</w:t>
            </w:r>
          </w:p>
          <w:p w14:paraId="6C88FBE8">
            <w:pPr>
              <w:widowControl/>
              <w:adjustRightInd w:val="0"/>
              <w:snapToGrid w:val="0"/>
              <w:ind w:firstLine="480"/>
              <w:jc w:val="left"/>
              <w:rPr>
                <w:kern w:val="0"/>
                <w:lang w:bidi="ar"/>
              </w:rPr>
            </w:pPr>
            <w:r>
              <w:rPr>
                <w:rFonts w:hint="eastAsia"/>
                <w:kern w:val="0"/>
                <w:lang w:bidi="ar"/>
              </w:rPr>
              <w:t>综上，本项目气化炉用水</w:t>
            </w:r>
            <w:r>
              <w:rPr>
                <w:rFonts w:hint="eastAsia" w:cs="Times New Roman"/>
                <w:kern w:val="0"/>
                <w:u w:val="single"/>
                <w:lang w:bidi="ar"/>
              </w:rPr>
              <w:t>量</w:t>
            </w:r>
            <w:r>
              <w:rPr>
                <w:rFonts w:hint="eastAsia"/>
                <w:kern w:val="0"/>
                <w:lang w:bidi="ar"/>
              </w:rPr>
              <w:t>为</w:t>
            </w:r>
            <w:r>
              <w:rPr>
                <w:rFonts w:hint="eastAsia" w:cs="Times New Roman"/>
                <w:kern w:val="0"/>
                <w:lang w:bidi="ar"/>
              </w:rPr>
              <w:t>2.35m</w:t>
            </w:r>
            <w:r>
              <w:rPr>
                <w:rFonts w:hint="eastAsia" w:cs="Times New Roman"/>
                <w:kern w:val="0"/>
                <w:vertAlign w:val="superscript"/>
                <w:lang w:bidi="ar"/>
              </w:rPr>
              <w:t>3</w:t>
            </w:r>
            <w:r>
              <w:rPr>
                <w:rFonts w:hint="eastAsia" w:cs="Times New Roman"/>
                <w:kern w:val="0"/>
                <w:lang w:bidi="ar"/>
              </w:rPr>
              <w:t>/d，776.47m</w:t>
            </w:r>
            <w:r>
              <w:rPr>
                <w:rFonts w:hint="eastAsia" w:cs="Times New Roman"/>
                <w:kern w:val="0"/>
                <w:vertAlign w:val="superscript"/>
                <w:lang w:bidi="ar"/>
              </w:rPr>
              <w:t>3</w:t>
            </w:r>
            <w:r>
              <w:rPr>
                <w:rFonts w:hint="eastAsia" w:cs="Times New Roman"/>
                <w:kern w:val="0"/>
                <w:lang w:bidi="ar"/>
              </w:rPr>
              <w:t>/a，排水</w:t>
            </w:r>
            <w:r>
              <w:rPr>
                <w:rFonts w:hint="eastAsia" w:cs="Times New Roman"/>
                <w:kern w:val="0"/>
                <w:u w:val="single"/>
                <w:lang w:bidi="ar"/>
              </w:rPr>
              <w:t>量</w:t>
            </w:r>
            <w:r>
              <w:rPr>
                <w:rFonts w:hint="eastAsia" w:cs="Times New Roman"/>
                <w:kern w:val="0"/>
                <w:lang w:bidi="ar"/>
              </w:rPr>
              <w:t>为0.35m</w:t>
            </w:r>
            <w:r>
              <w:rPr>
                <w:rFonts w:hint="eastAsia" w:cs="Times New Roman"/>
                <w:kern w:val="0"/>
                <w:vertAlign w:val="superscript"/>
                <w:lang w:bidi="ar"/>
              </w:rPr>
              <w:t>3</w:t>
            </w:r>
            <w:r>
              <w:rPr>
                <w:rFonts w:hint="eastAsia" w:cs="Times New Roman"/>
                <w:kern w:val="0"/>
                <w:lang w:bidi="ar"/>
              </w:rPr>
              <w:t>/d，116.47m</w:t>
            </w:r>
            <w:r>
              <w:rPr>
                <w:rFonts w:hint="eastAsia" w:cs="Times New Roman"/>
                <w:kern w:val="0"/>
                <w:vertAlign w:val="superscript"/>
                <w:lang w:bidi="ar"/>
              </w:rPr>
              <w:t>3</w:t>
            </w:r>
            <w:r>
              <w:rPr>
                <w:rFonts w:hint="eastAsia" w:cs="Times New Roman"/>
                <w:kern w:val="0"/>
                <w:lang w:bidi="ar"/>
              </w:rPr>
              <w:t>/a。</w:t>
            </w:r>
          </w:p>
          <w:p w14:paraId="5E34E638">
            <w:pPr>
              <w:widowControl/>
              <w:tabs>
                <w:tab w:val="left" w:pos="4558"/>
              </w:tabs>
              <w:adjustRightInd w:val="0"/>
              <w:snapToGrid w:val="0"/>
              <w:ind w:firstLine="480"/>
              <w:jc w:val="left"/>
              <w:rPr>
                <w:rFonts w:hint="eastAsia" w:ascii="宋体" w:hAnsi="宋体" w:cs="宋体"/>
                <w:kern w:val="0"/>
                <w:lang w:bidi="ar"/>
              </w:rPr>
            </w:pPr>
            <w:r>
              <w:rPr>
                <w:rFonts w:hint="eastAsia" w:ascii="宋体" w:hAnsi="宋体" w:cs="宋体"/>
                <w:kern w:val="0"/>
                <w:lang w:bidi="ar"/>
              </w:rPr>
              <w:t>③除尘设备用水</w:t>
            </w:r>
            <w:r>
              <w:rPr>
                <w:rFonts w:hint="eastAsia" w:ascii="宋体" w:hAnsi="宋体" w:cs="宋体"/>
                <w:kern w:val="0"/>
                <w:lang w:bidi="ar"/>
              </w:rPr>
              <w:tab/>
            </w:r>
          </w:p>
          <w:p w14:paraId="2E70E4C3">
            <w:pPr>
              <w:ind w:firstLine="480"/>
              <w:rPr>
                <w:lang w:bidi="ar"/>
              </w:rPr>
            </w:pPr>
            <w:r>
              <w:rPr>
                <w:rFonts w:hint="eastAsia"/>
                <w:lang w:bidi="ar"/>
              </w:rPr>
              <w:t>本项目采用喷淋式水膜除尘器治理锅炉废气中的颗粒物，建设单位拟建沉淀池（240m</w:t>
            </w:r>
            <w:r>
              <w:rPr>
                <w:rFonts w:hint="eastAsia"/>
                <w:vertAlign w:val="superscript"/>
                <w:lang w:bidi="ar"/>
              </w:rPr>
              <w:t>3</w:t>
            </w:r>
            <w:r>
              <w:rPr>
                <w:rFonts w:hint="eastAsia"/>
                <w:lang w:bidi="ar"/>
              </w:rPr>
              <w:t>），除尘设备用水情况为3m</w:t>
            </w:r>
            <w:r>
              <w:rPr>
                <w:rFonts w:hint="eastAsia"/>
                <w:vertAlign w:val="superscript"/>
                <w:lang w:bidi="ar"/>
              </w:rPr>
              <w:t>3</w:t>
            </w:r>
            <w:r>
              <w:rPr>
                <w:rFonts w:hint="eastAsia"/>
                <w:lang w:bidi="ar"/>
              </w:rPr>
              <w:t>/h，72m</w:t>
            </w:r>
            <w:r>
              <w:rPr>
                <w:rFonts w:hint="eastAsia"/>
                <w:vertAlign w:val="superscript"/>
                <w:lang w:bidi="ar"/>
              </w:rPr>
              <w:t>3</w:t>
            </w:r>
            <w:r>
              <w:rPr>
                <w:rFonts w:hint="eastAsia"/>
                <w:lang w:bidi="ar"/>
              </w:rPr>
              <w:t>/d。除尘设备用水循环使用，不外排。除尘设备补充用水量约0.1m</w:t>
            </w:r>
            <w:r>
              <w:rPr>
                <w:rFonts w:hint="eastAsia"/>
                <w:vertAlign w:val="superscript"/>
                <w:lang w:bidi="ar"/>
              </w:rPr>
              <w:t>3</w:t>
            </w:r>
            <w:r>
              <w:rPr>
                <w:rFonts w:hint="eastAsia"/>
                <w:lang w:bidi="ar"/>
              </w:rPr>
              <w:t>/d，33m</w:t>
            </w:r>
            <w:r>
              <w:rPr>
                <w:rFonts w:hint="eastAsia"/>
                <w:vertAlign w:val="superscript"/>
                <w:lang w:bidi="ar"/>
              </w:rPr>
              <w:t>3</w:t>
            </w:r>
            <w:r>
              <w:rPr>
                <w:rFonts w:hint="eastAsia"/>
                <w:lang w:bidi="ar"/>
              </w:rPr>
              <w:t>/a，循环用水量为71.9m</w:t>
            </w:r>
            <w:r>
              <w:rPr>
                <w:rFonts w:hint="eastAsia"/>
                <w:vertAlign w:val="superscript"/>
                <w:lang w:bidi="ar"/>
              </w:rPr>
              <w:t>3</w:t>
            </w:r>
            <w:r>
              <w:rPr>
                <w:rFonts w:hint="eastAsia"/>
                <w:lang w:bidi="ar"/>
              </w:rPr>
              <w:t>/d。降尘用水由沉淀池提供（沉淀池的水来源于锅炉排污水和软水制备浓水）。</w:t>
            </w:r>
          </w:p>
          <w:p w14:paraId="3C04CE54">
            <w:pPr>
              <w:ind w:firstLine="480"/>
              <w:rPr>
                <w:lang w:bidi="ar"/>
              </w:rPr>
            </w:pPr>
            <w:r>
              <w:rPr>
                <w:rFonts w:hint="eastAsia"/>
                <w:lang w:bidi="ar"/>
              </w:rPr>
              <w:t>④绿化用水</w:t>
            </w:r>
          </w:p>
          <w:p w14:paraId="1F6C3CEA">
            <w:pPr>
              <w:ind w:firstLine="480"/>
              <w:rPr>
                <w:lang w:bidi="ar"/>
              </w:rPr>
            </w:pPr>
            <w:r>
              <w:rPr>
                <w:rFonts w:hint="eastAsia"/>
                <w:lang w:bidi="ar"/>
              </w:rPr>
              <w:t>本项目总占地面积16014m</w:t>
            </w:r>
            <w:r>
              <w:rPr>
                <w:rFonts w:hint="eastAsia"/>
                <w:vertAlign w:val="superscript"/>
                <w:lang w:bidi="ar"/>
              </w:rPr>
              <w:t>2</w:t>
            </w:r>
            <w:r>
              <w:rPr>
                <w:rFonts w:hint="eastAsia"/>
                <w:lang w:bidi="ar"/>
              </w:rPr>
              <w:t>，绿地率为19.25%，则绿化面积为3082.70m</w:t>
            </w:r>
            <w:r>
              <w:rPr>
                <w:rFonts w:hint="eastAsia"/>
                <w:vertAlign w:val="superscript"/>
                <w:lang w:bidi="ar"/>
              </w:rPr>
              <w:t>2</w:t>
            </w:r>
            <w:r>
              <w:rPr>
                <w:rFonts w:hint="eastAsia"/>
                <w:lang w:bidi="ar"/>
              </w:rPr>
              <w:t>。根据</w:t>
            </w:r>
            <w:r>
              <w:rPr>
                <w:lang w:bidi="ar"/>
              </w:rPr>
              <w:t>《室外给水设计标准》（GB50013-2018），绿化用水按1.</w:t>
            </w:r>
            <w:r>
              <w:rPr>
                <w:rFonts w:hint="eastAsia"/>
                <w:lang w:bidi="ar"/>
              </w:rPr>
              <w:t>5</w:t>
            </w:r>
            <w:r>
              <w:rPr>
                <w:lang w:bidi="ar"/>
              </w:rPr>
              <w:t>L/m</w:t>
            </w:r>
            <w:r>
              <w:rPr>
                <w:vertAlign w:val="superscript"/>
                <w:lang w:bidi="ar"/>
              </w:rPr>
              <w:t>2</w:t>
            </w:r>
            <w:r>
              <w:rPr>
                <w:lang w:bidi="ar"/>
              </w:rPr>
              <w:t>·d计算，灌溉天数按</w:t>
            </w:r>
            <w:r>
              <w:rPr>
                <w:rFonts w:hint="eastAsia"/>
                <w:lang w:bidi="ar"/>
              </w:rPr>
              <w:t>11</w:t>
            </w:r>
            <w:r>
              <w:rPr>
                <w:lang w:bidi="ar"/>
              </w:rPr>
              <w:t>0d计</w:t>
            </w:r>
            <w:r>
              <w:rPr>
                <w:rFonts w:hint="eastAsia"/>
                <w:lang w:bidi="ar"/>
              </w:rPr>
              <w:t>，则绿化用水为4.62m</w:t>
            </w:r>
            <w:r>
              <w:rPr>
                <w:rFonts w:hint="eastAsia"/>
                <w:vertAlign w:val="superscript"/>
                <w:lang w:bidi="ar"/>
              </w:rPr>
              <w:t>3</w:t>
            </w:r>
            <w:r>
              <w:rPr>
                <w:rFonts w:hint="eastAsia"/>
                <w:lang w:bidi="ar"/>
              </w:rPr>
              <w:t>/d，1524.6</w:t>
            </w:r>
            <w:r>
              <w:rPr>
                <w:lang w:bidi="ar"/>
              </w:rPr>
              <w:t>m</w:t>
            </w:r>
            <w:r>
              <w:rPr>
                <w:vertAlign w:val="superscript"/>
                <w:lang w:bidi="ar"/>
              </w:rPr>
              <w:t>3</w:t>
            </w:r>
            <w:r>
              <w:rPr>
                <w:lang w:bidi="ar"/>
              </w:rPr>
              <w:t>/a</w:t>
            </w:r>
            <w:r>
              <w:rPr>
                <w:rFonts w:hint="eastAsia"/>
                <w:lang w:bidi="ar"/>
              </w:rPr>
              <w:t>。绿化用水</w:t>
            </w:r>
            <w:r>
              <w:rPr>
                <w:lang w:bidi="ar"/>
              </w:rPr>
              <w:t>全部蒸发损耗，不外排。</w:t>
            </w:r>
            <w:r>
              <w:rPr>
                <w:rFonts w:hint="eastAsia"/>
                <w:lang w:bidi="ar"/>
              </w:rPr>
              <w:t>绿化用水为锅炉废水和气化炉制备软水废水，不使用新水。</w:t>
            </w:r>
          </w:p>
          <w:p w14:paraId="1669B307">
            <w:pPr>
              <w:ind w:firstLine="480"/>
              <w:rPr>
                <w:lang w:bidi="ar"/>
              </w:rPr>
            </w:pPr>
            <w:r>
              <w:rPr>
                <w:rFonts w:hint="eastAsia"/>
                <w:lang w:bidi="ar"/>
              </w:rPr>
              <w:t>3）初期雨水</w:t>
            </w:r>
          </w:p>
          <w:p w14:paraId="7005DB19">
            <w:pPr>
              <w:ind w:firstLine="480"/>
            </w:pPr>
            <w:r>
              <w:t>本项目对</w:t>
            </w:r>
            <w:r>
              <w:rPr>
                <w:rFonts w:hint="eastAsia"/>
              </w:rPr>
              <w:t>厂区</w:t>
            </w:r>
            <w:r>
              <w:t>前15分钟初期雨水设初期雨水收集池收集。本项目初期雨水收集汇水面积=</w:t>
            </w:r>
            <w:r>
              <w:rPr>
                <w:rFonts w:hint="eastAsia"/>
              </w:rPr>
              <w:t>16014（总面积）-3082.70（绿化面积）</w:t>
            </w:r>
            <w:r>
              <w:t>=</w:t>
            </w:r>
            <w:r>
              <w:rPr>
                <w:rFonts w:hint="eastAsia"/>
              </w:rPr>
              <w:t>12931.3</w:t>
            </w:r>
            <w:r>
              <w:t>m</w:t>
            </w:r>
            <w:r>
              <w:rPr>
                <w:vertAlign w:val="superscript"/>
              </w:rPr>
              <w:t>2</w:t>
            </w:r>
            <w:r>
              <w:t>，约</w:t>
            </w:r>
            <w:r>
              <w:rPr>
                <w:rFonts w:hint="eastAsia"/>
              </w:rPr>
              <w:t>1.29</w:t>
            </w:r>
            <w:r>
              <w:t>ha。</w:t>
            </w:r>
          </w:p>
          <w:p w14:paraId="2BB339D5">
            <w:pPr>
              <w:ind w:firstLine="480"/>
            </w:pPr>
            <w:r>
              <w:t>雨水量采用如下推理公式</w:t>
            </w:r>
            <w:r>
              <w:rPr>
                <w:rFonts w:hint="eastAsia"/>
              </w:rPr>
              <w:t>：</w:t>
            </w:r>
          </w:p>
          <w:p w14:paraId="15BE5BA6">
            <w:pPr>
              <w:ind w:firstLine="480"/>
            </w:pPr>
            <m:oMathPara>
              <m:oMath>
                <m:r>
                  <m:rPr/>
                  <w:rPr>
                    <w:rFonts w:ascii="Cambria Math" w:hAnsi="Cambria Math"/>
                  </w:rPr>
                  <m:t>Q=</m:t>
                </m:r>
                <m:r>
                  <m:rPr/>
                  <w:rPr>
                    <w:rFonts w:hint="eastAsia" w:ascii="Cambria Math" w:hAnsi="Cambria Math"/>
                  </w:rPr>
                  <m:t>q</m:t>
                </m:r>
                <m:r>
                  <m:rPr/>
                  <w:rPr>
                    <w:rFonts w:ascii="Cambria Math" w:hAnsi="Cambria Math"/>
                  </w:rPr>
                  <m:t>×ψ×F</m:t>
                </m:r>
              </m:oMath>
            </m:oMathPara>
          </w:p>
          <w:p w14:paraId="42CEBCC8">
            <w:pPr>
              <w:ind w:firstLine="480"/>
            </w:pPr>
            <w:r>
              <w:t>式中：Q—雨水设计流量（L/s）；</w:t>
            </w:r>
          </w:p>
          <w:p w14:paraId="102D1775">
            <w:pPr>
              <w:ind w:firstLine="1200" w:firstLineChars="500"/>
            </w:pPr>
            <w:r>
              <w:t>ψ—径流系数，硬化地面的产流系数取值0.</w:t>
            </w:r>
            <w:r>
              <w:rPr>
                <w:rFonts w:hint="eastAsia"/>
              </w:rPr>
              <w:t>65</w:t>
            </w:r>
            <w:r>
              <w:t>；</w:t>
            </w:r>
          </w:p>
          <w:p w14:paraId="2CE98BF7">
            <w:pPr>
              <w:ind w:firstLine="1200" w:firstLineChars="500"/>
            </w:pPr>
            <w:r>
              <w:t>F—汇水面积（ha）；</w:t>
            </w:r>
          </w:p>
          <w:p w14:paraId="16AB5FDF">
            <w:pPr>
              <w:ind w:firstLine="1200" w:firstLineChars="500"/>
            </w:pPr>
            <w:r>
              <w:t>q—暴雨强度，L/（s·ha），</w:t>
            </w:r>
            <w:r>
              <w:rPr>
                <w:rFonts w:hint="eastAsia"/>
              </w:rPr>
              <w:t>遂宁市</w:t>
            </w:r>
            <w:r>
              <w:t>暴雨强度q取值如下：</w:t>
            </w:r>
          </w:p>
          <w:p w14:paraId="47899905">
            <w:pPr>
              <w:ind w:firstLine="1200" w:firstLineChars="500"/>
            </w:pPr>
            <m:oMathPara>
              <m:oMath>
                <m:r>
                  <m:rPr/>
                  <w:rPr>
                    <w:rFonts w:hint="eastAsia" w:ascii="Cambria Math" w:hAnsi="Cambria Math"/>
                  </w:rPr>
                  <m:t>q</m:t>
                </m:r>
                <m:r>
                  <m:rPr/>
                  <w:rPr>
                    <w:rFonts w:ascii="Cambria Math" w:hAnsi="Cambria Math"/>
                  </w:rPr>
                  <m:t>=</m:t>
                </m:r>
                <m:f>
                  <m:fPr>
                    <m:ctrlPr>
                      <w:rPr>
                        <w:rFonts w:ascii="Cambria Math" w:hAnsi="Cambria Math"/>
                        <w:i/>
                      </w:rPr>
                    </m:ctrlPr>
                  </m:fPr>
                  <m:num>
                    <m:r>
                      <m:rPr/>
                      <w:rPr>
                        <w:rFonts w:ascii="Cambria Math" w:hAnsi="Cambria Math"/>
                      </w:rPr>
                      <m:t>1802.687</m:t>
                    </m:r>
                    <m:d>
                      <m:dPr>
                        <m:ctrlPr>
                          <w:rPr>
                            <w:rFonts w:ascii="Cambria Math" w:hAnsi="Cambria Math"/>
                            <w:i/>
                          </w:rPr>
                        </m:ctrlPr>
                      </m:dPr>
                      <m:e>
                        <m:r>
                          <m:rPr/>
                          <w:rPr>
                            <w:rFonts w:ascii="Cambria Math" w:hAnsi="Cambria Math"/>
                          </w:rPr>
                          <m:t>1+0.763</m:t>
                        </m:r>
                        <m:r>
                          <m:rPr/>
                          <w:rPr>
                            <w:rFonts w:hint="eastAsia" w:ascii="Cambria Math" w:hAnsi="Cambria Math"/>
                          </w:rPr>
                          <m:t>lg</m:t>
                        </m:r>
                        <m:r>
                          <m:rPr/>
                          <w:rPr>
                            <w:rFonts w:ascii="Cambria Math" w:hAnsi="Cambria Math"/>
                          </w:rPr>
                          <m:t>P</m:t>
                        </m:r>
                        <m:ctrlPr>
                          <w:rPr>
                            <w:rFonts w:ascii="Cambria Math" w:hAnsi="Cambria Math"/>
                            <w:i/>
                          </w:rPr>
                        </m:ctrlPr>
                      </m:e>
                    </m:d>
                    <m:ctrlPr>
                      <w:rPr>
                        <w:rFonts w:ascii="Cambria Math" w:hAnsi="Cambria Math"/>
                        <w:i/>
                      </w:rPr>
                    </m:ctrlPr>
                  </m:num>
                  <m:den>
                    <m:sSup>
                      <m:sSupPr>
                        <m:ctrlPr>
                          <w:rPr>
                            <w:rFonts w:ascii="Cambria Math" w:hAnsi="Cambria Math"/>
                            <w:i/>
                          </w:rPr>
                        </m:ctrlPr>
                      </m:sSupPr>
                      <m:e>
                        <m:d>
                          <m:dPr>
                            <m:ctrlPr>
                              <w:rPr>
                                <w:rFonts w:ascii="Cambria Math" w:hAnsi="Cambria Math"/>
                                <w:i/>
                              </w:rPr>
                            </m:ctrlPr>
                          </m:dPr>
                          <m:e>
                            <m:r>
                              <m:rPr/>
                              <w:rPr>
                                <w:rFonts w:hint="eastAsia" w:ascii="Cambria Math" w:hAnsi="Cambria Math"/>
                              </w:rPr>
                              <m:t>t</m:t>
                            </m:r>
                            <m:r>
                              <m:rPr/>
                              <w:rPr>
                                <w:rFonts w:ascii="Cambria Math" w:hAnsi="Cambria Math"/>
                              </w:rPr>
                              <m:t>+17.331</m:t>
                            </m:r>
                            <m:ctrlPr>
                              <w:rPr>
                                <w:rFonts w:ascii="Cambria Math" w:hAnsi="Cambria Math"/>
                                <w:i/>
                              </w:rPr>
                            </m:ctrlPr>
                          </m:e>
                        </m:d>
                        <m:ctrlPr>
                          <w:rPr>
                            <w:rFonts w:ascii="Cambria Math" w:hAnsi="Cambria Math"/>
                            <w:i/>
                          </w:rPr>
                        </m:ctrlPr>
                      </m:e>
                      <m:sup>
                        <m:r>
                          <m:rPr/>
                          <w:rPr>
                            <w:rFonts w:ascii="Cambria Math" w:hAnsi="Cambria Math"/>
                          </w:rPr>
                          <m:t>0.658</m:t>
                        </m:r>
                        <m:ctrlPr>
                          <w:rPr>
                            <w:rFonts w:ascii="Cambria Math" w:hAnsi="Cambria Math"/>
                            <w:i/>
                          </w:rPr>
                        </m:ctrlPr>
                      </m:sup>
                    </m:sSup>
                    <m:ctrlPr>
                      <w:rPr>
                        <w:rFonts w:ascii="Cambria Math" w:hAnsi="Cambria Math"/>
                        <w:i/>
                      </w:rPr>
                    </m:ctrlPr>
                  </m:den>
                </m:f>
              </m:oMath>
            </m:oMathPara>
          </w:p>
          <w:p w14:paraId="04C038B3">
            <w:pPr>
              <w:ind w:firstLine="480"/>
            </w:pPr>
            <w:r>
              <w:t>式中：q—设计暴雨强度，L/s·hm</w:t>
            </w:r>
            <w:r>
              <w:rPr>
                <w:vertAlign w:val="superscript"/>
              </w:rPr>
              <w:t>2</w:t>
            </w:r>
            <w:r>
              <w:t>；</w:t>
            </w:r>
          </w:p>
          <w:p w14:paraId="5D4BE35F">
            <w:pPr>
              <w:ind w:firstLine="1200" w:firstLineChars="500"/>
            </w:pPr>
            <w:r>
              <w:t>P—降雨重现期，取</w:t>
            </w:r>
            <w:r>
              <w:rPr>
                <w:rFonts w:hint="eastAsia"/>
              </w:rPr>
              <w:t>3</w:t>
            </w:r>
            <w:r>
              <w:t>；</w:t>
            </w:r>
          </w:p>
          <w:p w14:paraId="435EA421">
            <w:pPr>
              <w:ind w:firstLine="1200" w:firstLineChars="500"/>
            </w:pPr>
            <w:r>
              <w:t>t—雨水径流时间，min，本项目取15min。</w:t>
            </w:r>
          </w:p>
          <w:p w14:paraId="20CB600E">
            <w:pPr>
              <w:ind w:firstLine="480"/>
            </w:pPr>
            <w:r>
              <w:t>根据上式计算得出暴雨强度q=</w:t>
            </w:r>
            <w:r>
              <w:rPr>
                <w:rFonts w:hint="eastAsia"/>
              </w:rPr>
              <w:t>270.40</w:t>
            </w:r>
            <w:r>
              <w:t>L/s·hm</w:t>
            </w:r>
            <w:r>
              <w:rPr>
                <w:vertAlign w:val="superscript"/>
              </w:rPr>
              <w:t>2</w:t>
            </w:r>
            <w:r>
              <w:t>，雨水设计流量Q=</w:t>
            </w:r>
            <w:r>
              <w:rPr>
                <w:rFonts w:hint="eastAsia"/>
              </w:rPr>
              <w:t>270.40</w:t>
            </w:r>
            <w:r>
              <w:t>×</w:t>
            </w:r>
            <w:r>
              <w:rPr>
                <w:rFonts w:hint="eastAsia"/>
              </w:rPr>
              <w:t>0.65</w:t>
            </w:r>
            <w:r>
              <w:t>×</w:t>
            </w:r>
            <w:r>
              <w:rPr>
                <w:rFonts w:hint="eastAsia"/>
              </w:rPr>
              <w:t>1.29</w:t>
            </w:r>
            <w:r>
              <w:t>=</w:t>
            </w:r>
            <w:r>
              <w:rPr>
                <w:rFonts w:hint="eastAsia"/>
              </w:rPr>
              <w:t>226.73</w:t>
            </w:r>
            <w:r>
              <w:t>L/s。收集前15min的初期雨水，经计算露天污染区初期雨水一次性最大量为</w:t>
            </w:r>
            <w:r>
              <w:rPr>
                <w:rFonts w:hint="eastAsia"/>
              </w:rPr>
              <w:t>204.06</w:t>
            </w:r>
            <w:r>
              <w:t>m</w:t>
            </w:r>
            <w:r>
              <w:rPr>
                <w:vertAlign w:val="superscript"/>
              </w:rPr>
              <w:t>3</w:t>
            </w:r>
            <w:r>
              <w:t>/次</w:t>
            </w:r>
            <w:r>
              <w:rPr>
                <w:rFonts w:hint="eastAsia"/>
              </w:rPr>
              <w:t>，</w:t>
            </w:r>
            <w:r>
              <w:t>主要污染物为SS</w:t>
            </w:r>
            <w:r>
              <w:rPr>
                <w:rFonts w:hint="eastAsia"/>
              </w:rPr>
              <w:t>。</w:t>
            </w:r>
          </w:p>
          <w:p w14:paraId="3530B94D">
            <w:pPr>
              <w:ind w:firstLine="482"/>
              <w:rPr>
                <w:b/>
                <w:bCs/>
              </w:rPr>
            </w:pPr>
            <w:r>
              <w:rPr>
                <w:rFonts w:hint="eastAsia"/>
                <w:b/>
                <w:bCs/>
              </w:rPr>
              <w:t>4）治理措施</w:t>
            </w:r>
          </w:p>
          <w:p w14:paraId="29418C00">
            <w:pPr>
              <w:ind w:firstLine="480"/>
            </w:pPr>
            <w:r>
              <w:rPr>
                <w:rFonts w:hint="eastAsia"/>
              </w:rPr>
              <w:t>①生活污水经预处理池（6m</w:t>
            </w:r>
            <w:r>
              <w:rPr>
                <w:rFonts w:hint="eastAsia"/>
                <w:vertAlign w:val="superscript"/>
              </w:rPr>
              <w:t>3</w:t>
            </w:r>
            <w:r>
              <w:rPr>
                <w:rFonts w:hint="eastAsia"/>
              </w:rPr>
              <w:t>）处理后进入市政污水管网，再进入</w:t>
            </w:r>
            <w:r>
              <w:rPr>
                <w:rFonts w:hint="eastAsia"/>
                <w:shd w:val="clear" w:color="auto" w:fill="FFFFFF"/>
              </w:rPr>
              <w:t>大英经济开发区污水处理厂</w:t>
            </w:r>
            <w:r>
              <w:rPr>
                <w:rFonts w:hint="eastAsia"/>
              </w:rPr>
              <w:t>，最终排入</w:t>
            </w:r>
            <w:r>
              <w:rPr>
                <w:rFonts w:hint="eastAsia"/>
                <w:kern w:val="0"/>
              </w:rPr>
              <w:t>郪</w:t>
            </w:r>
            <w:r>
              <w:rPr>
                <w:rFonts w:hint="eastAsia"/>
              </w:rPr>
              <w:t>江。</w:t>
            </w:r>
          </w:p>
          <w:p w14:paraId="52A4AB59">
            <w:pPr>
              <w:ind w:firstLine="480"/>
            </w:pPr>
            <w:r>
              <w:rPr>
                <w:rFonts w:hint="eastAsia"/>
              </w:rPr>
              <w:t>②建设单位拟建一个沉淀池（240m</w:t>
            </w:r>
            <w:r>
              <w:rPr>
                <w:rFonts w:hint="eastAsia"/>
                <w:vertAlign w:val="superscript"/>
              </w:rPr>
              <w:t>3</w:t>
            </w:r>
            <w:r>
              <w:rPr>
                <w:rFonts w:hint="eastAsia"/>
              </w:rPr>
              <w:t>）用于收集锅炉排污水和气化炉排水。收集的水优先用于厂区绿化和降尘用水，剩余的进入市政污水管网，再进入</w:t>
            </w:r>
            <w:r>
              <w:rPr>
                <w:rFonts w:hint="eastAsia"/>
                <w:shd w:val="clear" w:color="auto" w:fill="FFFFFF"/>
              </w:rPr>
              <w:t>大英经济开发区污水处理厂</w:t>
            </w:r>
            <w:r>
              <w:rPr>
                <w:rFonts w:hint="eastAsia"/>
              </w:rPr>
              <w:t>，最终排入</w:t>
            </w:r>
            <w:r>
              <w:rPr>
                <w:rFonts w:hint="eastAsia"/>
                <w:kern w:val="0"/>
              </w:rPr>
              <w:t>郪</w:t>
            </w:r>
            <w:r>
              <w:rPr>
                <w:rFonts w:hint="eastAsia"/>
              </w:rPr>
              <w:t>江。</w:t>
            </w:r>
          </w:p>
          <w:p w14:paraId="124E5CE3">
            <w:pPr>
              <w:ind w:firstLine="480"/>
              <w:rPr>
                <w:rFonts w:hint="eastAsia" w:ascii="宋体" w:hAnsi="宋体" w:cs="宋体"/>
                <w:kern w:val="0"/>
                <w:lang w:bidi="ar"/>
              </w:rPr>
            </w:pPr>
            <w:r>
              <w:rPr>
                <w:rFonts w:hint="eastAsia" w:ascii="宋体" w:hAnsi="宋体" w:cs="宋体"/>
                <w:kern w:val="0"/>
                <w:lang w:bidi="ar"/>
              </w:rPr>
              <w:t>③除尘设备用水循环使用，不外排。</w:t>
            </w:r>
          </w:p>
          <w:p w14:paraId="634E24FD">
            <w:pPr>
              <w:ind w:firstLine="480"/>
              <w:rPr>
                <w:lang w:bidi="ar"/>
              </w:rPr>
            </w:pPr>
            <w:r>
              <w:rPr>
                <w:rFonts w:hint="eastAsia"/>
                <w:lang w:bidi="ar"/>
              </w:rPr>
              <w:t>④绿化用水</w:t>
            </w:r>
            <w:r>
              <w:rPr>
                <w:lang w:bidi="ar"/>
              </w:rPr>
              <w:t>全部蒸发损耗，不外排。</w:t>
            </w:r>
          </w:p>
          <w:p w14:paraId="47EDE469">
            <w:pPr>
              <w:ind w:firstLine="480"/>
              <w:rPr>
                <w:lang w:bidi="ar"/>
              </w:rPr>
            </w:pPr>
            <w:r>
              <w:rPr>
                <w:rFonts w:hint="eastAsia"/>
                <w:lang w:bidi="ar"/>
              </w:rPr>
              <w:t>⑤建设单位拟建一个雨水收集池（780m</w:t>
            </w:r>
            <w:r>
              <w:rPr>
                <w:rFonts w:hint="eastAsia"/>
                <w:vertAlign w:val="superscript"/>
                <w:lang w:bidi="ar"/>
              </w:rPr>
              <w:t>3</w:t>
            </w:r>
            <w:r>
              <w:rPr>
                <w:rFonts w:hint="eastAsia"/>
                <w:lang w:bidi="ar"/>
              </w:rPr>
              <w:t>），用于收集厂区初期雨水。</w:t>
            </w:r>
          </w:p>
          <w:p w14:paraId="0C607C92">
            <w:pPr>
              <w:ind w:firstLine="480"/>
            </w:pPr>
            <w:r>
              <w:rPr>
                <w:rFonts w:hint="eastAsia"/>
              </w:rPr>
              <w:t>根据水平衡，本项目外排的废水量为91257.17m</w:t>
            </w:r>
            <w:r>
              <w:rPr>
                <w:rFonts w:hint="eastAsia"/>
                <w:vertAlign w:val="superscript"/>
              </w:rPr>
              <w:t>3</w:t>
            </w:r>
            <w:r>
              <w:rPr>
                <w:rFonts w:hint="eastAsia"/>
              </w:rPr>
              <w:t>/a，（未利用的锅炉气化炉废水91118.87m</w:t>
            </w:r>
            <w:r>
              <w:rPr>
                <w:rFonts w:hint="eastAsia"/>
                <w:vertAlign w:val="superscript"/>
              </w:rPr>
              <w:t>3</w:t>
            </w:r>
            <w:r>
              <w:rPr>
                <w:rFonts w:hint="eastAsia"/>
              </w:rPr>
              <w:t>/a+168.3m</w:t>
            </w:r>
            <w:r>
              <w:rPr>
                <w:rFonts w:hint="eastAsia"/>
                <w:vertAlign w:val="superscript"/>
              </w:rPr>
              <w:t>3</w:t>
            </w:r>
            <w:r>
              <w:rPr>
                <w:rFonts w:hint="eastAsia"/>
              </w:rPr>
              <w:t>/a生活污水）。</w:t>
            </w:r>
          </w:p>
          <w:p w14:paraId="6C979A25">
            <w:pPr>
              <w:pStyle w:val="43"/>
            </w:pPr>
            <w:r>
              <w:rPr>
                <w:rFonts w:hint="eastAsia"/>
              </w:rPr>
              <w:t>项目废水排放情况一览表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29"/>
              <w:gridCol w:w="1707"/>
              <w:gridCol w:w="1075"/>
              <w:gridCol w:w="810"/>
              <w:gridCol w:w="1158"/>
              <w:gridCol w:w="1158"/>
              <w:gridCol w:w="1124"/>
            </w:tblGrid>
            <w:tr w14:paraId="4F1AEC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56" w:type="pct"/>
                  <w:gridSpan w:val="2"/>
                  <w:vAlign w:val="center"/>
                </w:tcPr>
                <w:p w14:paraId="0F01649F">
                  <w:pPr>
                    <w:pStyle w:val="31"/>
                  </w:pPr>
                  <w:r>
                    <w:rPr>
                      <w:rFonts w:hint="eastAsia"/>
                    </w:rPr>
                    <w:t>废水类别</w:t>
                  </w:r>
                </w:p>
              </w:tc>
              <w:tc>
                <w:tcPr>
                  <w:tcW w:w="675" w:type="pct"/>
                  <w:vAlign w:val="center"/>
                </w:tcPr>
                <w:p w14:paraId="437DDFE2">
                  <w:pPr>
                    <w:pStyle w:val="31"/>
                  </w:pPr>
                  <w:r>
                    <w:rPr>
                      <w:rFonts w:hint="eastAsia"/>
                    </w:rPr>
                    <w:t>废水量</w:t>
                  </w:r>
                </w:p>
              </w:tc>
              <w:tc>
                <w:tcPr>
                  <w:tcW w:w="509" w:type="pct"/>
                  <w:vAlign w:val="center"/>
                </w:tcPr>
                <w:p w14:paraId="4F02BCD0">
                  <w:pPr>
                    <w:pStyle w:val="31"/>
                  </w:pPr>
                  <w:r>
                    <w:rPr>
                      <w:rFonts w:hint="eastAsia"/>
                    </w:rPr>
                    <w:t>C</w:t>
                  </w:r>
                  <w:r>
                    <w:t>OD</w:t>
                  </w:r>
                </w:p>
              </w:tc>
              <w:tc>
                <w:tcPr>
                  <w:tcW w:w="727" w:type="pct"/>
                  <w:vAlign w:val="center"/>
                </w:tcPr>
                <w:p w14:paraId="37125DFE">
                  <w:pPr>
                    <w:pStyle w:val="31"/>
                  </w:pPr>
                  <w:r>
                    <w:rPr>
                      <w:rFonts w:hint="eastAsia"/>
                    </w:rPr>
                    <w:t>B</w:t>
                  </w:r>
                  <w:r>
                    <w:t>OD</w:t>
                  </w:r>
                  <w:r>
                    <w:rPr>
                      <w:vertAlign w:val="subscript"/>
                    </w:rPr>
                    <w:t>5</w:t>
                  </w:r>
                </w:p>
              </w:tc>
              <w:tc>
                <w:tcPr>
                  <w:tcW w:w="727" w:type="pct"/>
                  <w:vAlign w:val="center"/>
                </w:tcPr>
                <w:p w14:paraId="56AC985D">
                  <w:pPr>
                    <w:pStyle w:val="31"/>
                  </w:pPr>
                  <w:r>
                    <w:t>SS</w:t>
                  </w:r>
                </w:p>
              </w:tc>
              <w:tc>
                <w:tcPr>
                  <w:tcW w:w="707" w:type="pct"/>
                  <w:vAlign w:val="center"/>
                </w:tcPr>
                <w:p w14:paraId="365DFF61">
                  <w:pPr>
                    <w:pStyle w:val="31"/>
                  </w:pPr>
                  <w:r>
                    <w:rPr>
                      <w:rFonts w:hint="eastAsia"/>
                    </w:rPr>
                    <w:t>N</w:t>
                  </w:r>
                  <w:r>
                    <w:t>H</w:t>
                  </w:r>
                  <w:r>
                    <w:rPr>
                      <w:vertAlign w:val="subscript"/>
                    </w:rPr>
                    <w:t>3</w:t>
                  </w:r>
                  <w:r>
                    <w:t>-N</w:t>
                  </w:r>
                </w:p>
              </w:tc>
            </w:tr>
            <w:tr w14:paraId="2F6093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pct"/>
                  <w:vMerge w:val="restart"/>
                  <w:vAlign w:val="center"/>
                </w:tcPr>
                <w:p w14:paraId="56F68AC7">
                  <w:pPr>
                    <w:pStyle w:val="31"/>
                  </w:pPr>
                  <w:r>
                    <w:rPr>
                      <w:rFonts w:hint="eastAsia"/>
                    </w:rPr>
                    <w:t>排入市政污水管网</w:t>
                  </w:r>
                </w:p>
              </w:tc>
              <w:tc>
                <w:tcPr>
                  <w:tcW w:w="1072" w:type="pct"/>
                  <w:vAlign w:val="center"/>
                </w:tcPr>
                <w:p w14:paraId="4B36DDA4">
                  <w:pPr>
                    <w:pStyle w:val="31"/>
                  </w:pPr>
                  <w:r>
                    <w:rPr>
                      <w:rFonts w:hint="eastAsia"/>
                    </w:rPr>
                    <w:t>排放量（t/a）</w:t>
                  </w:r>
                </w:p>
              </w:tc>
              <w:tc>
                <w:tcPr>
                  <w:tcW w:w="675" w:type="pct"/>
                  <w:vAlign w:val="center"/>
                </w:tcPr>
                <w:p w14:paraId="12E1C542">
                  <w:pPr>
                    <w:pStyle w:val="31"/>
                  </w:pPr>
                  <w:r>
                    <w:rPr>
                      <w:rFonts w:hint="eastAsia"/>
                    </w:rPr>
                    <w:t>91257.17</w:t>
                  </w:r>
                </w:p>
              </w:tc>
              <w:tc>
                <w:tcPr>
                  <w:tcW w:w="509" w:type="pct"/>
                  <w:vAlign w:val="center"/>
                </w:tcPr>
                <w:p w14:paraId="7A591EEF">
                  <w:pPr>
                    <w:pStyle w:val="31"/>
                  </w:pPr>
                  <w:r>
                    <w:rPr>
                      <w:rFonts w:hint="eastAsia"/>
                    </w:rPr>
                    <w:t>45.63</w:t>
                  </w:r>
                </w:p>
              </w:tc>
              <w:tc>
                <w:tcPr>
                  <w:tcW w:w="727" w:type="pct"/>
                  <w:vAlign w:val="center"/>
                </w:tcPr>
                <w:p w14:paraId="4804AC3D">
                  <w:pPr>
                    <w:pStyle w:val="31"/>
                  </w:pPr>
                  <w:r>
                    <w:rPr>
                      <w:rFonts w:hint="eastAsia"/>
                    </w:rPr>
                    <w:t>27.37</w:t>
                  </w:r>
                </w:p>
              </w:tc>
              <w:tc>
                <w:tcPr>
                  <w:tcW w:w="727" w:type="pct"/>
                  <w:vAlign w:val="center"/>
                </w:tcPr>
                <w:p w14:paraId="76506BE9">
                  <w:pPr>
                    <w:pStyle w:val="31"/>
                  </w:pPr>
                  <w:r>
                    <w:rPr>
                      <w:rFonts w:hint="eastAsia"/>
                    </w:rPr>
                    <w:t>36.50</w:t>
                  </w:r>
                </w:p>
              </w:tc>
              <w:tc>
                <w:tcPr>
                  <w:tcW w:w="707" w:type="pct"/>
                  <w:vAlign w:val="center"/>
                </w:tcPr>
                <w:p w14:paraId="0648BBFD">
                  <w:pPr>
                    <w:pStyle w:val="31"/>
                  </w:pPr>
                  <w:r>
                    <w:rPr>
                      <w:rFonts w:hint="eastAsia"/>
                    </w:rPr>
                    <w:t>4.11</w:t>
                  </w:r>
                </w:p>
              </w:tc>
            </w:tr>
            <w:tr w14:paraId="1E77C3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pct"/>
                  <w:vMerge w:val="continue"/>
                  <w:vAlign w:val="center"/>
                </w:tcPr>
                <w:p w14:paraId="270A7739">
                  <w:pPr>
                    <w:pStyle w:val="31"/>
                  </w:pPr>
                </w:p>
              </w:tc>
              <w:tc>
                <w:tcPr>
                  <w:tcW w:w="1072" w:type="pct"/>
                  <w:vAlign w:val="center"/>
                </w:tcPr>
                <w:p w14:paraId="578C931B">
                  <w:pPr>
                    <w:pStyle w:val="31"/>
                  </w:pPr>
                  <w:r>
                    <w:rPr>
                      <w:rFonts w:hint="eastAsia"/>
                    </w:rPr>
                    <w:t>排放浓度（mg</w:t>
                  </w:r>
                  <w:r>
                    <w:t>/L</w:t>
                  </w:r>
                  <w:r>
                    <w:rPr>
                      <w:rFonts w:hint="eastAsia"/>
                    </w:rPr>
                    <w:t>）</w:t>
                  </w:r>
                </w:p>
              </w:tc>
              <w:tc>
                <w:tcPr>
                  <w:tcW w:w="675" w:type="pct"/>
                  <w:vAlign w:val="center"/>
                </w:tcPr>
                <w:p w14:paraId="46F46500">
                  <w:pPr>
                    <w:pStyle w:val="31"/>
                  </w:pPr>
                  <w:r>
                    <w:rPr>
                      <w:rFonts w:hint="eastAsia"/>
                    </w:rPr>
                    <w:t>/</w:t>
                  </w:r>
                </w:p>
              </w:tc>
              <w:tc>
                <w:tcPr>
                  <w:tcW w:w="509" w:type="pct"/>
                  <w:vAlign w:val="center"/>
                </w:tcPr>
                <w:p w14:paraId="28D383F3">
                  <w:pPr>
                    <w:pStyle w:val="31"/>
                  </w:pPr>
                  <w:r>
                    <w:rPr>
                      <w:rFonts w:hint="eastAsia"/>
                    </w:rPr>
                    <w:t>5</w:t>
                  </w:r>
                  <w:r>
                    <w:t>00</w:t>
                  </w:r>
                </w:p>
              </w:tc>
              <w:tc>
                <w:tcPr>
                  <w:tcW w:w="727" w:type="pct"/>
                  <w:vAlign w:val="center"/>
                </w:tcPr>
                <w:p w14:paraId="5579B7AD">
                  <w:pPr>
                    <w:pStyle w:val="31"/>
                  </w:pPr>
                  <w:r>
                    <w:rPr>
                      <w:rFonts w:hint="eastAsia"/>
                    </w:rPr>
                    <w:t>3</w:t>
                  </w:r>
                  <w:r>
                    <w:t>00</w:t>
                  </w:r>
                </w:p>
              </w:tc>
              <w:tc>
                <w:tcPr>
                  <w:tcW w:w="727" w:type="pct"/>
                  <w:vAlign w:val="center"/>
                </w:tcPr>
                <w:p w14:paraId="39883CBE">
                  <w:pPr>
                    <w:pStyle w:val="31"/>
                  </w:pPr>
                  <w:r>
                    <w:rPr>
                      <w:rFonts w:hint="eastAsia"/>
                    </w:rPr>
                    <w:t>4</w:t>
                  </w:r>
                  <w:r>
                    <w:t>00</w:t>
                  </w:r>
                </w:p>
              </w:tc>
              <w:tc>
                <w:tcPr>
                  <w:tcW w:w="707" w:type="pct"/>
                  <w:vAlign w:val="center"/>
                </w:tcPr>
                <w:p w14:paraId="3A8F1725">
                  <w:pPr>
                    <w:pStyle w:val="31"/>
                  </w:pPr>
                  <w:r>
                    <w:rPr>
                      <w:rFonts w:hint="eastAsia"/>
                    </w:rPr>
                    <w:t>4</w:t>
                  </w:r>
                  <w:r>
                    <w:t>5</w:t>
                  </w:r>
                </w:p>
              </w:tc>
            </w:tr>
            <w:tr w14:paraId="3B2D07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56" w:type="pct"/>
                  <w:gridSpan w:val="2"/>
                  <w:vAlign w:val="center"/>
                </w:tcPr>
                <w:p w14:paraId="738B56A7">
                  <w:pPr>
                    <w:pStyle w:val="31"/>
                  </w:pPr>
                  <w:r>
                    <w:rPr>
                      <w:rFonts w:hint="eastAsia"/>
                    </w:rPr>
                    <w:t>《污水综合排放标准》（GB8978-1996）三级标准</w:t>
                  </w:r>
                </w:p>
              </w:tc>
              <w:tc>
                <w:tcPr>
                  <w:tcW w:w="675" w:type="pct"/>
                  <w:vAlign w:val="center"/>
                </w:tcPr>
                <w:p w14:paraId="43883908">
                  <w:pPr>
                    <w:pStyle w:val="31"/>
                  </w:pPr>
                  <w:r>
                    <w:rPr>
                      <w:rFonts w:hint="eastAsia"/>
                    </w:rPr>
                    <w:t>/</w:t>
                  </w:r>
                </w:p>
              </w:tc>
              <w:tc>
                <w:tcPr>
                  <w:tcW w:w="509" w:type="pct"/>
                  <w:vAlign w:val="center"/>
                </w:tcPr>
                <w:p w14:paraId="5C00C531">
                  <w:pPr>
                    <w:pStyle w:val="31"/>
                    <w:rPr>
                      <w:b/>
                      <w:bCs/>
                    </w:rPr>
                  </w:pPr>
                  <w:r>
                    <w:rPr>
                      <w:rFonts w:hint="eastAsia"/>
                    </w:rPr>
                    <w:t>5</w:t>
                  </w:r>
                  <w:r>
                    <w:t>00</w:t>
                  </w:r>
                </w:p>
              </w:tc>
              <w:tc>
                <w:tcPr>
                  <w:tcW w:w="727" w:type="pct"/>
                  <w:vAlign w:val="center"/>
                </w:tcPr>
                <w:p w14:paraId="2499C81D">
                  <w:pPr>
                    <w:pStyle w:val="31"/>
                  </w:pPr>
                  <w:r>
                    <w:rPr>
                      <w:rFonts w:hint="eastAsia"/>
                    </w:rPr>
                    <w:t>3</w:t>
                  </w:r>
                  <w:r>
                    <w:t>00</w:t>
                  </w:r>
                </w:p>
              </w:tc>
              <w:tc>
                <w:tcPr>
                  <w:tcW w:w="727" w:type="pct"/>
                  <w:vAlign w:val="center"/>
                </w:tcPr>
                <w:p w14:paraId="3A9EB5CF">
                  <w:pPr>
                    <w:pStyle w:val="31"/>
                  </w:pPr>
                  <w:r>
                    <w:rPr>
                      <w:rFonts w:hint="eastAsia"/>
                    </w:rPr>
                    <w:t>4</w:t>
                  </w:r>
                  <w:r>
                    <w:t>00</w:t>
                  </w:r>
                </w:p>
              </w:tc>
              <w:tc>
                <w:tcPr>
                  <w:tcW w:w="707" w:type="pct"/>
                  <w:vAlign w:val="center"/>
                </w:tcPr>
                <w:p w14:paraId="75B1A5A8">
                  <w:pPr>
                    <w:pStyle w:val="31"/>
                  </w:pPr>
                  <w:r>
                    <w:rPr>
                      <w:rFonts w:hint="eastAsia"/>
                    </w:rPr>
                    <w:t>4</w:t>
                  </w:r>
                  <w:r>
                    <w:t>5</w:t>
                  </w:r>
                </w:p>
              </w:tc>
            </w:tr>
            <w:tr w14:paraId="0B41F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pct"/>
                  <w:vMerge w:val="restart"/>
                  <w:vAlign w:val="center"/>
                </w:tcPr>
                <w:p w14:paraId="49899C9A">
                  <w:pPr>
                    <w:pStyle w:val="31"/>
                  </w:pPr>
                  <w:r>
                    <w:rPr>
                      <w:rFonts w:hint="eastAsia"/>
                    </w:rPr>
                    <w:t>污水处理厂处理后</w:t>
                  </w:r>
                </w:p>
              </w:tc>
              <w:tc>
                <w:tcPr>
                  <w:tcW w:w="1072" w:type="pct"/>
                  <w:vAlign w:val="center"/>
                </w:tcPr>
                <w:p w14:paraId="3F498AE0">
                  <w:pPr>
                    <w:pStyle w:val="31"/>
                  </w:pPr>
                  <w:r>
                    <w:rPr>
                      <w:rFonts w:hint="eastAsia"/>
                    </w:rPr>
                    <w:t>排放量（t/a）</w:t>
                  </w:r>
                </w:p>
              </w:tc>
              <w:tc>
                <w:tcPr>
                  <w:tcW w:w="675" w:type="pct"/>
                  <w:vAlign w:val="center"/>
                </w:tcPr>
                <w:p w14:paraId="03617F6E">
                  <w:pPr>
                    <w:pStyle w:val="31"/>
                  </w:pPr>
                  <w:r>
                    <w:rPr>
                      <w:rFonts w:hint="eastAsia"/>
                    </w:rPr>
                    <w:t>91257.17</w:t>
                  </w:r>
                </w:p>
              </w:tc>
              <w:tc>
                <w:tcPr>
                  <w:tcW w:w="509" w:type="pct"/>
                  <w:vAlign w:val="center"/>
                </w:tcPr>
                <w:p w14:paraId="4E626073">
                  <w:pPr>
                    <w:pStyle w:val="31"/>
                  </w:pPr>
                  <w:r>
                    <w:rPr>
                      <w:rFonts w:hint="eastAsia"/>
                    </w:rPr>
                    <w:t>3.65</w:t>
                  </w:r>
                </w:p>
              </w:tc>
              <w:tc>
                <w:tcPr>
                  <w:tcW w:w="727" w:type="pct"/>
                  <w:vAlign w:val="center"/>
                </w:tcPr>
                <w:p w14:paraId="2F1AEC2D">
                  <w:pPr>
                    <w:pStyle w:val="31"/>
                  </w:pPr>
                  <w:r>
                    <w:rPr>
                      <w:rFonts w:hint="eastAsia"/>
                    </w:rPr>
                    <w:t>0.91</w:t>
                  </w:r>
                </w:p>
              </w:tc>
              <w:tc>
                <w:tcPr>
                  <w:tcW w:w="727" w:type="pct"/>
                  <w:vAlign w:val="center"/>
                </w:tcPr>
                <w:p w14:paraId="36E3505E">
                  <w:pPr>
                    <w:pStyle w:val="31"/>
                  </w:pPr>
                  <w:r>
                    <w:rPr>
                      <w:rFonts w:hint="eastAsia"/>
                    </w:rPr>
                    <w:t>0.91</w:t>
                  </w:r>
                </w:p>
              </w:tc>
              <w:tc>
                <w:tcPr>
                  <w:tcW w:w="707" w:type="pct"/>
                  <w:vAlign w:val="center"/>
                </w:tcPr>
                <w:p w14:paraId="498EEDB4">
                  <w:pPr>
                    <w:pStyle w:val="31"/>
                  </w:pPr>
                  <w:r>
                    <w:rPr>
                      <w:rFonts w:hint="eastAsia"/>
                    </w:rPr>
                    <w:t>0.46</w:t>
                  </w:r>
                </w:p>
              </w:tc>
            </w:tr>
            <w:tr w14:paraId="260FA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84" w:type="pct"/>
                  <w:vMerge w:val="continue"/>
                  <w:vAlign w:val="center"/>
                </w:tcPr>
                <w:p w14:paraId="7DBF6631">
                  <w:pPr>
                    <w:pStyle w:val="31"/>
                  </w:pPr>
                </w:p>
              </w:tc>
              <w:tc>
                <w:tcPr>
                  <w:tcW w:w="1072" w:type="pct"/>
                  <w:vAlign w:val="center"/>
                </w:tcPr>
                <w:p w14:paraId="32C07211">
                  <w:pPr>
                    <w:pStyle w:val="31"/>
                  </w:pPr>
                  <w:r>
                    <w:rPr>
                      <w:rFonts w:hint="eastAsia"/>
                    </w:rPr>
                    <w:t>排放浓度（mg</w:t>
                  </w:r>
                  <w:r>
                    <w:t>/L</w:t>
                  </w:r>
                  <w:r>
                    <w:rPr>
                      <w:rFonts w:hint="eastAsia"/>
                    </w:rPr>
                    <w:t>）</w:t>
                  </w:r>
                </w:p>
              </w:tc>
              <w:tc>
                <w:tcPr>
                  <w:tcW w:w="675" w:type="pct"/>
                  <w:vAlign w:val="center"/>
                </w:tcPr>
                <w:p w14:paraId="1BE4D137">
                  <w:pPr>
                    <w:pStyle w:val="31"/>
                  </w:pPr>
                  <w:r>
                    <w:rPr>
                      <w:rFonts w:hint="eastAsia"/>
                    </w:rPr>
                    <w:t>/</w:t>
                  </w:r>
                </w:p>
              </w:tc>
              <w:tc>
                <w:tcPr>
                  <w:tcW w:w="509" w:type="pct"/>
                  <w:vAlign w:val="center"/>
                </w:tcPr>
                <w:p w14:paraId="343AF90F">
                  <w:pPr>
                    <w:pStyle w:val="31"/>
                  </w:pPr>
                  <w:r>
                    <w:rPr>
                      <w:rFonts w:hint="eastAsia"/>
                    </w:rPr>
                    <w:t>40</w:t>
                  </w:r>
                </w:p>
              </w:tc>
              <w:tc>
                <w:tcPr>
                  <w:tcW w:w="727" w:type="pct"/>
                  <w:vAlign w:val="center"/>
                </w:tcPr>
                <w:p w14:paraId="55717244">
                  <w:pPr>
                    <w:pStyle w:val="31"/>
                  </w:pPr>
                  <w:r>
                    <w:rPr>
                      <w:rFonts w:hint="eastAsia"/>
                    </w:rPr>
                    <w:t>10</w:t>
                  </w:r>
                </w:p>
              </w:tc>
              <w:tc>
                <w:tcPr>
                  <w:tcW w:w="727" w:type="pct"/>
                  <w:vAlign w:val="center"/>
                </w:tcPr>
                <w:p w14:paraId="7C396EEB">
                  <w:pPr>
                    <w:pStyle w:val="31"/>
                  </w:pPr>
                  <w:r>
                    <w:rPr>
                      <w:rFonts w:hint="eastAsia"/>
                    </w:rPr>
                    <w:t>10</w:t>
                  </w:r>
                </w:p>
              </w:tc>
              <w:tc>
                <w:tcPr>
                  <w:tcW w:w="707" w:type="pct"/>
                  <w:vAlign w:val="center"/>
                </w:tcPr>
                <w:p w14:paraId="426133DE">
                  <w:pPr>
                    <w:pStyle w:val="31"/>
                  </w:pPr>
                  <w:r>
                    <w:rPr>
                      <w:rFonts w:hint="eastAsia"/>
                    </w:rPr>
                    <w:t>5</w:t>
                  </w:r>
                </w:p>
              </w:tc>
            </w:tr>
            <w:tr w14:paraId="1A428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56" w:type="pct"/>
                  <w:gridSpan w:val="2"/>
                  <w:vAlign w:val="center"/>
                </w:tcPr>
                <w:p w14:paraId="41917AFA">
                  <w:pPr>
                    <w:pStyle w:val="31"/>
                  </w:pPr>
                  <w:r>
                    <w:rPr>
                      <w:rFonts w:hint="eastAsia"/>
                    </w:rPr>
                    <w:t>《四川省岷江、沱江流域水污染物排放标准（DB51-2311-2016）》工业园区污水处理厂排放标准</w:t>
                  </w:r>
                </w:p>
              </w:tc>
              <w:tc>
                <w:tcPr>
                  <w:tcW w:w="675" w:type="pct"/>
                  <w:vAlign w:val="center"/>
                </w:tcPr>
                <w:p w14:paraId="0527B266">
                  <w:pPr>
                    <w:pStyle w:val="31"/>
                  </w:pPr>
                  <w:r>
                    <w:rPr>
                      <w:rFonts w:hint="eastAsia"/>
                    </w:rPr>
                    <w:t>/</w:t>
                  </w:r>
                </w:p>
              </w:tc>
              <w:tc>
                <w:tcPr>
                  <w:tcW w:w="509" w:type="pct"/>
                  <w:vAlign w:val="center"/>
                </w:tcPr>
                <w:p w14:paraId="5EF3A3E8">
                  <w:pPr>
                    <w:pStyle w:val="31"/>
                    <w:rPr>
                      <w:b/>
                      <w:bCs/>
                    </w:rPr>
                  </w:pPr>
                  <w:r>
                    <w:rPr>
                      <w:rFonts w:hint="eastAsia"/>
                    </w:rPr>
                    <w:t>40</w:t>
                  </w:r>
                </w:p>
              </w:tc>
              <w:tc>
                <w:tcPr>
                  <w:tcW w:w="727" w:type="pct"/>
                  <w:vAlign w:val="center"/>
                </w:tcPr>
                <w:p w14:paraId="43E3E59B">
                  <w:pPr>
                    <w:pStyle w:val="31"/>
                  </w:pPr>
                  <w:r>
                    <w:rPr>
                      <w:rFonts w:hint="eastAsia"/>
                    </w:rPr>
                    <w:t>10</w:t>
                  </w:r>
                </w:p>
              </w:tc>
              <w:tc>
                <w:tcPr>
                  <w:tcW w:w="727" w:type="pct"/>
                  <w:vAlign w:val="center"/>
                </w:tcPr>
                <w:p w14:paraId="18EC3B7C">
                  <w:pPr>
                    <w:pStyle w:val="31"/>
                  </w:pPr>
                  <w:r>
                    <w:rPr>
                      <w:rFonts w:hint="eastAsia"/>
                    </w:rPr>
                    <w:t>10</w:t>
                  </w:r>
                </w:p>
              </w:tc>
              <w:tc>
                <w:tcPr>
                  <w:tcW w:w="707" w:type="pct"/>
                  <w:vAlign w:val="center"/>
                </w:tcPr>
                <w:p w14:paraId="39B2C529">
                  <w:pPr>
                    <w:pStyle w:val="31"/>
                  </w:pPr>
                  <w:r>
                    <w:rPr>
                      <w:rFonts w:hint="eastAsia"/>
                    </w:rPr>
                    <w:t>5</w:t>
                  </w:r>
                </w:p>
              </w:tc>
            </w:tr>
          </w:tbl>
          <w:p w14:paraId="05ADDB30">
            <w:pPr>
              <w:ind w:firstLine="480"/>
            </w:pPr>
            <w:r>
              <w:rPr>
                <w:rFonts w:hint="eastAsia"/>
              </w:rPr>
              <w:t>（</w:t>
            </w:r>
            <w:r>
              <w:rPr>
                <w:rFonts w:hint="eastAsia" w:cs="Times New Roman"/>
              </w:rPr>
              <w:t>2</w:t>
            </w:r>
            <w:r>
              <w:rPr>
                <w:rFonts w:hint="eastAsia"/>
              </w:rPr>
              <w:t>）与大英经济开发区污水处理厂依托可行性分析</w:t>
            </w:r>
          </w:p>
          <w:p w14:paraId="79BE861E">
            <w:pPr>
              <w:ind w:firstLine="480"/>
            </w:pPr>
            <w:r>
              <w:rPr>
                <w:rFonts w:hint="eastAsia"/>
              </w:rPr>
              <w:t>大英工业集中区内现设有完善的排水管网，园区污水处理厂于2019年6月建设完成并投入运行。园区污水处理厂建设项目总处理规模3万m</w:t>
            </w:r>
            <w:r>
              <w:rPr>
                <w:rFonts w:hint="eastAsia"/>
                <w:vertAlign w:val="superscript"/>
              </w:rPr>
              <w:t>3</w:t>
            </w:r>
            <w:r>
              <w:rPr>
                <w:rFonts w:hint="eastAsia"/>
              </w:rPr>
              <w:t>/d，废水处理工艺为“收集、预处理+水解酸化+A</w:t>
            </w:r>
            <w:r>
              <w:rPr>
                <w:rFonts w:hint="eastAsia"/>
                <w:vertAlign w:val="subscript"/>
              </w:rPr>
              <w:t>2</w:t>
            </w:r>
            <w:r>
              <w:rPr>
                <w:rFonts w:hint="eastAsia"/>
              </w:rPr>
              <w:t>/O一体化自回流改良型氧化沟+MBR+中性催化+化学除磷（含高效沉淀池、精密过滤）+垂直潜流人工湿地”组合工艺，处理后达《地表水环境质量标准》（GB3838-2002）中Ⅲ类水体标准（总氮按照《四川省岷江、沱江流域水污染物排放标准》（DB51/2311-2016）“工业园区集中式污水处理厂排放”标准控制），尾水经排口排入郪江。</w:t>
            </w:r>
          </w:p>
          <w:p w14:paraId="1D2C2A42">
            <w:pPr>
              <w:ind w:firstLine="480"/>
            </w:pPr>
            <w:r>
              <w:rPr>
                <w:rFonts w:hint="eastAsia"/>
              </w:rPr>
              <w:t>本项目营运期的废水量为276.54m</w:t>
            </w:r>
            <w:r>
              <w:rPr>
                <w:rFonts w:hint="eastAsia"/>
                <w:vertAlign w:val="superscript"/>
              </w:rPr>
              <w:t>3</w:t>
            </w:r>
            <w:r>
              <w:rPr>
                <w:rFonts w:hint="eastAsia"/>
              </w:rPr>
              <w:t>/d，远小于其处理规模，且该处理工艺能满足本项目废水处理要求。因此，本项目的废水经预处理池处理达到《污水综合排放标准》（GB8978-1996）三级标准后排入大英经济开发区污水处理厂进行处理可行。</w:t>
            </w:r>
          </w:p>
          <w:p w14:paraId="425DD51B">
            <w:pPr>
              <w:ind w:firstLine="480"/>
            </w:pPr>
            <w:r>
              <w:rPr>
                <w:rFonts w:hint="eastAsia"/>
              </w:rPr>
              <w:t>（</w:t>
            </w:r>
            <w:r>
              <w:rPr>
                <w:rFonts w:hint="eastAsia" w:cs="Times New Roman"/>
              </w:rPr>
              <w:t>4</w:t>
            </w:r>
            <w:r>
              <w:rPr>
                <w:rFonts w:hint="eastAsia"/>
              </w:rPr>
              <w:t>）废水自行监测要求</w:t>
            </w:r>
          </w:p>
          <w:p w14:paraId="24C55051">
            <w:pPr>
              <w:ind w:firstLine="480"/>
            </w:pPr>
            <w:r>
              <w:rPr>
                <w:rFonts w:hint="eastAsia"/>
              </w:rPr>
              <w:t>根据《排污许可证核发与申请技术规范 锅炉》（HJ953-2018）和</w:t>
            </w:r>
            <w:r>
              <w:rPr>
                <w:rFonts w:cs="Times New Roman"/>
                <w:bCs/>
                <w:szCs w:val="24"/>
              </w:rPr>
              <w:t>《排污单位自行监测技术指南 火力发电及锅炉》（HJ820-2017）</w:t>
            </w:r>
            <w:r>
              <w:rPr>
                <w:rFonts w:hint="eastAsia"/>
              </w:rPr>
              <w:t>，无生物质锅炉废水监测指标，本项目使用生物质燃气锅炉，故本项目参考燃气锅炉废水监测指标，项目废水监测要求见表4-10。</w:t>
            </w:r>
          </w:p>
          <w:p w14:paraId="40A6EF4B">
            <w:pPr>
              <w:pStyle w:val="43"/>
            </w:pPr>
            <w:r>
              <w:rPr>
                <w:rFonts w:hint="eastAsia"/>
              </w:rPr>
              <w:t>废水监测要求一览表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51"/>
              <w:gridCol w:w="4189"/>
              <w:gridCol w:w="1121"/>
            </w:tblGrid>
            <w:tr w14:paraId="6E3BFB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5" w:type="pct"/>
                  <w:vAlign w:val="center"/>
                </w:tcPr>
                <w:p w14:paraId="5F36EF1B">
                  <w:pPr>
                    <w:pStyle w:val="31"/>
                    <w:rPr>
                      <w:b/>
                      <w:bCs/>
                    </w:rPr>
                  </w:pPr>
                  <w:r>
                    <w:rPr>
                      <w:rFonts w:hint="eastAsia"/>
                      <w:b/>
                      <w:bCs/>
                    </w:rPr>
                    <w:t>监测点位</w:t>
                  </w:r>
                </w:p>
              </w:tc>
              <w:tc>
                <w:tcPr>
                  <w:tcW w:w="2631" w:type="pct"/>
                  <w:vAlign w:val="center"/>
                </w:tcPr>
                <w:p w14:paraId="597FB6FF">
                  <w:pPr>
                    <w:pStyle w:val="31"/>
                    <w:rPr>
                      <w:b/>
                      <w:bCs/>
                    </w:rPr>
                  </w:pPr>
                  <w:r>
                    <w:rPr>
                      <w:rFonts w:hint="eastAsia"/>
                      <w:b/>
                      <w:bCs/>
                    </w:rPr>
                    <w:t>监测指标</w:t>
                  </w:r>
                </w:p>
              </w:tc>
              <w:tc>
                <w:tcPr>
                  <w:tcW w:w="704" w:type="pct"/>
                  <w:vAlign w:val="center"/>
                </w:tcPr>
                <w:p w14:paraId="139C4CD3">
                  <w:pPr>
                    <w:pStyle w:val="31"/>
                    <w:rPr>
                      <w:b/>
                      <w:bCs/>
                    </w:rPr>
                  </w:pPr>
                  <w:r>
                    <w:rPr>
                      <w:rFonts w:hint="eastAsia"/>
                      <w:b/>
                      <w:bCs/>
                    </w:rPr>
                    <w:t>监测频次</w:t>
                  </w:r>
                </w:p>
              </w:tc>
            </w:tr>
            <w:tr w14:paraId="2E5540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5" w:type="pct"/>
                  <w:vAlign w:val="center"/>
                </w:tcPr>
                <w:p w14:paraId="0E30A263">
                  <w:pPr>
                    <w:pStyle w:val="31"/>
                  </w:pPr>
                  <w:r>
                    <w:rPr>
                      <w:rFonts w:hint="eastAsia"/>
                    </w:rPr>
                    <w:t>企业废水总排口</w:t>
                  </w:r>
                </w:p>
              </w:tc>
              <w:tc>
                <w:tcPr>
                  <w:tcW w:w="2631" w:type="pct"/>
                  <w:vAlign w:val="center"/>
                </w:tcPr>
                <w:p w14:paraId="7AD25640">
                  <w:pPr>
                    <w:pStyle w:val="31"/>
                  </w:pPr>
                  <w:r>
                    <w:rPr>
                      <w:rFonts w:hint="eastAsia"/>
                    </w:rPr>
                    <w:t>pH值、化学需氧量、氨氮、悬浮物、总磷、溶解性总固体（全盐量）、流量</w:t>
                  </w:r>
                </w:p>
              </w:tc>
              <w:tc>
                <w:tcPr>
                  <w:tcW w:w="704" w:type="pct"/>
                  <w:vAlign w:val="center"/>
                </w:tcPr>
                <w:p w14:paraId="7243CE7B">
                  <w:pPr>
                    <w:pStyle w:val="31"/>
                  </w:pPr>
                  <w:r>
                    <w:rPr>
                      <w:rFonts w:hint="eastAsia"/>
                    </w:rPr>
                    <w:t>季度/次</w:t>
                  </w:r>
                </w:p>
              </w:tc>
            </w:tr>
            <w:tr w14:paraId="432972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5" w:type="pct"/>
                  <w:vAlign w:val="center"/>
                </w:tcPr>
                <w:p w14:paraId="17AB10F0">
                  <w:pPr>
                    <w:pStyle w:val="31"/>
                  </w:pPr>
                  <w:r>
                    <w:rPr>
                      <w:rFonts w:hint="eastAsia"/>
                    </w:rPr>
                    <w:t>雨水排放口</w:t>
                  </w:r>
                </w:p>
              </w:tc>
              <w:tc>
                <w:tcPr>
                  <w:tcW w:w="2631" w:type="pct"/>
                  <w:vAlign w:val="center"/>
                </w:tcPr>
                <w:p w14:paraId="18B597AA">
                  <w:pPr>
                    <w:pStyle w:val="31"/>
                  </w:pPr>
                  <w:r>
                    <w:rPr>
                      <w:rFonts w:hint="eastAsia"/>
                    </w:rPr>
                    <w:t>化学需氧量</w:t>
                  </w:r>
                </w:p>
              </w:tc>
              <w:tc>
                <w:tcPr>
                  <w:tcW w:w="704" w:type="pct"/>
                  <w:vAlign w:val="center"/>
                </w:tcPr>
                <w:p w14:paraId="09880B62">
                  <w:pPr>
                    <w:pStyle w:val="31"/>
                  </w:pPr>
                  <w:r>
                    <w:rPr>
                      <w:rFonts w:hint="eastAsia"/>
                    </w:rPr>
                    <w:t>日</w:t>
                  </w:r>
                  <w:r>
                    <w:rPr>
                      <w:rFonts w:hint="eastAsia"/>
                      <w:vertAlign w:val="superscript"/>
                    </w:rPr>
                    <w:t>a</w:t>
                  </w:r>
                  <w:r>
                    <w:rPr>
                      <w:rFonts w:hint="eastAsia"/>
                    </w:rPr>
                    <w:t>/次</w:t>
                  </w:r>
                </w:p>
              </w:tc>
            </w:tr>
            <w:tr w14:paraId="703D6D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5000" w:type="pct"/>
                  <w:gridSpan w:val="3"/>
                  <w:vAlign w:val="center"/>
                </w:tcPr>
                <w:p w14:paraId="2808AF65">
                  <w:pPr>
                    <w:pStyle w:val="31"/>
                    <w:jc w:val="left"/>
                  </w:pPr>
                  <w:r>
                    <w:rPr>
                      <w:rFonts w:hint="eastAsia"/>
                    </w:rPr>
                    <w:t>a排放口有流动水排放时开展监测，排放按日监测。</w:t>
                  </w:r>
                </w:p>
              </w:tc>
            </w:tr>
          </w:tbl>
          <w:p w14:paraId="7F96812D">
            <w:pPr>
              <w:ind w:firstLine="480"/>
            </w:pPr>
            <w:r>
              <w:rPr>
                <w:rFonts w:hint="eastAsia"/>
              </w:rPr>
              <w:t>综上，本项目不会导致郪江评价河段水域功能类别发生改变，项目营运期废水的排放对郪江水环境质量影响小。</w:t>
            </w:r>
          </w:p>
          <w:p w14:paraId="4BE69EB2">
            <w:pPr>
              <w:ind w:firstLine="482"/>
              <w:rPr>
                <w:b/>
                <w:bCs/>
              </w:rPr>
            </w:pPr>
            <w:r>
              <w:rPr>
                <w:rFonts w:hint="eastAsia"/>
                <w:b/>
                <w:bCs/>
              </w:rPr>
              <w:t>1.3噪声影响分析及防治措施</w:t>
            </w:r>
          </w:p>
          <w:p w14:paraId="6962FC89">
            <w:pPr>
              <w:ind w:firstLine="480"/>
            </w:pPr>
            <w:r>
              <w:rPr>
                <w:rFonts w:hint="eastAsia"/>
              </w:rPr>
              <w:t>1、噪声源强</w:t>
            </w:r>
          </w:p>
          <w:p w14:paraId="157F06DD">
            <w:pPr>
              <w:ind w:firstLine="480"/>
            </w:pPr>
            <w:r>
              <w:rPr>
                <w:rFonts w:hint="eastAsia"/>
              </w:rPr>
              <w:t>本项目营运期噪声为生产设备运行噪声，各产噪设备噪声级见下表。</w:t>
            </w:r>
          </w:p>
        </w:tc>
      </w:tr>
    </w:tbl>
    <w:p w14:paraId="69FEAD82">
      <w:pPr>
        <w:ind w:firstLine="480"/>
        <w:sectPr>
          <w:pgSz w:w="11906" w:h="16838"/>
          <w:pgMar w:top="1440" w:right="1800" w:bottom="1440" w:left="1800" w:header="851" w:footer="992" w:gutter="0"/>
          <w:cols w:space="425" w:num="1"/>
          <w:docGrid w:type="lines" w:linePitch="326"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471"/>
        <w:gridCol w:w="13543"/>
      </w:tblGrid>
      <w:tr w14:paraId="63A2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jc w:val="center"/>
        </w:trPr>
        <w:tc>
          <w:tcPr>
            <w:tcW w:w="168" w:type="pct"/>
          </w:tcPr>
          <w:p w14:paraId="6A5353FA">
            <w:pPr>
              <w:ind w:firstLine="0" w:firstLineChars="0"/>
            </w:pPr>
          </w:p>
        </w:tc>
        <w:tc>
          <w:tcPr>
            <w:tcW w:w="4832" w:type="pct"/>
          </w:tcPr>
          <w:p w14:paraId="19C99269">
            <w:pPr>
              <w:pStyle w:val="43"/>
            </w:pPr>
            <w:r>
              <w:rPr>
                <w:rFonts w:hint="eastAsia"/>
              </w:rPr>
              <w:t xml:space="preserve">  工业企业噪声源强调查清单（室内声源）</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autofit"/>
              <w:tblCellMar>
                <w:top w:w="0" w:type="dxa"/>
                <w:left w:w="28" w:type="dxa"/>
                <w:bottom w:w="0" w:type="dxa"/>
                <w:right w:w="28" w:type="dxa"/>
              </w:tblCellMar>
            </w:tblPr>
            <w:tblGrid>
              <w:gridCol w:w="321"/>
              <w:gridCol w:w="515"/>
              <w:gridCol w:w="1535"/>
              <w:gridCol w:w="1254"/>
              <w:gridCol w:w="566"/>
              <w:gridCol w:w="998"/>
              <w:gridCol w:w="1686"/>
              <w:gridCol w:w="699"/>
              <w:gridCol w:w="920"/>
              <w:gridCol w:w="232"/>
              <w:gridCol w:w="718"/>
              <w:gridCol w:w="1033"/>
              <w:gridCol w:w="450"/>
              <w:gridCol w:w="1098"/>
              <w:gridCol w:w="844"/>
              <w:gridCol w:w="618"/>
            </w:tblGrid>
            <w:tr w14:paraId="133D2F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jc w:val="center"/>
              </w:trPr>
              <w:tc>
                <w:tcPr>
                  <w:tcW w:w="119" w:type="pct"/>
                  <w:vMerge w:val="restart"/>
                  <w:shd w:val="clear" w:color="auto" w:fill="FFFFFF" w:themeFill="background1"/>
                  <w:vAlign w:val="center"/>
                </w:tcPr>
                <w:p w14:paraId="650291E5">
                  <w:pPr>
                    <w:pStyle w:val="31"/>
                  </w:pPr>
                  <w:r>
                    <w:t>序号</w:t>
                  </w:r>
                </w:p>
              </w:tc>
              <w:tc>
                <w:tcPr>
                  <w:tcW w:w="191" w:type="pct"/>
                  <w:vMerge w:val="restart"/>
                  <w:shd w:val="clear" w:color="auto" w:fill="FFFFFF" w:themeFill="background1"/>
                  <w:vAlign w:val="center"/>
                </w:tcPr>
                <w:p w14:paraId="2EA3F089">
                  <w:pPr>
                    <w:pStyle w:val="31"/>
                  </w:pPr>
                  <w:r>
                    <w:t>建筑物名称</w:t>
                  </w:r>
                </w:p>
              </w:tc>
              <w:tc>
                <w:tcPr>
                  <w:tcW w:w="569" w:type="pct"/>
                  <w:vMerge w:val="restart"/>
                  <w:shd w:val="clear" w:color="auto" w:fill="FFFFFF" w:themeFill="background1"/>
                  <w:vAlign w:val="center"/>
                </w:tcPr>
                <w:p w14:paraId="624F7249">
                  <w:pPr>
                    <w:pStyle w:val="31"/>
                  </w:pPr>
                  <w:r>
                    <w:t>声源名称</w:t>
                  </w:r>
                </w:p>
              </w:tc>
              <w:tc>
                <w:tcPr>
                  <w:tcW w:w="1045" w:type="pct"/>
                  <w:gridSpan w:val="3"/>
                  <w:shd w:val="clear" w:color="auto" w:fill="FFFFFF" w:themeFill="background1"/>
                  <w:vAlign w:val="center"/>
                </w:tcPr>
                <w:p w14:paraId="1CE05568">
                  <w:pPr>
                    <w:pStyle w:val="31"/>
                  </w:pPr>
                  <w:r>
                    <w:t>声源源强</w:t>
                  </w:r>
                </w:p>
              </w:tc>
              <w:tc>
                <w:tcPr>
                  <w:tcW w:w="625" w:type="pct"/>
                  <w:vMerge w:val="restart"/>
                  <w:shd w:val="clear" w:color="auto" w:fill="FFFFFF" w:themeFill="background1"/>
                  <w:vAlign w:val="center"/>
                </w:tcPr>
                <w:p w14:paraId="6539260F">
                  <w:pPr>
                    <w:pStyle w:val="31"/>
                  </w:pPr>
                  <w:r>
                    <w:t>声源控制措施</w:t>
                  </w:r>
                </w:p>
              </w:tc>
              <w:tc>
                <w:tcPr>
                  <w:tcW w:w="686" w:type="pct"/>
                  <w:gridSpan w:val="3"/>
                  <w:shd w:val="clear" w:color="auto" w:fill="FFFFFF" w:themeFill="background1"/>
                  <w:vAlign w:val="center"/>
                </w:tcPr>
                <w:p w14:paraId="5C75FEE4">
                  <w:pPr>
                    <w:pStyle w:val="31"/>
                  </w:pPr>
                  <w:r>
                    <w:t>空间相对位置/m</w:t>
                  </w:r>
                </w:p>
              </w:tc>
              <w:tc>
                <w:tcPr>
                  <w:tcW w:w="266" w:type="pct"/>
                  <w:vMerge w:val="restart"/>
                  <w:shd w:val="clear" w:color="auto" w:fill="FFFFFF" w:themeFill="background1"/>
                  <w:vAlign w:val="center"/>
                </w:tcPr>
                <w:p w14:paraId="35C04AD1">
                  <w:pPr>
                    <w:pStyle w:val="31"/>
                  </w:pPr>
                  <w:r>
                    <w:t>距室内边界距离/m</w:t>
                  </w:r>
                </w:p>
              </w:tc>
              <w:tc>
                <w:tcPr>
                  <w:tcW w:w="383" w:type="pct"/>
                  <w:vMerge w:val="restart"/>
                  <w:shd w:val="clear" w:color="auto" w:fill="FFFFFF" w:themeFill="background1"/>
                  <w:vAlign w:val="center"/>
                </w:tcPr>
                <w:p w14:paraId="2D031389">
                  <w:pPr>
                    <w:pStyle w:val="31"/>
                  </w:pPr>
                  <w:r>
                    <w:t>室内边界声级/dB(A)</w:t>
                  </w:r>
                </w:p>
              </w:tc>
              <w:tc>
                <w:tcPr>
                  <w:tcW w:w="167" w:type="pct"/>
                  <w:vMerge w:val="restart"/>
                  <w:shd w:val="clear" w:color="auto" w:fill="FFFFFF" w:themeFill="background1"/>
                  <w:vAlign w:val="center"/>
                </w:tcPr>
                <w:p w14:paraId="6A113FEA">
                  <w:pPr>
                    <w:pStyle w:val="31"/>
                  </w:pPr>
                  <w:r>
                    <w:t>运行时段</w:t>
                  </w:r>
                </w:p>
              </w:tc>
              <w:tc>
                <w:tcPr>
                  <w:tcW w:w="407" w:type="pct"/>
                  <w:vMerge w:val="restart"/>
                  <w:shd w:val="clear" w:color="auto" w:fill="FFFFFF" w:themeFill="background1"/>
                  <w:vAlign w:val="center"/>
                </w:tcPr>
                <w:p w14:paraId="32CDE959">
                  <w:pPr>
                    <w:pStyle w:val="31"/>
                  </w:pPr>
                  <w:r>
                    <w:t>建筑物插入损失/dB(A)</w:t>
                  </w:r>
                </w:p>
              </w:tc>
              <w:tc>
                <w:tcPr>
                  <w:tcW w:w="542" w:type="pct"/>
                  <w:gridSpan w:val="2"/>
                  <w:shd w:val="clear" w:color="auto" w:fill="FFFFFF" w:themeFill="background1"/>
                  <w:vAlign w:val="center"/>
                </w:tcPr>
                <w:p w14:paraId="207DC00B">
                  <w:pPr>
                    <w:pStyle w:val="31"/>
                  </w:pPr>
                  <w:r>
                    <w:t>建筑物外噪声</w:t>
                  </w:r>
                </w:p>
              </w:tc>
            </w:tr>
            <w:tr w14:paraId="47068F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trHeight w:val="1205" w:hRule="atLeast"/>
                <w:jc w:val="center"/>
              </w:trPr>
              <w:tc>
                <w:tcPr>
                  <w:tcW w:w="119" w:type="pct"/>
                  <w:vMerge w:val="continue"/>
                  <w:shd w:val="clear" w:color="auto" w:fill="FFFFFF" w:themeFill="background1"/>
                  <w:vAlign w:val="center"/>
                </w:tcPr>
                <w:p w14:paraId="2D45C341">
                  <w:pPr>
                    <w:pStyle w:val="31"/>
                  </w:pPr>
                </w:p>
              </w:tc>
              <w:tc>
                <w:tcPr>
                  <w:tcW w:w="191" w:type="pct"/>
                  <w:vMerge w:val="continue"/>
                  <w:shd w:val="clear" w:color="auto" w:fill="FFFFFF" w:themeFill="background1"/>
                  <w:vAlign w:val="center"/>
                </w:tcPr>
                <w:p w14:paraId="68606C47">
                  <w:pPr>
                    <w:pStyle w:val="31"/>
                  </w:pPr>
                </w:p>
              </w:tc>
              <w:tc>
                <w:tcPr>
                  <w:tcW w:w="569" w:type="pct"/>
                  <w:vMerge w:val="continue"/>
                  <w:shd w:val="clear" w:color="auto" w:fill="FFFFFF" w:themeFill="background1"/>
                  <w:vAlign w:val="center"/>
                </w:tcPr>
                <w:p w14:paraId="5626CD90">
                  <w:pPr>
                    <w:pStyle w:val="31"/>
                  </w:pPr>
                </w:p>
              </w:tc>
              <w:tc>
                <w:tcPr>
                  <w:tcW w:w="465" w:type="pct"/>
                  <w:shd w:val="clear" w:color="auto" w:fill="FFFFFF" w:themeFill="background1"/>
                  <w:vAlign w:val="center"/>
                </w:tcPr>
                <w:p w14:paraId="29A8EB20">
                  <w:pPr>
                    <w:pStyle w:val="31"/>
                  </w:pPr>
                  <w:r>
                    <w:t>声压级（1m）dB(A)</w:t>
                  </w:r>
                </w:p>
              </w:tc>
              <w:tc>
                <w:tcPr>
                  <w:tcW w:w="210" w:type="pct"/>
                  <w:shd w:val="clear" w:color="auto" w:fill="FFFFFF" w:themeFill="background1"/>
                  <w:vAlign w:val="center"/>
                </w:tcPr>
                <w:p w14:paraId="5050EDFC">
                  <w:pPr>
                    <w:pStyle w:val="31"/>
                  </w:pPr>
                  <w:r>
                    <w:rPr>
                      <w:rFonts w:hint="eastAsia"/>
                    </w:rPr>
                    <w:t>数量/台</w:t>
                  </w:r>
                </w:p>
              </w:tc>
              <w:tc>
                <w:tcPr>
                  <w:tcW w:w="370" w:type="pct"/>
                  <w:shd w:val="clear" w:color="auto" w:fill="FFFFFF" w:themeFill="background1"/>
                  <w:vAlign w:val="center"/>
                </w:tcPr>
                <w:p w14:paraId="4BC6C1B3">
                  <w:pPr>
                    <w:pStyle w:val="31"/>
                  </w:pPr>
                  <w:r>
                    <w:rPr>
                      <w:rFonts w:hint="eastAsia"/>
                    </w:rPr>
                    <w:t>叠加后生功率级</w:t>
                  </w:r>
                  <w:r>
                    <w:t>dB(A)</w:t>
                  </w:r>
                </w:p>
              </w:tc>
              <w:tc>
                <w:tcPr>
                  <w:tcW w:w="625" w:type="pct"/>
                  <w:vMerge w:val="continue"/>
                  <w:shd w:val="clear" w:color="auto" w:fill="FFFFFF" w:themeFill="background1"/>
                  <w:vAlign w:val="center"/>
                </w:tcPr>
                <w:p w14:paraId="2301D21C">
                  <w:pPr>
                    <w:pStyle w:val="31"/>
                  </w:pPr>
                </w:p>
              </w:tc>
              <w:tc>
                <w:tcPr>
                  <w:tcW w:w="259" w:type="pct"/>
                  <w:shd w:val="clear" w:color="auto" w:fill="FFFFFF" w:themeFill="background1"/>
                  <w:vAlign w:val="center"/>
                </w:tcPr>
                <w:p w14:paraId="17E64D19">
                  <w:pPr>
                    <w:pStyle w:val="31"/>
                  </w:pPr>
                  <w:r>
                    <w:t>X</w:t>
                  </w:r>
                </w:p>
              </w:tc>
              <w:tc>
                <w:tcPr>
                  <w:tcW w:w="341" w:type="pct"/>
                  <w:shd w:val="clear" w:color="auto" w:fill="FFFFFF" w:themeFill="background1"/>
                  <w:vAlign w:val="center"/>
                </w:tcPr>
                <w:p w14:paraId="79287226">
                  <w:pPr>
                    <w:pStyle w:val="31"/>
                  </w:pPr>
                  <w:r>
                    <w:t>Y</w:t>
                  </w:r>
                </w:p>
              </w:tc>
              <w:tc>
                <w:tcPr>
                  <w:tcW w:w="86" w:type="pct"/>
                  <w:shd w:val="clear" w:color="auto" w:fill="FFFFFF" w:themeFill="background1"/>
                  <w:vAlign w:val="center"/>
                </w:tcPr>
                <w:p w14:paraId="1FB0133E">
                  <w:pPr>
                    <w:pStyle w:val="31"/>
                  </w:pPr>
                  <w:r>
                    <w:t>Z</w:t>
                  </w:r>
                </w:p>
              </w:tc>
              <w:tc>
                <w:tcPr>
                  <w:tcW w:w="266" w:type="pct"/>
                  <w:vMerge w:val="continue"/>
                  <w:shd w:val="clear" w:color="auto" w:fill="FFFFFF" w:themeFill="background1"/>
                  <w:vAlign w:val="center"/>
                </w:tcPr>
                <w:p w14:paraId="40DEF9AE">
                  <w:pPr>
                    <w:pStyle w:val="31"/>
                  </w:pPr>
                </w:p>
              </w:tc>
              <w:tc>
                <w:tcPr>
                  <w:tcW w:w="383" w:type="pct"/>
                  <w:vMerge w:val="continue"/>
                  <w:shd w:val="clear" w:color="auto" w:fill="FFFFFF" w:themeFill="background1"/>
                  <w:vAlign w:val="center"/>
                </w:tcPr>
                <w:p w14:paraId="451D5EFA">
                  <w:pPr>
                    <w:pStyle w:val="31"/>
                  </w:pPr>
                </w:p>
              </w:tc>
              <w:tc>
                <w:tcPr>
                  <w:tcW w:w="167" w:type="pct"/>
                  <w:vMerge w:val="continue"/>
                  <w:shd w:val="clear" w:color="auto" w:fill="FFFFFF" w:themeFill="background1"/>
                  <w:vAlign w:val="center"/>
                </w:tcPr>
                <w:p w14:paraId="12D183B3">
                  <w:pPr>
                    <w:pStyle w:val="31"/>
                  </w:pPr>
                </w:p>
              </w:tc>
              <w:tc>
                <w:tcPr>
                  <w:tcW w:w="407" w:type="pct"/>
                  <w:vMerge w:val="continue"/>
                  <w:shd w:val="clear" w:color="auto" w:fill="FFFFFF" w:themeFill="background1"/>
                  <w:vAlign w:val="center"/>
                </w:tcPr>
                <w:p w14:paraId="0AB62C91">
                  <w:pPr>
                    <w:pStyle w:val="31"/>
                  </w:pPr>
                </w:p>
              </w:tc>
              <w:tc>
                <w:tcPr>
                  <w:tcW w:w="313" w:type="pct"/>
                  <w:shd w:val="clear" w:color="auto" w:fill="FFFFFF" w:themeFill="background1"/>
                  <w:vAlign w:val="center"/>
                </w:tcPr>
                <w:p w14:paraId="09D8758B">
                  <w:pPr>
                    <w:pStyle w:val="31"/>
                  </w:pPr>
                  <w:r>
                    <w:t>声压级/dB(A)</w:t>
                  </w:r>
                </w:p>
              </w:tc>
              <w:tc>
                <w:tcPr>
                  <w:tcW w:w="229" w:type="pct"/>
                  <w:shd w:val="clear" w:color="auto" w:fill="FFFFFF" w:themeFill="background1"/>
                  <w:vAlign w:val="center"/>
                </w:tcPr>
                <w:p w14:paraId="5022182E">
                  <w:pPr>
                    <w:pStyle w:val="31"/>
                  </w:pPr>
                  <w:r>
                    <w:t>建筑物外距离</w:t>
                  </w:r>
                </w:p>
              </w:tc>
            </w:tr>
            <w:tr w14:paraId="438FE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jc w:val="center"/>
              </w:trPr>
              <w:tc>
                <w:tcPr>
                  <w:tcW w:w="119" w:type="pct"/>
                  <w:vMerge w:val="restart"/>
                  <w:shd w:val="clear" w:color="auto" w:fill="FFFFFF" w:themeFill="background1"/>
                  <w:vAlign w:val="center"/>
                </w:tcPr>
                <w:p w14:paraId="61CA652E">
                  <w:pPr>
                    <w:pStyle w:val="31"/>
                  </w:pPr>
                  <w:r>
                    <w:rPr>
                      <w:rFonts w:hint="eastAsia"/>
                    </w:rPr>
                    <w:t>1</w:t>
                  </w:r>
                </w:p>
              </w:tc>
              <w:tc>
                <w:tcPr>
                  <w:tcW w:w="191" w:type="pct"/>
                  <w:vMerge w:val="restart"/>
                  <w:shd w:val="clear" w:color="auto" w:fill="FFFFFF" w:themeFill="background1"/>
                  <w:vAlign w:val="center"/>
                </w:tcPr>
                <w:p w14:paraId="2C9889A0">
                  <w:pPr>
                    <w:pStyle w:val="31"/>
                  </w:pPr>
                  <w:r>
                    <w:rPr>
                      <w:rFonts w:hint="eastAsia"/>
                    </w:rPr>
                    <w:t>锅炉房</w:t>
                  </w:r>
                </w:p>
              </w:tc>
              <w:tc>
                <w:tcPr>
                  <w:tcW w:w="569" w:type="pct"/>
                  <w:shd w:val="clear" w:color="auto" w:fill="FFFFFF" w:themeFill="background1"/>
                  <w:noWrap/>
                  <w:vAlign w:val="center"/>
                </w:tcPr>
                <w:p w14:paraId="72E498E3">
                  <w:pPr>
                    <w:pStyle w:val="31"/>
                  </w:pPr>
                  <w:r>
                    <w:rPr>
                      <w:rFonts w:hint="eastAsia"/>
                    </w:rPr>
                    <w:t>生物气质化炉</w:t>
                  </w:r>
                </w:p>
              </w:tc>
              <w:tc>
                <w:tcPr>
                  <w:tcW w:w="465" w:type="pct"/>
                  <w:shd w:val="clear" w:color="auto" w:fill="FFFFFF" w:themeFill="background1"/>
                  <w:noWrap/>
                  <w:vAlign w:val="center"/>
                </w:tcPr>
                <w:p w14:paraId="46CA2D88">
                  <w:pPr>
                    <w:pStyle w:val="31"/>
                  </w:pPr>
                  <w:r>
                    <w:rPr>
                      <w:rFonts w:hint="eastAsia"/>
                    </w:rPr>
                    <w:t>75</w:t>
                  </w:r>
                </w:p>
              </w:tc>
              <w:tc>
                <w:tcPr>
                  <w:tcW w:w="210" w:type="pct"/>
                  <w:shd w:val="clear" w:color="auto" w:fill="FFFFFF" w:themeFill="background1"/>
                  <w:vAlign w:val="center"/>
                </w:tcPr>
                <w:p w14:paraId="554197FE">
                  <w:pPr>
                    <w:pStyle w:val="31"/>
                  </w:pPr>
                  <w:r>
                    <w:rPr>
                      <w:rFonts w:hint="eastAsia"/>
                    </w:rPr>
                    <w:t>4</w:t>
                  </w:r>
                </w:p>
              </w:tc>
              <w:tc>
                <w:tcPr>
                  <w:tcW w:w="370" w:type="pct"/>
                  <w:shd w:val="clear" w:color="auto" w:fill="FFFFFF" w:themeFill="background1"/>
                  <w:vAlign w:val="center"/>
                </w:tcPr>
                <w:p w14:paraId="5070C017">
                  <w:pPr>
                    <w:pStyle w:val="31"/>
                  </w:pPr>
                  <w:r>
                    <w:rPr>
                      <w:rFonts w:hint="eastAsia"/>
                    </w:rPr>
                    <w:t>81.0</w:t>
                  </w:r>
                </w:p>
              </w:tc>
              <w:tc>
                <w:tcPr>
                  <w:tcW w:w="625" w:type="pct"/>
                  <w:vMerge w:val="restart"/>
                  <w:shd w:val="clear" w:color="auto" w:fill="FFFFFF" w:themeFill="background1"/>
                  <w:vAlign w:val="center"/>
                </w:tcPr>
                <w:p w14:paraId="108623E0">
                  <w:pPr>
                    <w:pStyle w:val="31"/>
                  </w:pPr>
                  <w:r>
                    <w:rPr>
                      <w:rFonts w:hint="eastAsia"/>
                    </w:rPr>
                    <w:t>底座安装减震垫；合理布局；厂房隔音；加强维护保养</w:t>
                  </w:r>
                  <w:r>
                    <w:t>。</w:t>
                  </w:r>
                </w:p>
              </w:tc>
              <w:tc>
                <w:tcPr>
                  <w:tcW w:w="259" w:type="pct"/>
                  <w:shd w:val="clear" w:color="auto" w:fill="FFFFFF" w:themeFill="background1"/>
                  <w:noWrap/>
                  <w:vAlign w:val="center"/>
                </w:tcPr>
                <w:p w14:paraId="051B02F9">
                  <w:pPr>
                    <w:pStyle w:val="31"/>
                  </w:pPr>
                  <w:r>
                    <w:rPr>
                      <w:rFonts w:hint="eastAsia"/>
                    </w:rPr>
                    <w:t>210</w:t>
                  </w:r>
                </w:p>
              </w:tc>
              <w:tc>
                <w:tcPr>
                  <w:tcW w:w="341" w:type="pct"/>
                  <w:shd w:val="clear" w:color="auto" w:fill="FFFFFF" w:themeFill="background1"/>
                  <w:noWrap/>
                  <w:vAlign w:val="center"/>
                </w:tcPr>
                <w:p w14:paraId="784DBF94">
                  <w:pPr>
                    <w:pStyle w:val="31"/>
                  </w:pPr>
                  <w:r>
                    <w:rPr>
                      <w:rFonts w:hint="eastAsia"/>
                    </w:rPr>
                    <w:t>100</w:t>
                  </w:r>
                </w:p>
              </w:tc>
              <w:tc>
                <w:tcPr>
                  <w:tcW w:w="86" w:type="pct"/>
                  <w:shd w:val="clear" w:color="auto" w:fill="FFFFFF" w:themeFill="background1"/>
                  <w:vAlign w:val="center"/>
                </w:tcPr>
                <w:p w14:paraId="59BB88A6">
                  <w:pPr>
                    <w:pStyle w:val="31"/>
                  </w:pPr>
                  <w:r>
                    <w:rPr>
                      <w:rFonts w:hint="eastAsia"/>
                    </w:rPr>
                    <w:t>3</w:t>
                  </w:r>
                </w:p>
              </w:tc>
              <w:tc>
                <w:tcPr>
                  <w:tcW w:w="266" w:type="pct"/>
                  <w:shd w:val="clear" w:color="auto" w:fill="FFFFFF" w:themeFill="background1"/>
                  <w:vAlign w:val="center"/>
                </w:tcPr>
                <w:p w14:paraId="0A763A20">
                  <w:pPr>
                    <w:pStyle w:val="31"/>
                  </w:pPr>
                  <w:r>
                    <w:rPr>
                      <w:rFonts w:hint="eastAsia"/>
                    </w:rPr>
                    <w:t>25</w:t>
                  </w:r>
                </w:p>
              </w:tc>
              <w:tc>
                <w:tcPr>
                  <w:tcW w:w="383" w:type="pct"/>
                  <w:shd w:val="clear" w:color="auto" w:fill="FFFFFF" w:themeFill="background1"/>
                  <w:noWrap/>
                  <w:vAlign w:val="center"/>
                </w:tcPr>
                <w:p w14:paraId="74A08DBA">
                  <w:pPr>
                    <w:pStyle w:val="31"/>
                  </w:pPr>
                  <w:r>
                    <w:rPr>
                      <w:rFonts w:hint="eastAsia"/>
                    </w:rPr>
                    <w:t>53.0</w:t>
                  </w:r>
                </w:p>
              </w:tc>
              <w:tc>
                <w:tcPr>
                  <w:tcW w:w="167" w:type="pct"/>
                  <w:vMerge w:val="restart"/>
                  <w:shd w:val="clear" w:color="auto" w:fill="FFFFFF" w:themeFill="background1"/>
                  <w:vAlign w:val="center"/>
                </w:tcPr>
                <w:p w14:paraId="4E6A09F0">
                  <w:pPr>
                    <w:pStyle w:val="31"/>
                  </w:pPr>
                  <w:r>
                    <w:t>昼</w:t>
                  </w:r>
                  <w:r>
                    <w:rPr>
                      <w:rFonts w:hint="eastAsia"/>
                    </w:rPr>
                    <w:t>夜</w:t>
                  </w:r>
                </w:p>
              </w:tc>
              <w:tc>
                <w:tcPr>
                  <w:tcW w:w="407" w:type="pct"/>
                  <w:shd w:val="clear" w:color="auto" w:fill="FFFFFF" w:themeFill="background1"/>
                  <w:vAlign w:val="center"/>
                </w:tcPr>
                <w:p w14:paraId="550C0F48">
                  <w:pPr>
                    <w:pStyle w:val="31"/>
                  </w:pPr>
                  <w:r>
                    <w:rPr>
                      <w:rFonts w:hint="eastAsia"/>
                    </w:rPr>
                    <w:t>2</w:t>
                  </w:r>
                  <w:r>
                    <w:t>0</w:t>
                  </w:r>
                </w:p>
              </w:tc>
              <w:tc>
                <w:tcPr>
                  <w:tcW w:w="313" w:type="pct"/>
                  <w:shd w:val="clear" w:color="auto" w:fill="FFFFFF" w:themeFill="background1"/>
                  <w:vAlign w:val="center"/>
                </w:tcPr>
                <w:p w14:paraId="4AB327DB">
                  <w:pPr>
                    <w:pStyle w:val="31"/>
                  </w:pPr>
                  <w:r>
                    <w:t>61.0</w:t>
                  </w:r>
                </w:p>
              </w:tc>
              <w:tc>
                <w:tcPr>
                  <w:tcW w:w="229" w:type="pct"/>
                  <w:vMerge w:val="restart"/>
                  <w:shd w:val="clear" w:color="auto" w:fill="FFFFFF" w:themeFill="background1"/>
                  <w:vAlign w:val="center"/>
                </w:tcPr>
                <w:p w14:paraId="560CC936">
                  <w:pPr>
                    <w:pStyle w:val="31"/>
                  </w:pPr>
                  <w:r>
                    <w:t>1m</w:t>
                  </w:r>
                </w:p>
              </w:tc>
            </w:tr>
            <w:tr w14:paraId="392271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jc w:val="center"/>
              </w:trPr>
              <w:tc>
                <w:tcPr>
                  <w:tcW w:w="119" w:type="pct"/>
                  <w:vMerge w:val="continue"/>
                  <w:shd w:val="clear" w:color="auto" w:fill="FFFFFF" w:themeFill="background1"/>
                  <w:vAlign w:val="center"/>
                </w:tcPr>
                <w:p w14:paraId="03E36435">
                  <w:pPr>
                    <w:pStyle w:val="31"/>
                  </w:pPr>
                </w:p>
              </w:tc>
              <w:tc>
                <w:tcPr>
                  <w:tcW w:w="191" w:type="pct"/>
                  <w:vMerge w:val="continue"/>
                  <w:shd w:val="clear" w:color="auto" w:fill="FFFFFF" w:themeFill="background1"/>
                  <w:vAlign w:val="center"/>
                </w:tcPr>
                <w:p w14:paraId="4587F7E8">
                  <w:pPr>
                    <w:pStyle w:val="31"/>
                  </w:pPr>
                </w:p>
              </w:tc>
              <w:tc>
                <w:tcPr>
                  <w:tcW w:w="569" w:type="pct"/>
                  <w:shd w:val="clear" w:color="auto" w:fill="FFFFFF" w:themeFill="background1"/>
                  <w:noWrap/>
                  <w:vAlign w:val="center"/>
                </w:tcPr>
                <w:p w14:paraId="0C3E5108">
                  <w:pPr>
                    <w:pStyle w:val="31"/>
                    <w:rPr>
                      <w:szCs w:val="21"/>
                    </w:rPr>
                  </w:pPr>
                  <w:r>
                    <w:rPr>
                      <w:rFonts w:hint="eastAsia"/>
                    </w:rPr>
                    <w:t>生物质燃气锅炉</w:t>
                  </w:r>
                </w:p>
              </w:tc>
              <w:tc>
                <w:tcPr>
                  <w:tcW w:w="465" w:type="pct"/>
                  <w:shd w:val="clear" w:color="auto" w:fill="FFFFFF" w:themeFill="background1"/>
                  <w:noWrap/>
                  <w:vAlign w:val="center"/>
                </w:tcPr>
                <w:p w14:paraId="4DB759E6">
                  <w:pPr>
                    <w:pStyle w:val="31"/>
                  </w:pPr>
                  <w:r>
                    <w:rPr>
                      <w:rFonts w:hint="eastAsia"/>
                    </w:rPr>
                    <w:t>80</w:t>
                  </w:r>
                </w:p>
              </w:tc>
              <w:tc>
                <w:tcPr>
                  <w:tcW w:w="210" w:type="pct"/>
                  <w:shd w:val="clear" w:color="auto" w:fill="FFFFFF" w:themeFill="background1"/>
                  <w:vAlign w:val="center"/>
                </w:tcPr>
                <w:p w14:paraId="0E00BD07">
                  <w:pPr>
                    <w:pStyle w:val="31"/>
                  </w:pPr>
                  <w:r>
                    <w:rPr>
                      <w:rFonts w:hint="eastAsia"/>
                    </w:rPr>
                    <w:t>4</w:t>
                  </w:r>
                </w:p>
              </w:tc>
              <w:tc>
                <w:tcPr>
                  <w:tcW w:w="370" w:type="pct"/>
                  <w:shd w:val="clear" w:color="auto" w:fill="FFFFFF" w:themeFill="background1"/>
                  <w:vAlign w:val="center"/>
                </w:tcPr>
                <w:p w14:paraId="4D605B4E">
                  <w:pPr>
                    <w:pStyle w:val="31"/>
                  </w:pPr>
                  <w:r>
                    <w:rPr>
                      <w:rFonts w:hint="eastAsia"/>
                    </w:rPr>
                    <w:t>86.0</w:t>
                  </w:r>
                </w:p>
              </w:tc>
              <w:tc>
                <w:tcPr>
                  <w:tcW w:w="625" w:type="pct"/>
                  <w:vMerge w:val="continue"/>
                  <w:shd w:val="clear" w:color="auto" w:fill="FFFFFF" w:themeFill="background1"/>
                  <w:vAlign w:val="center"/>
                </w:tcPr>
                <w:p w14:paraId="049BAE29">
                  <w:pPr>
                    <w:pStyle w:val="31"/>
                  </w:pPr>
                </w:p>
              </w:tc>
              <w:tc>
                <w:tcPr>
                  <w:tcW w:w="259" w:type="pct"/>
                  <w:shd w:val="clear" w:color="auto" w:fill="FFFFFF" w:themeFill="background1"/>
                  <w:noWrap/>
                  <w:vAlign w:val="center"/>
                </w:tcPr>
                <w:p w14:paraId="637500CE">
                  <w:pPr>
                    <w:pStyle w:val="31"/>
                  </w:pPr>
                  <w:r>
                    <w:rPr>
                      <w:rFonts w:hint="eastAsia"/>
                    </w:rPr>
                    <w:t>220</w:t>
                  </w:r>
                </w:p>
              </w:tc>
              <w:tc>
                <w:tcPr>
                  <w:tcW w:w="341" w:type="pct"/>
                  <w:shd w:val="clear" w:color="auto" w:fill="FFFFFF" w:themeFill="background1"/>
                  <w:noWrap/>
                  <w:vAlign w:val="center"/>
                </w:tcPr>
                <w:p w14:paraId="1AACDB98">
                  <w:pPr>
                    <w:pStyle w:val="31"/>
                  </w:pPr>
                  <w:r>
                    <w:rPr>
                      <w:rFonts w:hint="eastAsia"/>
                    </w:rPr>
                    <w:t>120</w:t>
                  </w:r>
                </w:p>
              </w:tc>
              <w:tc>
                <w:tcPr>
                  <w:tcW w:w="86" w:type="pct"/>
                  <w:shd w:val="clear" w:color="auto" w:fill="FFFFFF" w:themeFill="background1"/>
                  <w:vAlign w:val="center"/>
                </w:tcPr>
                <w:p w14:paraId="74711A40">
                  <w:pPr>
                    <w:pStyle w:val="31"/>
                  </w:pPr>
                  <w:r>
                    <w:rPr>
                      <w:rFonts w:hint="eastAsia"/>
                    </w:rPr>
                    <w:t>5</w:t>
                  </w:r>
                </w:p>
              </w:tc>
              <w:tc>
                <w:tcPr>
                  <w:tcW w:w="266" w:type="pct"/>
                  <w:shd w:val="clear" w:color="auto" w:fill="FFFFFF" w:themeFill="background1"/>
                  <w:vAlign w:val="center"/>
                </w:tcPr>
                <w:p w14:paraId="320906C2">
                  <w:pPr>
                    <w:pStyle w:val="31"/>
                  </w:pPr>
                  <w:r>
                    <w:rPr>
                      <w:rFonts w:hint="eastAsia"/>
                    </w:rPr>
                    <w:t>35</w:t>
                  </w:r>
                </w:p>
              </w:tc>
              <w:tc>
                <w:tcPr>
                  <w:tcW w:w="383" w:type="pct"/>
                  <w:shd w:val="clear" w:color="auto" w:fill="FFFFFF" w:themeFill="background1"/>
                  <w:noWrap/>
                  <w:vAlign w:val="center"/>
                </w:tcPr>
                <w:p w14:paraId="1F54FD8C">
                  <w:pPr>
                    <w:pStyle w:val="31"/>
                  </w:pPr>
                  <w:r>
                    <w:rPr>
                      <w:rFonts w:hint="eastAsia"/>
                    </w:rPr>
                    <w:t>55.1</w:t>
                  </w:r>
                </w:p>
              </w:tc>
              <w:tc>
                <w:tcPr>
                  <w:tcW w:w="167" w:type="pct"/>
                  <w:vMerge w:val="continue"/>
                  <w:shd w:val="clear" w:color="auto" w:fill="FFFFFF" w:themeFill="background1"/>
                  <w:vAlign w:val="center"/>
                </w:tcPr>
                <w:p w14:paraId="1A8F98C3">
                  <w:pPr>
                    <w:pStyle w:val="31"/>
                  </w:pPr>
                </w:p>
              </w:tc>
              <w:tc>
                <w:tcPr>
                  <w:tcW w:w="407" w:type="pct"/>
                  <w:shd w:val="clear" w:color="auto" w:fill="FFFFFF" w:themeFill="background1"/>
                  <w:vAlign w:val="center"/>
                </w:tcPr>
                <w:p w14:paraId="11E42D76">
                  <w:pPr>
                    <w:pStyle w:val="31"/>
                  </w:pPr>
                  <w:r>
                    <w:rPr>
                      <w:rFonts w:hint="eastAsia"/>
                    </w:rPr>
                    <w:t>2</w:t>
                  </w:r>
                  <w:r>
                    <w:t>0</w:t>
                  </w:r>
                </w:p>
              </w:tc>
              <w:tc>
                <w:tcPr>
                  <w:tcW w:w="313" w:type="pct"/>
                  <w:shd w:val="clear" w:color="auto" w:fill="FFFFFF" w:themeFill="background1"/>
                  <w:vAlign w:val="center"/>
                </w:tcPr>
                <w:p w14:paraId="79B0B951">
                  <w:pPr>
                    <w:pStyle w:val="31"/>
                  </w:pPr>
                  <w:r>
                    <w:t>66.0</w:t>
                  </w:r>
                </w:p>
              </w:tc>
              <w:tc>
                <w:tcPr>
                  <w:tcW w:w="229" w:type="pct"/>
                  <w:vMerge w:val="continue"/>
                  <w:shd w:val="clear" w:color="auto" w:fill="FFFFFF" w:themeFill="background1"/>
                  <w:vAlign w:val="center"/>
                </w:tcPr>
                <w:p w14:paraId="0BC25423">
                  <w:pPr>
                    <w:pStyle w:val="31"/>
                  </w:pPr>
                </w:p>
              </w:tc>
            </w:tr>
          </w:tbl>
          <w:p w14:paraId="797C0EB6">
            <w:pPr>
              <w:pStyle w:val="43"/>
            </w:pPr>
            <w:r>
              <w:rPr>
                <w:rFonts w:hint="eastAsia"/>
              </w:rPr>
              <w:t xml:space="preserve">  工业企业噪声源强调查清单（室外声源）</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Layout w:type="autofit"/>
              <w:tblCellMar>
                <w:top w:w="0" w:type="dxa"/>
                <w:left w:w="28" w:type="dxa"/>
                <w:bottom w:w="0" w:type="dxa"/>
                <w:right w:w="28" w:type="dxa"/>
              </w:tblCellMar>
            </w:tblPr>
            <w:tblGrid>
              <w:gridCol w:w="476"/>
              <w:gridCol w:w="1736"/>
              <w:gridCol w:w="2554"/>
              <w:gridCol w:w="1134"/>
              <w:gridCol w:w="2410"/>
              <w:gridCol w:w="425"/>
              <w:gridCol w:w="839"/>
              <w:gridCol w:w="1146"/>
              <w:gridCol w:w="1559"/>
              <w:gridCol w:w="1168"/>
            </w:tblGrid>
            <w:tr w14:paraId="6A932F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vMerge w:val="restart"/>
                  <w:shd w:val="clear" w:color="auto" w:fill="FFFFFF" w:themeFill="background1"/>
                  <w:vAlign w:val="center"/>
                </w:tcPr>
                <w:p w14:paraId="274D5C79">
                  <w:pPr>
                    <w:pStyle w:val="31"/>
                  </w:pPr>
                  <w:r>
                    <w:t>序号</w:t>
                  </w:r>
                </w:p>
              </w:tc>
              <w:tc>
                <w:tcPr>
                  <w:tcW w:w="0" w:type="auto"/>
                  <w:vMerge w:val="restart"/>
                  <w:shd w:val="clear" w:color="auto" w:fill="FFFFFF" w:themeFill="background1"/>
                  <w:vAlign w:val="center"/>
                </w:tcPr>
                <w:p w14:paraId="5DE14747">
                  <w:pPr>
                    <w:pStyle w:val="31"/>
                  </w:pPr>
                  <w:r>
                    <w:t>声源名称</w:t>
                  </w:r>
                </w:p>
              </w:tc>
              <w:tc>
                <w:tcPr>
                  <w:tcW w:w="6098" w:type="dxa"/>
                  <w:gridSpan w:val="3"/>
                  <w:shd w:val="clear" w:color="auto" w:fill="FFFFFF" w:themeFill="background1"/>
                  <w:vAlign w:val="center"/>
                </w:tcPr>
                <w:p w14:paraId="267846E9">
                  <w:pPr>
                    <w:pStyle w:val="31"/>
                  </w:pPr>
                  <w:r>
                    <w:t>声源源强</w:t>
                  </w:r>
                </w:p>
              </w:tc>
              <w:tc>
                <w:tcPr>
                  <w:tcW w:w="2410" w:type="dxa"/>
                  <w:gridSpan w:val="3"/>
                  <w:shd w:val="clear" w:color="auto" w:fill="FFFFFF" w:themeFill="background1"/>
                  <w:vAlign w:val="center"/>
                </w:tcPr>
                <w:p w14:paraId="6F45237F">
                  <w:pPr>
                    <w:pStyle w:val="31"/>
                  </w:pPr>
                  <w:r>
                    <w:t>空间相对位置/m</w:t>
                  </w:r>
                </w:p>
              </w:tc>
              <w:tc>
                <w:tcPr>
                  <w:tcW w:w="1559" w:type="dxa"/>
                  <w:vMerge w:val="restart"/>
                  <w:shd w:val="clear" w:color="auto" w:fill="FFFFFF" w:themeFill="background1"/>
                  <w:vAlign w:val="center"/>
                </w:tcPr>
                <w:p w14:paraId="4A6FAA95">
                  <w:pPr>
                    <w:pStyle w:val="31"/>
                  </w:pPr>
                  <w:r>
                    <w:rPr>
                      <w:rFonts w:hint="eastAsia"/>
                    </w:rPr>
                    <w:t>声源控制措施</w:t>
                  </w:r>
                </w:p>
              </w:tc>
              <w:tc>
                <w:tcPr>
                  <w:tcW w:w="1168" w:type="dxa"/>
                  <w:vMerge w:val="restart"/>
                  <w:shd w:val="clear" w:color="auto" w:fill="FFFFFF" w:themeFill="background1"/>
                  <w:vAlign w:val="center"/>
                </w:tcPr>
                <w:p w14:paraId="38F00240">
                  <w:pPr>
                    <w:pStyle w:val="31"/>
                  </w:pPr>
                  <w:r>
                    <w:t>运行时段</w:t>
                  </w:r>
                </w:p>
              </w:tc>
            </w:tr>
            <w:tr w14:paraId="7EE93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jc w:val="center"/>
              </w:trPr>
              <w:tc>
                <w:tcPr>
                  <w:tcW w:w="0" w:type="auto"/>
                  <w:vMerge w:val="continue"/>
                  <w:shd w:val="clear" w:color="auto" w:fill="FFFFFF" w:themeFill="background1"/>
                  <w:vAlign w:val="center"/>
                </w:tcPr>
                <w:p w14:paraId="2B86FBEA">
                  <w:pPr>
                    <w:pStyle w:val="31"/>
                  </w:pPr>
                </w:p>
              </w:tc>
              <w:tc>
                <w:tcPr>
                  <w:tcW w:w="0" w:type="auto"/>
                  <w:vMerge w:val="continue"/>
                  <w:shd w:val="clear" w:color="auto" w:fill="FFFFFF" w:themeFill="background1"/>
                  <w:vAlign w:val="center"/>
                </w:tcPr>
                <w:p w14:paraId="747B1CEB">
                  <w:pPr>
                    <w:pStyle w:val="31"/>
                  </w:pPr>
                </w:p>
              </w:tc>
              <w:tc>
                <w:tcPr>
                  <w:tcW w:w="2554" w:type="dxa"/>
                  <w:shd w:val="clear" w:color="auto" w:fill="FFFFFF" w:themeFill="background1"/>
                  <w:vAlign w:val="center"/>
                </w:tcPr>
                <w:p w14:paraId="32114634">
                  <w:pPr>
                    <w:pStyle w:val="31"/>
                  </w:pPr>
                  <w:r>
                    <w:t>声功压级（1m）dB(A)</w:t>
                  </w:r>
                </w:p>
              </w:tc>
              <w:tc>
                <w:tcPr>
                  <w:tcW w:w="1134" w:type="dxa"/>
                  <w:shd w:val="clear" w:color="auto" w:fill="FFFFFF" w:themeFill="background1"/>
                  <w:vAlign w:val="center"/>
                </w:tcPr>
                <w:p w14:paraId="5BBF02D8">
                  <w:pPr>
                    <w:pStyle w:val="31"/>
                  </w:pPr>
                  <w:r>
                    <w:rPr>
                      <w:rFonts w:hint="eastAsia"/>
                    </w:rPr>
                    <w:t>数量/台</w:t>
                  </w:r>
                </w:p>
              </w:tc>
              <w:tc>
                <w:tcPr>
                  <w:tcW w:w="2410" w:type="dxa"/>
                  <w:shd w:val="clear" w:color="auto" w:fill="FFFFFF" w:themeFill="background1"/>
                  <w:vAlign w:val="center"/>
                </w:tcPr>
                <w:p w14:paraId="49DCFD06">
                  <w:pPr>
                    <w:pStyle w:val="31"/>
                  </w:pPr>
                  <w:r>
                    <w:rPr>
                      <w:rFonts w:hint="eastAsia"/>
                    </w:rPr>
                    <w:t>叠加后生功率级</w:t>
                  </w:r>
                  <w:r>
                    <w:t>dB(A)</w:t>
                  </w:r>
                </w:p>
              </w:tc>
              <w:tc>
                <w:tcPr>
                  <w:tcW w:w="425" w:type="dxa"/>
                  <w:shd w:val="clear" w:color="auto" w:fill="FFFFFF" w:themeFill="background1"/>
                  <w:vAlign w:val="center"/>
                </w:tcPr>
                <w:p w14:paraId="3DE39FE1">
                  <w:pPr>
                    <w:pStyle w:val="31"/>
                  </w:pPr>
                  <w:r>
                    <w:t>X</w:t>
                  </w:r>
                </w:p>
              </w:tc>
              <w:tc>
                <w:tcPr>
                  <w:tcW w:w="839" w:type="dxa"/>
                  <w:shd w:val="clear" w:color="auto" w:fill="FFFFFF" w:themeFill="background1"/>
                  <w:vAlign w:val="center"/>
                </w:tcPr>
                <w:p w14:paraId="60794644">
                  <w:pPr>
                    <w:pStyle w:val="31"/>
                  </w:pPr>
                  <w:r>
                    <w:t>Y</w:t>
                  </w:r>
                </w:p>
              </w:tc>
              <w:tc>
                <w:tcPr>
                  <w:tcW w:w="1146" w:type="dxa"/>
                  <w:shd w:val="clear" w:color="auto" w:fill="FFFFFF" w:themeFill="background1"/>
                  <w:vAlign w:val="center"/>
                </w:tcPr>
                <w:p w14:paraId="27897C24">
                  <w:pPr>
                    <w:pStyle w:val="31"/>
                  </w:pPr>
                  <w:r>
                    <w:t>Z</w:t>
                  </w:r>
                </w:p>
              </w:tc>
              <w:tc>
                <w:tcPr>
                  <w:tcW w:w="1559" w:type="dxa"/>
                  <w:vMerge w:val="continue"/>
                  <w:shd w:val="clear" w:color="auto" w:fill="FFFFFF" w:themeFill="background1"/>
                  <w:vAlign w:val="center"/>
                </w:tcPr>
                <w:p w14:paraId="606C37F5">
                  <w:pPr>
                    <w:pStyle w:val="31"/>
                  </w:pPr>
                </w:p>
              </w:tc>
              <w:tc>
                <w:tcPr>
                  <w:tcW w:w="1168" w:type="dxa"/>
                  <w:vMerge w:val="continue"/>
                  <w:shd w:val="clear" w:color="auto" w:fill="FFFFFF" w:themeFill="background1"/>
                  <w:vAlign w:val="center"/>
                </w:tcPr>
                <w:p w14:paraId="32ABABC3">
                  <w:pPr>
                    <w:pStyle w:val="31"/>
                  </w:pPr>
                </w:p>
              </w:tc>
            </w:tr>
            <w:tr w14:paraId="6B2D1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0" w:type="auto"/>
                  <w:shd w:val="clear" w:color="auto" w:fill="FFFFFF" w:themeFill="background1"/>
                  <w:vAlign w:val="center"/>
                </w:tcPr>
                <w:p w14:paraId="541806E4">
                  <w:pPr>
                    <w:pStyle w:val="31"/>
                  </w:pPr>
                  <w:r>
                    <w:rPr>
                      <w:rFonts w:hint="eastAsia"/>
                    </w:rPr>
                    <w:t>1</w:t>
                  </w:r>
                </w:p>
              </w:tc>
              <w:tc>
                <w:tcPr>
                  <w:tcW w:w="0" w:type="auto"/>
                  <w:shd w:val="clear" w:color="auto" w:fill="FFFFFF" w:themeFill="background1"/>
                  <w:noWrap/>
                  <w:vAlign w:val="center"/>
                </w:tcPr>
                <w:p w14:paraId="38CD2D46">
                  <w:pPr>
                    <w:pStyle w:val="31"/>
                  </w:pPr>
                  <w:r>
                    <w:rPr>
                      <w:rFonts w:hint="eastAsia"/>
                      <w:szCs w:val="21"/>
                    </w:rPr>
                    <w:t>SCR脱硝装置</w:t>
                  </w:r>
                </w:p>
              </w:tc>
              <w:tc>
                <w:tcPr>
                  <w:tcW w:w="2554" w:type="dxa"/>
                  <w:shd w:val="clear" w:color="auto" w:fill="FFFFFF" w:themeFill="background1"/>
                  <w:vAlign w:val="center"/>
                </w:tcPr>
                <w:p w14:paraId="324EA51B">
                  <w:pPr>
                    <w:pStyle w:val="31"/>
                  </w:pPr>
                  <w:r>
                    <w:rPr>
                      <w:rFonts w:hint="eastAsia"/>
                    </w:rPr>
                    <w:t>70</w:t>
                  </w:r>
                </w:p>
              </w:tc>
              <w:tc>
                <w:tcPr>
                  <w:tcW w:w="1134" w:type="dxa"/>
                  <w:shd w:val="clear" w:color="auto" w:fill="FFFFFF" w:themeFill="background1"/>
                  <w:vAlign w:val="center"/>
                </w:tcPr>
                <w:p w14:paraId="0E20CC03">
                  <w:pPr>
                    <w:pStyle w:val="31"/>
                  </w:pPr>
                  <w:r>
                    <w:rPr>
                      <w:rFonts w:hint="eastAsia"/>
                    </w:rPr>
                    <w:t>4</w:t>
                  </w:r>
                </w:p>
              </w:tc>
              <w:tc>
                <w:tcPr>
                  <w:tcW w:w="2410" w:type="dxa"/>
                  <w:shd w:val="clear" w:color="auto" w:fill="FFFFFF" w:themeFill="background1"/>
                  <w:vAlign w:val="center"/>
                </w:tcPr>
                <w:p w14:paraId="1B3F4258">
                  <w:pPr>
                    <w:pStyle w:val="31"/>
                  </w:pPr>
                  <w:r>
                    <w:rPr>
                      <w:rFonts w:hint="eastAsia"/>
                    </w:rPr>
                    <w:t>76.02</w:t>
                  </w:r>
                </w:p>
              </w:tc>
              <w:tc>
                <w:tcPr>
                  <w:tcW w:w="425" w:type="dxa"/>
                  <w:shd w:val="clear" w:color="auto" w:fill="FFFFFF" w:themeFill="background1"/>
                  <w:noWrap/>
                  <w:vAlign w:val="center"/>
                </w:tcPr>
                <w:p w14:paraId="64E0E6BC">
                  <w:pPr>
                    <w:pStyle w:val="31"/>
                  </w:pPr>
                  <w:r>
                    <w:rPr>
                      <w:rFonts w:hint="eastAsia"/>
                    </w:rPr>
                    <w:t>210</w:t>
                  </w:r>
                </w:p>
              </w:tc>
              <w:tc>
                <w:tcPr>
                  <w:tcW w:w="839" w:type="dxa"/>
                  <w:shd w:val="clear" w:color="auto" w:fill="FFFFFF" w:themeFill="background1"/>
                  <w:noWrap/>
                  <w:vAlign w:val="center"/>
                </w:tcPr>
                <w:p w14:paraId="2300A00D">
                  <w:pPr>
                    <w:pStyle w:val="31"/>
                  </w:pPr>
                  <w:r>
                    <w:rPr>
                      <w:rFonts w:hint="eastAsia"/>
                    </w:rPr>
                    <w:t>140</w:t>
                  </w:r>
                </w:p>
              </w:tc>
              <w:tc>
                <w:tcPr>
                  <w:tcW w:w="1146" w:type="dxa"/>
                  <w:shd w:val="clear" w:color="auto" w:fill="FFFFFF" w:themeFill="background1"/>
                  <w:vAlign w:val="center"/>
                </w:tcPr>
                <w:p w14:paraId="6A08DFD2">
                  <w:pPr>
                    <w:pStyle w:val="31"/>
                  </w:pPr>
                  <w:r>
                    <w:rPr>
                      <w:rFonts w:hint="eastAsia"/>
                    </w:rPr>
                    <w:t>2</w:t>
                  </w:r>
                </w:p>
              </w:tc>
              <w:tc>
                <w:tcPr>
                  <w:tcW w:w="1559" w:type="dxa"/>
                  <w:vMerge w:val="restart"/>
                  <w:shd w:val="clear" w:color="auto" w:fill="FFFFFF" w:themeFill="background1"/>
                  <w:vAlign w:val="center"/>
                </w:tcPr>
                <w:p w14:paraId="717F77F8">
                  <w:pPr>
                    <w:pStyle w:val="31"/>
                  </w:pPr>
                  <w:r>
                    <w:rPr>
                      <w:rFonts w:hint="eastAsia"/>
                    </w:rPr>
                    <w:t>底座安装减震垫；合理布局；加强维护保养</w:t>
                  </w:r>
                  <w:r>
                    <w:t>。</w:t>
                  </w:r>
                </w:p>
              </w:tc>
              <w:tc>
                <w:tcPr>
                  <w:tcW w:w="1168" w:type="dxa"/>
                  <w:shd w:val="clear" w:color="auto" w:fill="FFFFFF" w:themeFill="background1"/>
                  <w:vAlign w:val="center"/>
                </w:tcPr>
                <w:p w14:paraId="422A4886">
                  <w:pPr>
                    <w:pStyle w:val="31"/>
                  </w:pPr>
                  <w:r>
                    <w:rPr>
                      <w:rFonts w:hint="eastAsia"/>
                    </w:rPr>
                    <w:t>昼夜</w:t>
                  </w:r>
                </w:p>
              </w:tc>
            </w:tr>
            <w:tr w14:paraId="3A646E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jc w:val="center"/>
              </w:trPr>
              <w:tc>
                <w:tcPr>
                  <w:tcW w:w="0" w:type="auto"/>
                  <w:shd w:val="clear" w:color="auto" w:fill="FFFFFF" w:themeFill="background1"/>
                  <w:vAlign w:val="center"/>
                </w:tcPr>
                <w:p w14:paraId="3BFF3B67">
                  <w:pPr>
                    <w:pStyle w:val="31"/>
                  </w:pPr>
                  <w:r>
                    <w:rPr>
                      <w:rFonts w:hint="eastAsia"/>
                    </w:rPr>
                    <w:t>2</w:t>
                  </w:r>
                </w:p>
              </w:tc>
              <w:tc>
                <w:tcPr>
                  <w:tcW w:w="0" w:type="auto"/>
                  <w:shd w:val="clear" w:color="auto" w:fill="FFFFFF" w:themeFill="background1"/>
                  <w:noWrap/>
                  <w:vAlign w:val="center"/>
                </w:tcPr>
                <w:p w14:paraId="4996B243">
                  <w:pPr>
                    <w:pStyle w:val="31"/>
                  </w:pPr>
                  <w:r>
                    <w:rPr>
                      <w:rFonts w:hint="eastAsia"/>
                      <w:szCs w:val="21"/>
                    </w:rPr>
                    <w:t>喷淋式水膜除尘器</w:t>
                  </w:r>
                </w:p>
              </w:tc>
              <w:tc>
                <w:tcPr>
                  <w:tcW w:w="2554" w:type="dxa"/>
                  <w:shd w:val="clear" w:color="auto" w:fill="FFFFFF" w:themeFill="background1"/>
                  <w:vAlign w:val="center"/>
                </w:tcPr>
                <w:p w14:paraId="354197FF">
                  <w:pPr>
                    <w:pStyle w:val="31"/>
                  </w:pPr>
                  <w:r>
                    <w:rPr>
                      <w:rFonts w:hint="eastAsia"/>
                    </w:rPr>
                    <w:t>75</w:t>
                  </w:r>
                </w:p>
              </w:tc>
              <w:tc>
                <w:tcPr>
                  <w:tcW w:w="1134" w:type="dxa"/>
                  <w:shd w:val="clear" w:color="auto" w:fill="FFFFFF" w:themeFill="background1"/>
                  <w:vAlign w:val="center"/>
                </w:tcPr>
                <w:p w14:paraId="3070DB71">
                  <w:pPr>
                    <w:pStyle w:val="31"/>
                  </w:pPr>
                  <w:r>
                    <w:rPr>
                      <w:rFonts w:hint="eastAsia"/>
                    </w:rPr>
                    <w:t>4</w:t>
                  </w:r>
                </w:p>
              </w:tc>
              <w:tc>
                <w:tcPr>
                  <w:tcW w:w="2410" w:type="dxa"/>
                  <w:shd w:val="clear" w:color="auto" w:fill="FFFFFF" w:themeFill="background1"/>
                  <w:vAlign w:val="center"/>
                </w:tcPr>
                <w:p w14:paraId="749F54AA">
                  <w:pPr>
                    <w:pStyle w:val="31"/>
                  </w:pPr>
                  <w:r>
                    <w:rPr>
                      <w:rFonts w:hint="eastAsia"/>
                    </w:rPr>
                    <w:t>81.02</w:t>
                  </w:r>
                </w:p>
              </w:tc>
              <w:tc>
                <w:tcPr>
                  <w:tcW w:w="425" w:type="dxa"/>
                  <w:shd w:val="clear" w:color="auto" w:fill="FFFFFF" w:themeFill="background1"/>
                  <w:noWrap/>
                  <w:vAlign w:val="center"/>
                </w:tcPr>
                <w:p w14:paraId="1F7FFD10">
                  <w:pPr>
                    <w:pStyle w:val="31"/>
                  </w:pPr>
                  <w:r>
                    <w:rPr>
                      <w:rFonts w:hint="eastAsia"/>
                    </w:rPr>
                    <w:t>215</w:t>
                  </w:r>
                </w:p>
              </w:tc>
              <w:tc>
                <w:tcPr>
                  <w:tcW w:w="839" w:type="dxa"/>
                  <w:shd w:val="clear" w:color="auto" w:fill="FFFFFF" w:themeFill="background1"/>
                  <w:noWrap/>
                  <w:vAlign w:val="center"/>
                </w:tcPr>
                <w:p w14:paraId="0C1C19AB">
                  <w:pPr>
                    <w:pStyle w:val="31"/>
                  </w:pPr>
                  <w:r>
                    <w:rPr>
                      <w:rFonts w:hint="eastAsia"/>
                    </w:rPr>
                    <w:t>135</w:t>
                  </w:r>
                </w:p>
              </w:tc>
              <w:tc>
                <w:tcPr>
                  <w:tcW w:w="1146" w:type="dxa"/>
                  <w:shd w:val="clear" w:color="auto" w:fill="FFFFFF" w:themeFill="background1"/>
                  <w:vAlign w:val="center"/>
                </w:tcPr>
                <w:p w14:paraId="2D117A35">
                  <w:pPr>
                    <w:pStyle w:val="31"/>
                  </w:pPr>
                  <w:r>
                    <w:rPr>
                      <w:rFonts w:hint="eastAsia"/>
                    </w:rPr>
                    <w:t>2</w:t>
                  </w:r>
                </w:p>
              </w:tc>
              <w:tc>
                <w:tcPr>
                  <w:tcW w:w="1559" w:type="dxa"/>
                  <w:vMerge w:val="continue"/>
                  <w:shd w:val="clear" w:color="auto" w:fill="FFFFFF" w:themeFill="background1"/>
                  <w:vAlign w:val="center"/>
                </w:tcPr>
                <w:p w14:paraId="128A08DE">
                  <w:pPr>
                    <w:pStyle w:val="31"/>
                  </w:pPr>
                </w:p>
              </w:tc>
              <w:tc>
                <w:tcPr>
                  <w:tcW w:w="1168" w:type="dxa"/>
                  <w:shd w:val="clear" w:color="auto" w:fill="FFFFFF" w:themeFill="background1"/>
                  <w:vAlign w:val="center"/>
                </w:tcPr>
                <w:p w14:paraId="5482D64F">
                  <w:pPr>
                    <w:pStyle w:val="31"/>
                  </w:pPr>
                  <w:r>
                    <w:rPr>
                      <w:rFonts w:hint="eastAsia"/>
                    </w:rPr>
                    <w:t>昼夜</w:t>
                  </w:r>
                </w:p>
              </w:tc>
            </w:tr>
            <w:tr w14:paraId="002936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FFFFFF" w:themeFill="background1"/>
                <w:tblCellMar>
                  <w:top w:w="0" w:type="dxa"/>
                  <w:left w:w="28" w:type="dxa"/>
                  <w:bottom w:w="0" w:type="dxa"/>
                  <w:right w:w="28" w:type="dxa"/>
                </w:tblCellMar>
              </w:tblPrEx>
              <w:trPr>
                <w:jc w:val="center"/>
              </w:trPr>
              <w:tc>
                <w:tcPr>
                  <w:tcW w:w="0" w:type="auto"/>
                  <w:shd w:val="clear" w:color="auto" w:fill="FFFFFF" w:themeFill="background1"/>
                  <w:vAlign w:val="center"/>
                </w:tcPr>
                <w:p w14:paraId="39E5F653">
                  <w:pPr>
                    <w:pStyle w:val="31"/>
                  </w:pPr>
                  <w:r>
                    <w:rPr>
                      <w:rFonts w:hint="eastAsia"/>
                    </w:rPr>
                    <w:t>3</w:t>
                  </w:r>
                </w:p>
              </w:tc>
              <w:tc>
                <w:tcPr>
                  <w:tcW w:w="0" w:type="auto"/>
                  <w:shd w:val="clear" w:color="auto" w:fill="FFFFFF" w:themeFill="background1"/>
                  <w:noWrap/>
                  <w:vAlign w:val="center"/>
                </w:tcPr>
                <w:p w14:paraId="462791AA">
                  <w:pPr>
                    <w:pStyle w:val="31"/>
                    <w:rPr>
                      <w:szCs w:val="21"/>
                    </w:rPr>
                  </w:pPr>
                  <w:r>
                    <w:rPr>
                      <w:rFonts w:hint="eastAsia"/>
                      <w:szCs w:val="21"/>
                    </w:rPr>
                    <w:t>板框压滤机</w:t>
                  </w:r>
                </w:p>
              </w:tc>
              <w:tc>
                <w:tcPr>
                  <w:tcW w:w="2554" w:type="dxa"/>
                  <w:shd w:val="clear" w:color="auto" w:fill="FFFFFF" w:themeFill="background1"/>
                  <w:vAlign w:val="center"/>
                </w:tcPr>
                <w:p w14:paraId="770BF37B">
                  <w:pPr>
                    <w:pStyle w:val="31"/>
                  </w:pPr>
                  <w:r>
                    <w:rPr>
                      <w:rFonts w:hint="eastAsia"/>
                    </w:rPr>
                    <w:t>80</w:t>
                  </w:r>
                </w:p>
              </w:tc>
              <w:tc>
                <w:tcPr>
                  <w:tcW w:w="1134" w:type="dxa"/>
                  <w:shd w:val="clear" w:color="auto" w:fill="FFFFFF" w:themeFill="background1"/>
                  <w:vAlign w:val="center"/>
                </w:tcPr>
                <w:p w14:paraId="2088B5E3">
                  <w:pPr>
                    <w:pStyle w:val="31"/>
                  </w:pPr>
                  <w:r>
                    <w:rPr>
                      <w:rFonts w:hint="eastAsia"/>
                    </w:rPr>
                    <w:t>1</w:t>
                  </w:r>
                </w:p>
              </w:tc>
              <w:tc>
                <w:tcPr>
                  <w:tcW w:w="2410" w:type="dxa"/>
                  <w:shd w:val="clear" w:color="auto" w:fill="FFFFFF" w:themeFill="background1"/>
                  <w:vAlign w:val="center"/>
                </w:tcPr>
                <w:p w14:paraId="37B69736">
                  <w:pPr>
                    <w:pStyle w:val="31"/>
                  </w:pPr>
                  <w:r>
                    <w:rPr>
                      <w:rFonts w:hint="eastAsia"/>
                    </w:rPr>
                    <w:t>80</w:t>
                  </w:r>
                </w:p>
              </w:tc>
              <w:tc>
                <w:tcPr>
                  <w:tcW w:w="425" w:type="dxa"/>
                  <w:shd w:val="clear" w:color="auto" w:fill="FFFFFF" w:themeFill="background1"/>
                  <w:noWrap/>
                  <w:vAlign w:val="center"/>
                </w:tcPr>
                <w:p w14:paraId="72D3D2F9">
                  <w:pPr>
                    <w:pStyle w:val="31"/>
                  </w:pPr>
                  <w:r>
                    <w:rPr>
                      <w:rFonts w:hint="eastAsia"/>
                    </w:rPr>
                    <w:t>205</w:t>
                  </w:r>
                </w:p>
              </w:tc>
              <w:tc>
                <w:tcPr>
                  <w:tcW w:w="839" w:type="dxa"/>
                  <w:shd w:val="clear" w:color="auto" w:fill="FFFFFF" w:themeFill="background1"/>
                  <w:noWrap/>
                  <w:vAlign w:val="center"/>
                </w:tcPr>
                <w:p w14:paraId="43518AED">
                  <w:pPr>
                    <w:pStyle w:val="31"/>
                  </w:pPr>
                  <w:r>
                    <w:rPr>
                      <w:rFonts w:hint="eastAsia"/>
                    </w:rPr>
                    <w:t>135</w:t>
                  </w:r>
                </w:p>
              </w:tc>
              <w:tc>
                <w:tcPr>
                  <w:tcW w:w="1146" w:type="dxa"/>
                  <w:shd w:val="clear" w:color="auto" w:fill="FFFFFF" w:themeFill="background1"/>
                  <w:vAlign w:val="center"/>
                </w:tcPr>
                <w:p w14:paraId="2A4B724D">
                  <w:pPr>
                    <w:pStyle w:val="31"/>
                  </w:pPr>
                  <w:r>
                    <w:rPr>
                      <w:rFonts w:hint="eastAsia"/>
                    </w:rPr>
                    <w:t>0.5</w:t>
                  </w:r>
                </w:p>
              </w:tc>
              <w:tc>
                <w:tcPr>
                  <w:tcW w:w="1559" w:type="dxa"/>
                  <w:vMerge w:val="continue"/>
                  <w:shd w:val="clear" w:color="auto" w:fill="FFFFFF" w:themeFill="background1"/>
                  <w:vAlign w:val="center"/>
                </w:tcPr>
                <w:p w14:paraId="2B6CC366">
                  <w:pPr>
                    <w:pStyle w:val="31"/>
                  </w:pPr>
                </w:p>
              </w:tc>
              <w:tc>
                <w:tcPr>
                  <w:tcW w:w="1168" w:type="dxa"/>
                  <w:shd w:val="clear" w:color="auto" w:fill="FFFFFF" w:themeFill="background1"/>
                  <w:vAlign w:val="center"/>
                </w:tcPr>
                <w:p w14:paraId="0690E837">
                  <w:pPr>
                    <w:pStyle w:val="31"/>
                  </w:pPr>
                  <w:r>
                    <w:rPr>
                      <w:rFonts w:hint="eastAsia"/>
                    </w:rPr>
                    <w:t>昼</w:t>
                  </w:r>
                </w:p>
              </w:tc>
            </w:tr>
          </w:tbl>
          <w:p w14:paraId="4818347A">
            <w:pPr>
              <w:ind w:firstLine="420"/>
              <w:rPr>
                <w:sz w:val="21"/>
                <w:szCs w:val="20"/>
              </w:rPr>
            </w:pPr>
            <w:r>
              <w:rPr>
                <w:rFonts w:hint="eastAsia"/>
                <w:sz w:val="21"/>
                <w:szCs w:val="20"/>
              </w:rPr>
              <w:t>备注：①以厂界西北角为坐标原点（0,0,0）。</w:t>
            </w:r>
          </w:p>
        </w:tc>
      </w:tr>
    </w:tbl>
    <w:p w14:paraId="5C14F8F5">
      <w:pPr>
        <w:ind w:firstLine="480"/>
        <w:sectPr>
          <w:pgSz w:w="16838" w:h="11906" w:orient="landscape"/>
          <w:pgMar w:top="1800" w:right="1440" w:bottom="1800" w:left="1440" w:header="851" w:footer="992" w:gutter="0"/>
          <w:cols w:space="425" w:num="1"/>
          <w:docGrid w:type="lines" w:linePitch="326" w:charSpace="0"/>
        </w:sectPr>
      </w:pP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281"/>
        <w:gridCol w:w="8081"/>
      </w:tblGrid>
      <w:tr w14:paraId="0564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740" w:hRule="atLeast"/>
          <w:jc w:val="center"/>
        </w:trPr>
        <w:tc>
          <w:tcPr>
            <w:tcW w:w="168" w:type="pct"/>
          </w:tcPr>
          <w:p w14:paraId="2B9FB342">
            <w:pPr>
              <w:ind w:firstLine="0" w:firstLineChars="0"/>
            </w:pPr>
          </w:p>
        </w:tc>
        <w:tc>
          <w:tcPr>
            <w:tcW w:w="4832" w:type="pct"/>
          </w:tcPr>
          <w:p w14:paraId="28ACC62B">
            <w:pPr>
              <w:ind w:firstLine="480"/>
            </w:pPr>
            <w:r>
              <w:t>2</w:t>
            </w:r>
            <w:r>
              <w:rPr>
                <w:rFonts w:hint="eastAsia"/>
              </w:rPr>
              <w:t>、预测范围与预测模型</w:t>
            </w:r>
          </w:p>
          <w:p w14:paraId="073B1546">
            <w:pPr>
              <w:ind w:firstLine="480"/>
            </w:pPr>
            <w:r>
              <w:rPr>
                <w:rFonts w:hint="eastAsia"/>
              </w:rPr>
              <w:t>根据总平面布置，噪声预测模式采用《环境影响评价技术导则 声环境》（HJ2.4-20</w:t>
            </w:r>
            <w:r>
              <w:t>21</w:t>
            </w:r>
            <w:r>
              <w:rPr>
                <w:rFonts w:hint="eastAsia"/>
              </w:rPr>
              <w:t>）中预测模型对本项目噪声排放情况进行预测。</w:t>
            </w:r>
          </w:p>
          <w:p w14:paraId="00ABD402">
            <w:pPr>
              <w:ind w:firstLine="482"/>
              <w:rPr>
                <w:b/>
              </w:rPr>
            </w:pPr>
            <w:r>
              <w:rPr>
                <w:rFonts w:hint="eastAsia"/>
                <w:b/>
              </w:rPr>
              <w:t>（1）室内声源计算</w:t>
            </w:r>
          </w:p>
          <w:p w14:paraId="5AF0FF55">
            <w:pPr>
              <w:ind w:firstLine="480"/>
            </w:pPr>
            <w:r>
              <w:rPr>
                <w:rFonts w:hint="eastAsia"/>
              </w:rPr>
              <w:t>a、首先计算出某个室内靠近围护结构处的倍频带声压级</w:t>
            </w:r>
          </w:p>
          <w:p w14:paraId="6A8038F8">
            <w:pPr>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hint="eastAsia" w:ascii="Cambria Math" w:hAnsi="Cambria Math"/>
                      </w:rPr>
                      <m:t>p</m:t>
                    </m:r>
                    <m:r>
                      <m:rPr/>
                      <w:rPr>
                        <w:rFonts w:ascii="Cambria Math" w:hAnsi="Cambria Math"/>
                      </w:rPr>
                      <m:t>1</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hint="eastAsia" w:ascii="Cambria Math" w:hAnsi="Cambria Math"/>
                      </w:rPr>
                      <m:t>w</m:t>
                    </m:r>
                    <m:ctrlPr>
                      <w:rPr>
                        <w:rFonts w:ascii="Cambria Math" w:hAnsi="Cambria Math"/>
                        <w:i/>
                      </w:rPr>
                    </m:ctrlPr>
                  </m:sub>
                </m:sSub>
                <m:r>
                  <m:rPr/>
                  <w:rPr>
                    <w:rFonts w:ascii="Cambria Math" w:hAnsi="Cambria Math"/>
                  </w:rPr>
                  <m:t>+10</m:t>
                </m:r>
                <m:r>
                  <m:rPr/>
                  <w:rPr>
                    <w:rFonts w:hint="eastAsia" w:ascii="Cambria Math" w:hAnsi="Cambria Math"/>
                  </w:rPr>
                  <m:t>lg</m:t>
                </m:r>
                <m:d>
                  <m:dPr>
                    <m:ctrlPr>
                      <w:rPr>
                        <w:rFonts w:ascii="Cambria Math" w:hAnsi="Cambria Math"/>
                        <w:i/>
                      </w:rPr>
                    </m:ctrlPr>
                  </m:dPr>
                  <m:e>
                    <m:f>
                      <m:fPr>
                        <m:ctrlPr>
                          <w:rPr>
                            <w:rFonts w:ascii="Cambria Math" w:hAnsi="Cambria Math"/>
                            <w:i/>
                          </w:rPr>
                        </m:ctrlPr>
                      </m:fPr>
                      <m:num>
                        <m:r>
                          <m:rPr/>
                          <w:rPr>
                            <w:rFonts w:ascii="Cambria Math" w:hAnsi="Cambria Math"/>
                          </w:rPr>
                          <m:t>Q</m:t>
                        </m:r>
                        <m:ctrlPr>
                          <w:rPr>
                            <w:rFonts w:ascii="Cambria Math" w:hAnsi="Cambria Math"/>
                            <w:i/>
                          </w:rPr>
                        </m:ctrlPr>
                      </m:num>
                      <m:den>
                        <m:r>
                          <m:rPr/>
                          <w:rPr>
                            <w:rFonts w:ascii="Cambria Math" w:hAnsi="Cambria Math"/>
                          </w:rPr>
                          <m:t>4π</m:t>
                        </m:r>
                        <m:sSup>
                          <m:sSupPr>
                            <m:ctrlPr>
                              <w:rPr>
                                <w:rFonts w:ascii="Cambria Math" w:hAnsi="Cambria Math"/>
                                <w:i/>
                              </w:rPr>
                            </m:ctrlPr>
                          </m:sSupPr>
                          <m:e>
                            <m:r>
                              <m:rPr/>
                              <w:rPr>
                                <w:rFonts w:hint="eastAsia" w:ascii="Cambria Math" w:hAnsi="Cambria Math"/>
                              </w:rPr>
                              <m:t>r</m:t>
                            </m:r>
                            <m:ctrlPr>
                              <w:rPr>
                                <w:rFonts w:ascii="Cambria Math" w:hAnsi="Cambria Math"/>
                                <w:i/>
                              </w:rPr>
                            </m:ctrlPr>
                          </m:e>
                          <m:sup>
                            <m:r>
                              <m:rPr/>
                              <w:rPr>
                                <w:rFonts w:ascii="Cambria Math" w:hAnsi="Cambria Math"/>
                              </w:rPr>
                              <m:t>2</m:t>
                            </m:r>
                            <m:ctrlPr>
                              <w:rPr>
                                <w:rFonts w:ascii="Cambria Math" w:hAnsi="Cambria Math"/>
                                <w:i/>
                              </w:rPr>
                            </m:ctrlPr>
                          </m:sup>
                        </m:sSup>
                        <m:ctrlPr>
                          <w:rPr>
                            <w:rFonts w:ascii="Cambria Math" w:hAnsi="Cambria Math"/>
                            <w:i/>
                          </w:rPr>
                        </m:ctrlPr>
                      </m:den>
                    </m:f>
                    <m:r>
                      <m:rPr/>
                      <w:rPr>
                        <w:rFonts w:ascii="Cambria Math" w:hAnsi="Cambria Math"/>
                      </w:rPr>
                      <m:t>+</m:t>
                    </m:r>
                    <m:f>
                      <m:fPr>
                        <m:ctrlPr>
                          <w:rPr>
                            <w:rFonts w:ascii="Cambria Math" w:hAnsi="Cambria Math"/>
                            <w:i/>
                          </w:rPr>
                        </m:ctrlPr>
                      </m:fPr>
                      <m:num>
                        <m:r>
                          <m:rPr/>
                          <w:rPr>
                            <w:rFonts w:ascii="Cambria Math" w:hAnsi="Cambria Math"/>
                          </w:rPr>
                          <m:t>4</m:t>
                        </m:r>
                        <m:ctrlPr>
                          <w:rPr>
                            <w:rFonts w:ascii="Cambria Math" w:hAnsi="Cambria Math"/>
                            <w:i/>
                          </w:rPr>
                        </m:ctrlPr>
                      </m:num>
                      <m:den>
                        <m:r>
                          <m:rPr/>
                          <w:rPr>
                            <w:rFonts w:ascii="Cambria Math" w:hAnsi="Cambria Math"/>
                          </w:rPr>
                          <m:t>R</m:t>
                        </m:r>
                        <m:ctrlPr>
                          <w:rPr>
                            <w:rFonts w:ascii="Cambria Math" w:hAnsi="Cambria Math"/>
                            <w:i/>
                          </w:rPr>
                        </m:ctrlPr>
                      </m:den>
                    </m:f>
                    <m:ctrlPr>
                      <w:rPr>
                        <w:rFonts w:ascii="Cambria Math" w:hAnsi="Cambria Math"/>
                        <w:i/>
                      </w:rPr>
                    </m:ctrlPr>
                  </m:e>
                </m:d>
              </m:oMath>
            </m:oMathPara>
          </w:p>
          <w:p w14:paraId="54166646">
            <w:pPr>
              <w:ind w:firstLine="480"/>
            </w:pPr>
            <w:r>
              <w:rPr>
                <w:rFonts w:hint="eastAsia"/>
              </w:rPr>
              <w:t>式中：</w:t>
            </w:r>
          </w:p>
          <w:p w14:paraId="7A5E5FA5">
            <w:pPr>
              <w:ind w:firstLine="1200" w:firstLineChars="500"/>
            </w:pPr>
            <w:r>
              <w:rPr>
                <w:rFonts w:hint="eastAsia"/>
              </w:rPr>
              <w:t>L</w:t>
            </w:r>
            <w:r>
              <w:rPr>
                <w:rFonts w:hint="eastAsia"/>
                <w:vertAlign w:val="subscript"/>
              </w:rPr>
              <w:t>P1</w:t>
            </w:r>
            <w:r>
              <w:t>——</w:t>
            </w:r>
            <w:r>
              <w:rPr>
                <w:rFonts w:hint="eastAsia"/>
              </w:rPr>
              <w:t>某个室内声源在靠近围护结构处产生的倍频带声压级；</w:t>
            </w:r>
          </w:p>
          <w:p w14:paraId="11884371">
            <w:pPr>
              <w:ind w:firstLine="1200" w:firstLineChars="500"/>
            </w:pPr>
            <w:r>
              <w:rPr>
                <w:rFonts w:hint="eastAsia"/>
              </w:rPr>
              <w:t>L</w:t>
            </w:r>
            <w:r>
              <w:rPr>
                <w:rFonts w:hint="eastAsia"/>
                <w:vertAlign w:val="subscript"/>
              </w:rPr>
              <w:t>w</w:t>
            </w:r>
            <w:r>
              <w:t>——</w:t>
            </w:r>
            <w:r>
              <w:rPr>
                <w:rFonts w:hint="eastAsia"/>
              </w:rPr>
              <w:t>某个声源的倍频带声功率级，dB；</w:t>
            </w:r>
          </w:p>
          <w:p w14:paraId="338FFB53">
            <w:pPr>
              <w:ind w:firstLine="1200" w:firstLineChars="500"/>
            </w:pPr>
            <w:r>
              <w:rPr>
                <w:rFonts w:hint="eastAsia"/>
              </w:rPr>
              <w:t>r</w:t>
            </w:r>
            <w:r>
              <w:t>——</w:t>
            </w:r>
            <w:r>
              <w:rPr>
                <w:rFonts w:hint="eastAsia"/>
              </w:rPr>
              <w:t>某个声源靠近围护结构处的距离，m；</w:t>
            </w:r>
          </w:p>
          <w:p w14:paraId="35A97E9D">
            <w:pPr>
              <w:ind w:firstLine="1200" w:firstLineChars="500"/>
            </w:pPr>
            <w:r>
              <w:rPr>
                <w:rFonts w:hint="eastAsia"/>
              </w:rPr>
              <w:t>R</w:t>
            </w:r>
            <w:r>
              <w:t>——</w:t>
            </w:r>
            <w:r>
              <w:rPr>
                <w:rFonts w:hint="eastAsia"/>
              </w:rPr>
              <w:t>房间常数，R=S</w:t>
            </w:r>
            <m:oMath>
              <m:r>
                <m:rPr/>
                <w:rPr>
                  <w:rFonts w:ascii="Cambria Math" w:hAnsi="Cambria Math"/>
                </w:rPr>
                <m:t>α</m:t>
              </m:r>
            </m:oMath>
            <w:r>
              <w:rPr>
                <w:rFonts w:hint="eastAsia"/>
              </w:rPr>
              <w:t>/（1-</w:t>
            </w:r>
            <m:oMath>
              <m:r>
                <m:rPr/>
                <w:rPr>
                  <w:rFonts w:ascii="Cambria Math" w:hAnsi="Cambria Math"/>
                </w:rPr>
                <m:t>α</m:t>
              </m:r>
            </m:oMath>
            <w:r>
              <w:rPr>
                <w:rFonts w:hint="eastAsia"/>
              </w:rPr>
              <w:t>），S为房间内表面面积，m</w:t>
            </w:r>
            <w:r>
              <w:rPr>
                <w:rFonts w:hint="eastAsia"/>
                <w:vertAlign w:val="superscript"/>
              </w:rPr>
              <w:t>2</w:t>
            </w:r>
            <w:r>
              <w:rPr>
                <w:rFonts w:hint="eastAsia"/>
              </w:rPr>
              <w:t>；</w:t>
            </w:r>
            <m:oMath>
              <m:r>
                <m:rPr/>
                <w:rPr>
                  <w:rFonts w:ascii="Cambria Math" w:hAnsi="Cambria Math"/>
                </w:rPr>
                <m:t>α</m:t>
              </m:r>
            </m:oMath>
            <w:r>
              <w:rPr>
                <w:rFonts w:hint="eastAsia"/>
              </w:rPr>
              <w:t>为平均吸声系数；</w:t>
            </w:r>
          </w:p>
          <w:p w14:paraId="426B103F">
            <w:pPr>
              <w:ind w:firstLine="1200" w:firstLineChars="500"/>
            </w:pPr>
            <w:r>
              <w:rPr>
                <w:rFonts w:hint="eastAsia"/>
              </w:rPr>
              <w:t>Q——指向性因子，通常对无指向性声源，当声源放在房间中心时，Q=1；当放在一面墙的中心时，Q=2；当放在两面墙夹角处时，Q=4；当放在三面墙夹角处时，Q=8；</w:t>
            </w:r>
          </w:p>
          <w:p w14:paraId="205B181B">
            <w:pPr>
              <w:ind w:firstLine="480"/>
            </w:pPr>
            <w:r>
              <w:rPr>
                <w:rFonts w:hint="eastAsia"/>
              </w:rPr>
              <w:t>b、计算出所有室内声源在围护结构处产生的i倍频带叠加声压级</w:t>
            </w:r>
          </w:p>
          <w:p w14:paraId="61B887C4">
            <w:pPr>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=10lg</m:t>
                </m:r>
                <m:d>
                  <m:dPr>
                    <m:ctrlPr>
                      <w:rPr>
                        <w:rFonts w:ascii="Cambria Math" w:hAnsi="Cambria Math"/>
                        <w:i/>
                      </w:rPr>
                    </m:ctrlPr>
                  </m:dPr>
                  <m:e>
                    <m:nary>
                      <m:naryPr>
                        <m:chr m:val="∑"/>
                        <m:limLoc m:val="undOvr"/>
                        <m:ctrlPr>
                          <w:rPr>
                            <w:rFonts w:ascii="Cambria Math" w:hAnsi="Cambria Math"/>
                            <w:i/>
                          </w:rPr>
                        </m:ctrlPr>
                      </m:naryPr>
                      <m:sub>
                        <m:r>
                          <m:rPr/>
                          <w:rPr>
                            <w:rFonts w:ascii="Cambria Math" w:hAnsi="Cambria Math"/>
                          </w:rPr>
                          <m:t>i=1</m:t>
                        </m:r>
                        <m:ctrlPr>
                          <w:rPr>
                            <w:rFonts w:ascii="Cambria Math" w:hAnsi="Cambria Math"/>
                            <w:i/>
                          </w:rPr>
                        </m:ctrlPr>
                      </m:sub>
                      <m:sup>
                        <m:r>
                          <m:rPr/>
                          <w:rPr>
                            <w:rFonts w:ascii="Cambria Math" w:hAnsi="Cambria Math"/>
                          </w:rPr>
                          <m:t>N</m:t>
                        </m:r>
                        <m:ctrlPr>
                          <w:rPr>
                            <w:rFonts w:ascii="Cambria Math" w:hAnsi="Cambria Math"/>
                            <w:i/>
                          </w:rPr>
                        </m:ctrlPr>
                      </m:sup>
                      <m:e>
                        <m:sSup>
                          <m:sSupPr>
                            <m:ctrlPr>
                              <w:rPr>
                                <w:rFonts w:ascii="Cambria Math" w:hAnsi="Cambria Math"/>
                                <w:i/>
                              </w:rPr>
                            </m:ctrlPr>
                          </m:sSupPr>
                          <m:e>
                            <m:r>
                              <m:rPr/>
                              <w:rPr>
                                <w:rFonts w:ascii="Cambria Math" w:hAnsi="Cambria Math"/>
                              </w:rPr>
                              <m:t>10</m:t>
                            </m:r>
                            <m:ctrlPr>
                              <w:rPr>
                                <w:rFonts w:ascii="Cambria Math" w:hAnsi="Cambria Math"/>
                                <w:i/>
                              </w:rPr>
                            </m:ctrlPr>
                          </m:e>
                          <m:sup>
                            <m:r>
                              <m:rPr/>
                              <w:rPr>
                                <w:rFonts w:ascii="Cambria Math" w:hAnsi="Cambria Math"/>
                              </w:rPr>
                              <m:t>0.1</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P1ij</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d>
              </m:oMath>
            </m:oMathPara>
          </w:p>
          <w:p w14:paraId="7F3D60BC">
            <w:pPr>
              <w:ind w:firstLine="480"/>
            </w:pPr>
            <w:r>
              <w:rPr>
                <w:rFonts w:hint="eastAsia"/>
              </w:rPr>
              <w:t>式中：</w:t>
            </w:r>
          </w:p>
          <w:p w14:paraId="70B51A22">
            <w:pPr>
              <w:ind w:firstLine="1200" w:firstLineChars="500"/>
            </w:pPr>
            <w:r>
              <w:rPr>
                <w:rFonts w:hint="eastAsia"/>
              </w:rPr>
              <w:t>L</w:t>
            </w:r>
            <w:r>
              <w:rPr>
                <w:rFonts w:hint="eastAsia"/>
                <w:vertAlign w:val="subscript"/>
              </w:rPr>
              <w:t>P1i</w:t>
            </w:r>
            <w:r>
              <w:rPr>
                <w:rFonts w:hint="eastAsia"/>
              </w:rPr>
              <w:t>（T）</w:t>
            </w:r>
            <w:r>
              <w:t>——</w:t>
            </w:r>
            <w:r>
              <w:rPr>
                <w:rFonts w:hint="eastAsia"/>
              </w:rPr>
              <w:t>靠近围护结构处N个室内声源产生的i倍频带的叠加声压级，dB；</w:t>
            </w:r>
          </w:p>
          <w:p w14:paraId="6EB884B5">
            <w:pPr>
              <w:ind w:firstLine="1200" w:firstLineChars="500"/>
            </w:pPr>
            <w:r>
              <w:rPr>
                <w:rFonts w:hint="eastAsia"/>
              </w:rPr>
              <w:t>L</w:t>
            </w:r>
            <w:r>
              <w:rPr>
                <w:rFonts w:hint="eastAsia"/>
                <w:vertAlign w:val="subscript"/>
              </w:rPr>
              <w:t>P1ij</w:t>
            </w:r>
            <w:r>
              <w:t>——</w:t>
            </w:r>
            <w:r>
              <w:rPr>
                <w:rFonts w:hint="eastAsia"/>
              </w:rPr>
              <w:t>室内j声源i倍频带的声压级，dB；</w:t>
            </w:r>
          </w:p>
          <w:p w14:paraId="37C8056C">
            <w:pPr>
              <w:ind w:firstLine="1200" w:firstLineChars="500"/>
            </w:pPr>
            <w:r>
              <w:rPr>
                <w:rFonts w:hint="eastAsia"/>
              </w:rPr>
              <w:t>N</w:t>
            </w:r>
            <w:r>
              <w:t>——</w:t>
            </w:r>
            <w:r>
              <w:rPr>
                <w:rFonts w:hint="eastAsia"/>
              </w:rPr>
              <w:t>室内声源总数；</w:t>
            </w:r>
          </w:p>
          <w:p w14:paraId="0F84C8D8">
            <w:pPr>
              <w:ind w:firstLine="480"/>
            </w:pPr>
            <w:r>
              <w:rPr>
                <w:rFonts w:hint="eastAsia"/>
              </w:rPr>
              <w:t>c、计算出室外靠近维护结构处的声压级</w:t>
            </w:r>
          </w:p>
          <w:p w14:paraId="7419BA51">
            <w:pPr>
              <w:ind w:firstLine="480"/>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P2i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P1i</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m:t>
                </m:r>
                <m:d>
                  <m:dPr>
                    <m:ctrlPr>
                      <w:rPr>
                        <w:rFonts w:ascii="Cambria Math" w:hAnsi="Cambria Math"/>
                        <w:i/>
                      </w:rPr>
                    </m:ctrlPr>
                  </m:dPr>
                  <m:e>
                    <m:r>
                      <m:rPr/>
                      <w:rPr>
                        <w:rFonts w:ascii="Cambria Math" w:hAnsi="Cambria Math"/>
                      </w:rPr>
                      <m:t>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i</m:t>
                        </m:r>
                        <m:ctrlPr>
                          <w:rPr>
                            <w:rFonts w:ascii="Cambria Math" w:hAnsi="Cambria Math"/>
                            <w:i/>
                          </w:rPr>
                        </m:ctrlPr>
                      </m:sub>
                    </m:sSub>
                    <m:r>
                      <m:rPr/>
                      <w:rPr>
                        <w:rFonts w:ascii="Cambria Math" w:hAnsi="Cambria Math"/>
                      </w:rPr>
                      <m:t>+6</m:t>
                    </m:r>
                    <m:ctrlPr>
                      <w:rPr>
                        <w:rFonts w:ascii="Cambria Math" w:hAnsi="Cambria Math"/>
                        <w:i/>
                      </w:rPr>
                    </m:ctrlPr>
                  </m:e>
                </m:d>
              </m:oMath>
            </m:oMathPara>
          </w:p>
          <w:p w14:paraId="1A0DA9F1">
            <w:pPr>
              <w:ind w:firstLine="480"/>
            </w:pPr>
            <w:r>
              <w:t>式中：</w:t>
            </w:r>
          </w:p>
          <w:p w14:paraId="193D476A">
            <w:pPr>
              <w:ind w:firstLine="1200" w:firstLineChars="500"/>
            </w:pPr>
            <w:r>
              <w:t>L</w:t>
            </w:r>
            <w:r>
              <w:rPr>
                <w:vertAlign w:val="subscript"/>
              </w:rPr>
              <w:t>P2i</w:t>
            </w:r>
            <w:r>
              <w:t>（T）——靠近围护结构处N个室外声源产生的i倍频带的叠加声压级，dB；</w:t>
            </w:r>
          </w:p>
          <w:p w14:paraId="5EE95E36">
            <w:pPr>
              <w:ind w:firstLine="1200" w:firstLineChars="500"/>
            </w:pPr>
            <w:r>
              <w:t>T</w:t>
            </w:r>
            <w:r>
              <w:rPr>
                <w:vertAlign w:val="subscript"/>
              </w:rPr>
              <w:t>Li</w:t>
            </w:r>
            <w:r>
              <w:t>——维护结构i倍频带的隔声量，dB；</w:t>
            </w:r>
          </w:p>
          <w:p w14:paraId="39D01A01">
            <w:pPr>
              <w:pStyle w:val="68"/>
            </w:pPr>
            <w:r>
              <w:t>d、将室外声源的声压级和透声面积换算成等效的室外声源，计算出中心位置位于透声面积（S）处的等效声源的倍频带声功率级</w:t>
            </w:r>
          </w:p>
          <w:p w14:paraId="7F8270C6">
            <w:pPr>
              <w:pStyle w:val="68"/>
            </w:pPr>
            <m:oMathPara>
              <m:oMath>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W</m:t>
                    </m:r>
                    <m:ctrlPr>
                      <w:rPr>
                        <w:rFonts w:ascii="Cambria Math" w:hAnsi="Cambria Math"/>
                        <w:i/>
                      </w:rPr>
                    </m:ctrlPr>
                  </m:sub>
                </m:sSub>
                <m:r>
                  <m:rPr/>
                  <w:rPr>
                    <w:rFonts w:ascii="Cambria Math" w:hAnsi="Cambria Math"/>
                  </w:rPr>
                  <m:t>=</m:t>
                </m:r>
                <m:sSub>
                  <m:sSubPr>
                    <m:ctrlPr>
                      <w:rPr>
                        <w:rFonts w:ascii="Cambria Math" w:hAnsi="Cambria Math"/>
                        <w:i/>
                      </w:rPr>
                    </m:ctrlPr>
                  </m:sSubPr>
                  <m:e>
                    <m:r>
                      <m:rPr/>
                      <w:rPr>
                        <w:rFonts w:ascii="Cambria Math" w:hAnsi="Cambria Math"/>
                      </w:rPr>
                      <m:t>L</m:t>
                    </m:r>
                    <m:ctrlPr>
                      <w:rPr>
                        <w:rFonts w:ascii="Cambria Math" w:hAnsi="Cambria Math"/>
                        <w:i/>
                      </w:rPr>
                    </m:ctrlPr>
                  </m:e>
                  <m:sub>
                    <m:r>
                      <m:rPr/>
                      <w:rPr>
                        <w:rFonts w:ascii="Cambria Math" w:hAnsi="Cambria Math"/>
                      </w:rPr>
                      <m:t>P2</m:t>
                    </m:r>
                    <m:ctrlPr>
                      <w:rPr>
                        <w:rFonts w:ascii="Cambria Math" w:hAnsi="Cambria Math"/>
                        <w:i/>
                      </w:rPr>
                    </m:ctrlPr>
                  </m:sub>
                </m:sSub>
                <m:d>
                  <m:dPr>
                    <m:ctrlPr>
                      <w:rPr>
                        <w:rFonts w:ascii="Cambria Math" w:hAnsi="Cambria Math"/>
                        <w:i/>
                      </w:rPr>
                    </m:ctrlPr>
                  </m:dPr>
                  <m:e>
                    <m:r>
                      <m:rPr/>
                      <w:rPr>
                        <w:rFonts w:ascii="Cambria Math" w:hAnsi="Cambria Math"/>
                      </w:rPr>
                      <m:t>T</m:t>
                    </m:r>
                    <m:ctrlPr>
                      <w:rPr>
                        <w:rFonts w:ascii="Cambria Math" w:hAnsi="Cambria Math"/>
                        <w:i/>
                      </w:rPr>
                    </m:ctrlPr>
                  </m:e>
                </m:d>
                <m:r>
                  <m:rPr/>
                  <w:rPr>
                    <w:rFonts w:ascii="Cambria Math" w:hAnsi="Cambria Math"/>
                  </w:rPr>
                  <m:t>+10lg</m:t>
                </m:r>
                <m:d>
                  <m:dPr>
                    <m:ctrlPr>
                      <w:rPr>
                        <w:rFonts w:ascii="Cambria Math" w:hAnsi="Cambria Math"/>
                        <w:i/>
                      </w:rPr>
                    </m:ctrlPr>
                  </m:dPr>
                  <m:e>
                    <m:r>
                      <m:rPr/>
                      <w:rPr>
                        <w:rFonts w:ascii="Cambria Math" w:hAnsi="Cambria Math"/>
                      </w:rPr>
                      <m:t>S</m:t>
                    </m:r>
                    <m:ctrlPr>
                      <w:rPr>
                        <w:rFonts w:ascii="Cambria Math" w:hAnsi="Cambria Math"/>
                        <w:i/>
                      </w:rPr>
                    </m:ctrlPr>
                  </m:e>
                </m:d>
              </m:oMath>
            </m:oMathPara>
          </w:p>
          <w:p w14:paraId="4A2D6905">
            <w:pPr>
              <w:ind w:firstLine="480"/>
            </w:pPr>
            <w:r>
              <w:t>式中：S——透声面积，m</w:t>
            </w:r>
            <w:r>
              <w:rPr>
                <w:vertAlign w:val="superscript"/>
              </w:rPr>
              <w:t>2</w:t>
            </w:r>
            <w:r>
              <w:t>。</w:t>
            </w:r>
          </w:p>
          <w:p w14:paraId="4B22BFDB">
            <w:pPr>
              <w:ind w:firstLine="482"/>
              <w:rPr>
                <w:b/>
              </w:rPr>
            </w:pPr>
            <w:r>
              <w:rPr>
                <w:rFonts w:hint="eastAsia"/>
                <w:b/>
              </w:rPr>
              <w:t>（2）</w:t>
            </w:r>
            <w:r>
              <w:rPr>
                <w:b/>
              </w:rPr>
              <w:t>单个室外点声源在预测点产生的A声级的计算</w:t>
            </w:r>
          </w:p>
          <w:p w14:paraId="0F2702A3">
            <w:pPr>
              <w:ind w:firstLine="480"/>
              <w:rPr>
                <w:bCs/>
              </w:rPr>
            </w:pPr>
            <m:oMathPara>
              <m:oMath>
                <m:sSub>
                  <m:sSubPr>
                    <m:ctrlPr>
                      <w:rPr>
                        <w:rFonts w:ascii="Cambria Math" w:hAnsi="Cambria Math"/>
                        <w:bCs/>
                        <w:i/>
                      </w:rPr>
                    </m:ctrlPr>
                  </m:sSubPr>
                  <m:e>
                    <m:r>
                      <m:rPr/>
                      <w:rPr>
                        <w:rFonts w:ascii="Cambria Math" w:hAnsi="Cambria Math"/>
                      </w:rPr>
                      <m:t>L</m:t>
                    </m:r>
                    <m:ctrlPr>
                      <w:rPr>
                        <w:rFonts w:ascii="Cambria Math" w:hAnsi="Cambria Math"/>
                        <w:bCs/>
                        <w:i/>
                      </w:rPr>
                    </m:ctrlPr>
                  </m:e>
                  <m:sub>
                    <m:r>
                      <m:rPr/>
                      <w:rPr>
                        <w:rFonts w:ascii="Cambria Math" w:hAnsi="Cambria Math"/>
                      </w:rPr>
                      <m:t>A</m:t>
                    </m:r>
                    <m:ctrlPr>
                      <w:rPr>
                        <w:rFonts w:ascii="Cambria Math" w:hAnsi="Cambria Math"/>
                        <w:bCs/>
                        <w:i/>
                      </w:rPr>
                    </m:ctrlPr>
                  </m:sub>
                </m:sSub>
                <m:d>
                  <m:dPr>
                    <m:ctrlPr>
                      <w:rPr>
                        <w:rFonts w:ascii="Cambria Math" w:hAnsi="Cambria Math"/>
                        <w:bCs/>
                        <w:i/>
                      </w:rPr>
                    </m:ctrlPr>
                  </m:dPr>
                  <m:e>
                    <m:r>
                      <m:rPr/>
                      <w:rPr>
                        <w:rFonts w:ascii="Cambria Math" w:hAnsi="Cambria Math"/>
                      </w:rPr>
                      <m:t>r</m:t>
                    </m:r>
                    <m:ctrlPr>
                      <w:rPr>
                        <w:rFonts w:ascii="Cambria Math" w:hAnsi="Cambria Math"/>
                        <w:bCs/>
                        <w:i/>
                      </w:rPr>
                    </m:ctrlPr>
                  </m:e>
                </m:d>
                <m:r>
                  <m:rPr/>
                  <w:rPr>
                    <w:rFonts w:ascii="Cambria Math" w:hAnsi="Cambria Math"/>
                  </w:rPr>
                  <m:t>=</m:t>
                </m:r>
                <m:sSub>
                  <m:sSubPr>
                    <m:ctrlPr>
                      <w:rPr>
                        <w:rFonts w:ascii="Cambria Math" w:hAnsi="Cambria Math"/>
                        <w:bCs/>
                        <w:i/>
                      </w:rPr>
                    </m:ctrlPr>
                  </m:sSubPr>
                  <m:e>
                    <m:r>
                      <m:rPr/>
                      <w:rPr>
                        <w:rFonts w:ascii="Cambria Math" w:hAnsi="Cambria Math"/>
                      </w:rPr>
                      <m:t>L</m:t>
                    </m:r>
                    <m:ctrlPr>
                      <w:rPr>
                        <w:rFonts w:ascii="Cambria Math" w:hAnsi="Cambria Math"/>
                        <w:bCs/>
                        <w:i/>
                      </w:rPr>
                    </m:ctrlPr>
                  </m:e>
                  <m:sub>
                    <m:r>
                      <m:rPr/>
                      <w:rPr>
                        <w:rFonts w:ascii="Cambria Math" w:hAnsi="Cambria Math"/>
                      </w:rPr>
                      <m:t>A</m:t>
                    </m:r>
                    <m:ctrlPr>
                      <w:rPr>
                        <w:rFonts w:ascii="Cambria Math" w:hAnsi="Cambria Math"/>
                        <w:bCs/>
                        <w:i/>
                      </w:rPr>
                    </m:ctrlPr>
                  </m:sub>
                </m:sSub>
                <m:d>
                  <m:dPr>
                    <m:ctrlPr>
                      <w:rPr>
                        <w:rFonts w:ascii="Cambria Math" w:hAnsi="Cambria Math"/>
                        <w:bCs/>
                        <w:i/>
                      </w:rPr>
                    </m:ctrlPr>
                  </m:dPr>
                  <m:e>
                    <m:sSub>
                      <m:sSubPr>
                        <m:ctrlPr>
                          <w:rPr>
                            <w:rFonts w:ascii="Cambria Math" w:hAnsi="Cambria Math"/>
                            <w:bCs/>
                            <w:i/>
                          </w:rPr>
                        </m:ctrlPr>
                      </m:sSubPr>
                      <m:e>
                        <m:r>
                          <m:rPr/>
                          <w:rPr>
                            <w:rFonts w:ascii="Cambria Math" w:hAnsi="Cambria Math"/>
                          </w:rPr>
                          <m:t>r</m:t>
                        </m:r>
                        <m:ctrlPr>
                          <w:rPr>
                            <w:rFonts w:ascii="Cambria Math" w:hAnsi="Cambria Math"/>
                            <w:bCs/>
                            <w:i/>
                          </w:rPr>
                        </m:ctrlPr>
                      </m:e>
                      <m:sub>
                        <m:r>
                          <m:rPr/>
                          <w:rPr>
                            <w:rFonts w:ascii="Cambria Math" w:hAnsi="Cambria Math"/>
                          </w:rPr>
                          <m:t>0</m:t>
                        </m:r>
                        <m:ctrlPr>
                          <w:rPr>
                            <w:rFonts w:ascii="Cambria Math" w:hAnsi="Cambria Math"/>
                            <w:bCs/>
                            <w:i/>
                          </w:rPr>
                        </m:ctrlPr>
                      </m:sub>
                    </m:sSub>
                    <m:ctrlPr>
                      <w:rPr>
                        <w:rFonts w:ascii="Cambria Math" w:hAnsi="Cambria Math"/>
                        <w:bCs/>
                        <w:i/>
                      </w:rPr>
                    </m:ctrlPr>
                  </m:e>
                </m:d>
                <m:r>
                  <m:rPr/>
                  <w:rPr>
                    <w:rFonts w:ascii="Cambria Math" w:hAnsi="Cambria Math"/>
                  </w:rPr>
                  <m:t>−</m:t>
                </m:r>
                <m:d>
                  <m:dPr>
                    <m:ctrlPr>
                      <w:rPr>
                        <w:rFonts w:ascii="Cambria Math" w:hAnsi="Cambria Math"/>
                        <w:bCs/>
                        <w:i/>
                      </w:rPr>
                    </m:ctrlPr>
                  </m:dPr>
                  <m:e>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div</m:t>
                        </m:r>
                        <m:ctrlPr>
                          <w:rPr>
                            <w:rFonts w:ascii="Cambria Math" w:hAnsi="Cambria Math"/>
                            <w:bCs/>
                            <w:i/>
                          </w:rPr>
                        </m:ctrlPr>
                      </m:sub>
                    </m:sSub>
                    <m:r>
                      <m:rPr/>
                      <w:rPr>
                        <w:rFonts w:ascii="Cambria Math" w:hAnsi="Cambria Math"/>
                      </w:rPr>
                      <m:t>+</m:t>
                    </m:r>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atm</m:t>
                        </m:r>
                        <m:ctrlPr>
                          <w:rPr>
                            <w:rFonts w:ascii="Cambria Math" w:hAnsi="Cambria Math"/>
                            <w:bCs/>
                            <w:i/>
                          </w:rPr>
                        </m:ctrlPr>
                      </m:sub>
                    </m:sSub>
                    <m:r>
                      <m:rPr/>
                      <w:rPr>
                        <w:rFonts w:ascii="Cambria Math" w:hAnsi="Cambria Math"/>
                      </w:rPr>
                      <m:t>+</m:t>
                    </m:r>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gr</m:t>
                        </m:r>
                        <m:ctrlPr>
                          <w:rPr>
                            <w:rFonts w:ascii="Cambria Math" w:hAnsi="Cambria Math"/>
                            <w:bCs/>
                            <w:i/>
                          </w:rPr>
                        </m:ctrlPr>
                      </m:sub>
                    </m:sSub>
                    <m:r>
                      <m:rPr/>
                      <w:rPr>
                        <w:rFonts w:ascii="Cambria Math" w:hAnsi="Cambria Math"/>
                      </w:rPr>
                      <m:t>+</m:t>
                    </m:r>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bar</m:t>
                        </m:r>
                        <m:ctrlPr>
                          <w:rPr>
                            <w:rFonts w:ascii="Cambria Math" w:hAnsi="Cambria Math"/>
                            <w:bCs/>
                            <w:i/>
                          </w:rPr>
                        </m:ctrlPr>
                      </m:sub>
                    </m:sSub>
                    <m:r>
                      <m:rPr/>
                      <w:rPr>
                        <w:rFonts w:ascii="Cambria Math" w:hAnsi="Cambria Math"/>
                      </w:rPr>
                      <m:t>+</m:t>
                    </m:r>
                    <m:sSub>
                      <m:sSubPr>
                        <m:ctrlPr>
                          <w:rPr>
                            <w:rFonts w:ascii="Cambria Math" w:hAnsi="Cambria Math"/>
                            <w:bCs/>
                            <w:i/>
                          </w:rPr>
                        </m:ctrlPr>
                      </m:sSubPr>
                      <m:e>
                        <m:r>
                          <m:rPr/>
                          <w:rPr>
                            <w:rFonts w:ascii="Cambria Math" w:hAnsi="Cambria Math"/>
                          </w:rPr>
                          <m:t>A</m:t>
                        </m:r>
                        <m:ctrlPr>
                          <w:rPr>
                            <w:rFonts w:ascii="Cambria Math" w:hAnsi="Cambria Math"/>
                            <w:bCs/>
                            <w:i/>
                          </w:rPr>
                        </m:ctrlPr>
                      </m:e>
                      <m:sub>
                        <m:r>
                          <m:rPr/>
                          <w:rPr>
                            <w:rFonts w:ascii="Cambria Math" w:hAnsi="Cambria Math"/>
                          </w:rPr>
                          <m:t>misc</m:t>
                        </m:r>
                        <m:ctrlPr>
                          <w:rPr>
                            <w:rFonts w:ascii="Cambria Math" w:hAnsi="Cambria Math"/>
                            <w:bCs/>
                            <w:i/>
                          </w:rPr>
                        </m:ctrlPr>
                      </m:sub>
                    </m:sSub>
                    <m:ctrlPr>
                      <w:rPr>
                        <w:rFonts w:ascii="Cambria Math" w:hAnsi="Cambria Math"/>
                        <w:bCs/>
                        <w:i/>
                      </w:rPr>
                    </m:ctrlPr>
                  </m:e>
                </m:d>
              </m:oMath>
            </m:oMathPara>
          </w:p>
          <w:p w14:paraId="669CE507">
            <w:pPr>
              <w:ind w:firstLine="480"/>
            </w:pPr>
            <w:r>
              <w:rPr>
                <w:shd w:val="clear" w:color="auto" w:fill="FFFFFF"/>
              </w:rPr>
              <w:t>式</w:t>
            </w:r>
            <w:r>
              <w:t>中：</w:t>
            </w:r>
          </w:p>
          <w:p w14:paraId="2C0B3821">
            <w:pPr>
              <w:ind w:firstLine="1200" w:firstLineChars="500"/>
            </w:pPr>
            <w:r>
              <w:t>L</w:t>
            </w:r>
            <w:r>
              <w:rPr>
                <w:vertAlign w:val="subscript"/>
              </w:rPr>
              <w:t>A</w:t>
            </w:r>
            <w:r>
              <w:t>（r）——距声源r处的A声级，dB(A)；</w:t>
            </w:r>
          </w:p>
          <w:p w14:paraId="457503C2">
            <w:pPr>
              <w:ind w:firstLine="1200" w:firstLineChars="500"/>
            </w:pPr>
            <w:r>
              <w:t>L</w:t>
            </w:r>
            <w:r>
              <w:rPr>
                <w:vertAlign w:val="subscript"/>
              </w:rPr>
              <w:t>A</w:t>
            </w:r>
            <w:r>
              <w:t>（r0）——参考位置r</w:t>
            </w:r>
            <w:r>
              <w:rPr>
                <w:vertAlign w:val="subscript"/>
              </w:rPr>
              <w:t>0</w:t>
            </w:r>
            <w:r>
              <w:t>处的A声级，dB(A)；</w:t>
            </w:r>
          </w:p>
          <w:p w14:paraId="351E050A">
            <w:pPr>
              <w:ind w:firstLine="1200" w:firstLineChars="500"/>
            </w:pPr>
            <w:r>
              <w:t>A</w:t>
            </w:r>
            <w:r>
              <w:rPr>
                <w:vertAlign w:val="subscript"/>
              </w:rPr>
              <w:t>div</w:t>
            </w:r>
            <w:r>
              <w:t>——几何发散引起的倍频带衰减，dB；</w:t>
            </w:r>
          </w:p>
          <w:p w14:paraId="5BB4291F">
            <w:pPr>
              <w:ind w:firstLine="1200" w:firstLineChars="500"/>
            </w:pPr>
            <w:r>
              <w:t>A</w:t>
            </w:r>
            <w:r>
              <w:rPr>
                <w:vertAlign w:val="subscript"/>
              </w:rPr>
              <w:t>atm</w:t>
            </w:r>
            <w:r>
              <w:t>——大气吸收引起的倍频带衰减，dB；</w:t>
            </w:r>
          </w:p>
          <w:p w14:paraId="299A77F5">
            <w:pPr>
              <w:ind w:firstLine="1200" w:firstLineChars="500"/>
            </w:pPr>
            <w:r>
              <w:t>A</w:t>
            </w:r>
            <w:r>
              <w:rPr>
                <w:vertAlign w:val="subscript"/>
              </w:rPr>
              <w:t>gr</w:t>
            </w:r>
            <w:r>
              <w:t>——地面效应引起的倍频带衰减，dB；</w:t>
            </w:r>
          </w:p>
          <w:p w14:paraId="25F8C8D9">
            <w:pPr>
              <w:ind w:firstLine="1200" w:firstLineChars="500"/>
            </w:pPr>
            <w:r>
              <w:t>A</w:t>
            </w:r>
            <w:r>
              <w:rPr>
                <w:vertAlign w:val="subscript"/>
              </w:rPr>
              <w:t>bar</w:t>
            </w:r>
            <w:r>
              <w:t>——声屏障引起的倍频带衰减，dB；</w:t>
            </w:r>
          </w:p>
          <w:p w14:paraId="543DF450">
            <w:pPr>
              <w:ind w:firstLine="1200" w:firstLineChars="500"/>
            </w:pPr>
            <w:r>
              <w:t>A</w:t>
            </w:r>
            <w:r>
              <w:rPr>
                <w:vertAlign w:val="subscript"/>
              </w:rPr>
              <w:t>misc</w:t>
            </w:r>
            <w:r>
              <w:t>——其他多方面效应引起的倍频带衰减，dB；</w:t>
            </w:r>
          </w:p>
          <w:p w14:paraId="67D285D7">
            <w:pPr>
              <w:ind w:firstLine="482"/>
              <w:rPr>
                <w:b/>
                <w:shd w:val="clear" w:color="auto" w:fill="FFFFFF"/>
              </w:rPr>
            </w:pPr>
            <w:r>
              <w:rPr>
                <w:rFonts w:hint="eastAsia"/>
                <w:b/>
                <w:shd w:val="clear" w:color="auto" w:fill="FFFFFF"/>
              </w:rPr>
              <w:t>（3）</w:t>
            </w:r>
            <w:r>
              <w:rPr>
                <w:b/>
                <w:shd w:val="clear" w:color="auto" w:fill="FFFFFF"/>
              </w:rPr>
              <w:t>声源在预测点处噪声贡献值的计算</w:t>
            </w:r>
          </w:p>
          <w:p w14:paraId="12656EB6">
            <w:pPr>
              <w:ind w:firstLine="480"/>
              <w:rPr>
                <w:kern w:val="0"/>
                <w:shd w:val="clear" w:color="auto" w:fill="FFFFFF"/>
              </w:rPr>
            </w:pPr>
            <w:r>
              <w:rPr>
                <w:kern w:val="0"/>
                <w:shd w:val="clear" w:color="auto" w:fill="FFFFFF"/>
              </w:rPr>
              <w:t>设第i个声源在预测点处产生的A声级为L</w:t>
            </w:r>
            <w:r>
              <w:rPr>
                <w:kern w:val="0"/>
                <w:shd w:val="clear" w:color="auto" w:fill="FFFFFF"/>
                <w:vertAlign w:val="subscript"/>
              </w:rPr>
              <w:t>Ai</w:t>
            </w:r>
            <w:r>
              <w:rPr>
                <w:kern w:val="0"/>
                <w:shd w:val="clear" w:color="auto" w:fill="FFFFFF"/>
              </w:rPr>
              <w:t>，在Ｔ时间内该声源工作时间为t</w:t>
            </w:r>
            <w:r>
              <w:rPr>
                <w:kern w:val="0"/>
                <w:shd w:val="clear" w:color="auto" w:fill="FFFFFF"/>
                <w:vertAlign w:val="subscript"/>
              </w:rPr>
              <w:t>i</w:t>
            </w:r>
            <w:r>
              <w:rPr>
                <w:kern w:val="0"/>
                <w:shd w:val="clear" w:color="auto" w:fill="FFFFFF"/>
              </w:rPr>
              <w:t>，则预测点的总声级为：</w:t>
            </w:r>
          </w:p>
          <w:p w14:paraId="5854FB48">
            <w:pPr>
              <w:ind w:firstLine="480"/>
              <w:rPr>
                <w:kern w:val="0"/>
                <w:shd w:val="clear" w:color="auto" w:fill="FFFFFF"/>
              </w:rPr>
            </w:pPr>
            <m:oMathPara>
              <m:oMath>
                <m:sSub>
                  <m:sSubPr>
                    <m:ctrlPr>
                      <w:rPr>
                        <w:rFonts w:ascii="Cambria Math" w:hAnsi="Cambria Math"/>
                        <w:i/>
                        <w:kern w:val="0"/>
                        <w:shd w:val="clear" w:color="auto" w:fill="FFFFFF"/>
                      </w:rPr>
                    </m:ctrlPr>
                  </m:sSubPr>
                  <m:e>
                    <m:r>
                      <m:rPr/>
                      <w:rPr>
                        <w:rFonts w:ascii="Cambria Math" w:hAnsi="Cambria Math"/>
                        <w:kern w:val="0"/>
                        <w:shd w:val="clear" w:color="auto" w:fill="FFFFFF"/>
                      </w:rPr>
                      <m:t>L</m:t>
                    </m:r>
                    <m:ctrlPr>
                      <w:rPr>
                        <w:rFonts w:ascii="Cambria Math" w:hAnsi="Cambria Math"/>
                        <w:i/>
                        <w:kern w:val="0"/>
                        <w:shd w:val="clear" w:color="auto" w:fill="FFFFFF"/>
                      </w:rPr>
                    </m:ctrlPr>
                  </m:e>
                  <m:sub>
                    <m:r>
                      <m:rPr/>
                      <w:rPr>
                        <w:rFonts w:ascii="Cambria Math" w:hAnsi="Cambria Math"/>
                        <w:kern w:val="0"/>
                        <w:shd w:val="clear" w:color="auto" w:fill="FFFFFF"/>
                      </w:rPr>
                      <m:t>eq</m:t>
                    </m:r>
                    <m:ctrlPr>
                      <w:rPr>
                        <w:rFonts w:ascii="Cambria Math" w:hAnsi="Cambria Math"/>
                        <w:i/>
                        <w:kern w:val="0"/>
                        <w:shd w:val="clear" w:color="auto" w:fill="FFFFFF"/>
                      </w:rPr>
                    </m:ctrlPr>
                  </m:sub>
                </m:sSub>
                <m:d>
                  <m:dPr>
                    <m:ctrlPr>
                      <w:rPr>
                        <w:rFonts w:ascii="Cambria Math" w:hAnsi="Cambria Math"/>
                        <w:i/>
                        <w:kern w:val="0"/>
                        <w:shd w:val="clear" w:color="auto" w:fill="FFFFFF"/>
                      </w:rPr>
                    </m:ctrlPr>
                  </m:dPr>
                  <m:e>
                    <m:r>
                      <m:rPr/>
                      <w:rPr>
                        <w:rFonts w:ascii="Cambria Math" w:hAnsi="Cambria Math"/>
                        <w:kern w:val="0"/>
                        <w:shd w:val="clear" w:color="auto" w:fill="FFFFFF"/>
                      </w:rPr>
                      <m:t>T</m:t>
                    </m:r>
                    <m:ctrlPr>
                      <w:rPr>
                        <w:rFonts w:ascii="Cambria Math" w:hAnsi="Cambria Math"/>
                        <w:i/>
                        <w:kern w:val="0"/>
                        <w:shd w:val="clear" w:color="auto" w:fill="FFFFFF"/>
                      </w:rPr>
                    </m:ctrlPr>
                  </m:e>
                </m:d>
                <m:r>
                  <m:rPr/>
                  <w:rPr>
                    <w:rFonts w:ascii="Cambria Math" w:hAnsi="Cambria Math"/>
                    <w:kern w:val="0"/>
                    <w:shd w:val="clear" w:color="auto" w:fill="FFFFFF"/>
                  </w:rPr>
                  <m:t>=20lg</m:t>
                </m:r>
                <m:d>
                  <m:dPr>
                    <m:ctrlPr>
                      <w:rPr>
                        <w:rFonts w:ascii="Cambria Math" w:hAnsi="Cambria Math"/>
                        <w:i/>
                        <w:kern w:val="0"/>
                        <w:shd w:val="clear" w:color="auto" w:fill="FFFFFF"/>
                      </w:rPr>
                    </m:ctrlPr>
                  </m:dPr>
                  <m:e>
                    <m:r>
                      <m:rPr/>
                      <w:rPr>
                        <w:rFonts w:ascii="Cambria Math" w:hAnsi="Cambria Math"/>
                        <w:kern w:val="0"/>
                        <w:shd w:val="clear" w:color="auto" w:fill="FFFFFF"/>
                      </w:rPr>
                      <m:t>1/T</m:t>
                    </m:r>
                    <m:ctrlPr>
                      <w:rPr>
                        <w:rFonts w:ascii="Cambria Math" w:hAnsi="Cambria Math"/>
                        <w:i/>
                        <w:kern w:val="0"/>
                        <w:shd w:val="clear" w:color="auto" w:fill="FFFFFF"/>
                      </w:rPr>
                    </m:ctrlPr>
                  </m:e>
                </m:d>
                <m:d>
                  <m:dPr>
                    <m:begChr m:val="["/>
                    <m:endChr m:val="]"/>
                    <m:ctrlPr>
                      <w:rPr>
                        <w:rFonts w:ascii="Cambria Math" w:hAnsi="Cambria Math"/>
                        <w:i/>
                        <w:kern w:val="0"/>
                        <w:shd w:val="clear" w:color="auto" w:fill="FFFFFF"/>
                      </w:rPr>
                    </m:ctrlPr>
                  </m:dPr>
                  <m:e>
                    <m:nary>
                      <m:naryPr>
                        <m:chr m:val="∑"/>
                        <m:limLoc m:val="subSup"/>
                        <m:ctrlPr>
                          <w:rPr>
                            <w:rFonts w:ascii="Cambria Math" w:hAnsi="Cambria Math"/>
                            <w:i/>
                            <w:kern w:val="0"/>
                            <w:shd w:val="clear" w:color="auto" w:fill="FFFFFF"/>
                          </w:rPr>
                        </m:ctrlPr>
                      </m:naryPr>
                      <m:sub>
                        <m:r>
                          <m:rPr/>
                          <w:rPr>
                            <w:rFonts w:ascii="Cambria Math" w:hAnsi="Cambria Math"/>
                            <w:kern w:val="0"/>
                            <w:shd w:val="clear" w:color="auto" w:fill="FFFFFF"/>
                          </w:rPr>
                          <m:t>i=1</m:t>
                        </m:r>
                        <m:ctrlPr>
                          <w:rPr>
                            <w:rFonts w:ascii="Cambria Math" w:hAnsi="Cambria Math"/>
                            <w:i/>
                            <w:kern w:val="0"/>
                            <w:shd w:val="clear" w:color="auto" w:fill="FFFFFF"/>
                          </w:rPr>
                        </m:ctrlPr>
                      </m:sub>
                      <m:sup>
                        <m:r>
                          <m:rPr/>
                          <w:rPr>
                            <w:rFonts w:ascii="Cambria Math" w:hAnsi="Cambria Math"/>
                            <w:kern w:val="0"/>
                            <w:shd w:val="clear" w:color="auto" w:fill="FFFFFF"/>
                          </w:rPr>
                          <m:t>N</m:t>
                        </m:r>
                        <m:ctrlPr>
                          <w:rPr>
                            <w:rFonts w:ascii="Cambria Math" w:hAnsi="Cambria Math"/>
                            <w:i/>
                            <w:kern w:val="0"/>
                            <w:shd w:val="clear" w:color="auto" w:fill="FFFFFF"/>
                          </w:rPr>
                        </m:ctrlPr>
                      </m:sup>
                      <m:e>
                        <m:sSub>
                          <m:sSubPr>
                            <m:ctrlPr>
                              <w:rPr>
                                <w:rFonts w:ascii="Cambria Math" w:hAnsi="Cambria Math"/>
                                <w:i/>
                                <w:kern w:val="0"/>
                                <w:shd w:val="clear" w:color="auto" w:fill="FFFFFF"/>
                              </w:rPr>
                            </m:ctrlPr>
                          </m:sSubPr>
                          <m:e>
                            <m:r>
                              <m:rPr/>
                              <w:rPr>
                                <w:rFonts w:ascii="Cambria Math" w:hAnsi="Cambria Math"/>
                                <w:kern w:val="0"/>
                                <w:shd w:val="clear" w:color="auto" w:fill="FFFFFF"/>
                              </w:rPr>
                              <m:t>t</m:t>
                            </m:r>
                            <m:ctrlPr>
                              <w:rPr>
                                <w:rFonts w:ascii="Cambria Math" w:hAnsi="Cambria Math"/>
                                <w:i/>
                                <w:kern w:val="0"/>
                                <w:shd w:val="clear" w:color="auto" w:fill="FFFFFF"/>
                              </w:rPr>
                            </m:ctrlPr>
                          </m:e>
                          <m:sub>
                            <m:r>
                              <m:rPr/>
                              <w:rPr>
                                <w:rFonts w:ascii="Cambria Math" w:hAnsi="Cambria Math"/>
                                <w:kern w:val="0"/>
                                <w:shd w:val="clear" w:color="auto" w:fill="FFFFFF"/>
                              </w:rPr>
                              <m:t>i</m:t>
                            </m:r>
                            <m:ctrlPr>
                              <w:rPr>
                                <w:rFonts w:ascii="Cambria Math" w:hAnsi="Cambria Math"/>
                                <w:i/>
                                <w:kern w:val="0"/>
                                <w:shd w:val="clear" w:color="auto" w:fill="FFFFFF"/>
                              </w:rPr>
                            </m:ctrlPr>
                          </m:sub>
                        </m:sSub>
                        <m:sSup>
                          <m:sSupPr>
                            <m:ctrlPr>
                              <w:rPr>
                                <w:rFonts w:ascii="Cambria Math" w:hAnsi="Cambria Math"/>
                                <w:i/>
                                <w:kern w:val="0"/>
                                <w:shd w:val="clear" w:color="auto" w:fill="FFFFFF"/>
                              </w:rPr>
                            </m:ctrlPr>
                          </m:sSupPr>
                          <m:e>
                            <m:r>
                              <m:rPr/>
                              <w:rPr>
                                <w:rFonts w:ascii="Cambria Math" w:hAnsi="Cambria Math"/>
                                <w:kern w:val="0"/>
                                <w:shd w:val="clear" w:color="auto" w:fill="FFFFFF"/>
                              </w:rPr>
                              <m:t>10</m:t>
                            </m:r>
                            <m:ctrlPr>
                              <w:rPr>
                                <w:rFonts w:ascii="Cambria Math" w:hAnsi="Cambria Math"/>
                                <w:i/>
                                <w:kern w:val="0"/>
                                <w:shd w:val="clear" w:color="auto" w:fill="FFFFFF"/>
                              </w:rPr>
                            </m:ctrlPr>
                          </m:e>
                          <m:sup>
                            <m:r>
                              <m:rPr/>
                              <w:rPr>
                                <w:rFonts w:ascii="Cambria Math" w:hAnsi="Cambria Math"/>
                                <w:kern w:val="0"/>
                                <w:shd w:val="clear" w:color="auto" w:fill="FFFFFF"/>
                              </w:rPr>
                              <m:t>0.1</m:t>
                            </m:r>
                            <m:sSub>
                              <m:sSubPr>
                                <m:ctrlPr>
                                  <w:rPr>
                                    <w:rFonts w:ascii="Cambria Math" w:hAnsi="Cambria Math"/>
                                    <w:i/>
                                    <w:kern w:val="0"/>
                                    <w:shd w:val="clear" w:color="auto" w:fill="FFFFFF"/>
                                  </w:rPr>
                                </m:ctrlPr>
                              </m:sSubPr>
                              <m:e>
                                <m:r>
                                  <m:rPr/>
                                  <w:rPr>
                                    <w:rFonts w:ascii="Cambria Math" w:hAnsi="Cambria Math"/>
                                    <w:kern w:val="0"/>
                                    <w:shd w:val="clear" w:color="auto" w:fill="FFFFFF"/>
                                  </w:rPr>
                                  <m:t>L</m:t>
                                </m:r>
                                <m:ctrlPr>
                                  <w:rPr>
                                    <w:rFonts w:ascii="Cambria Math" w:hAnsi="Cambria Math"/>
                                    <w:i/>
                                    <w:kern w:val="0"/>
                                    <w:shd w:val="clear" w:color="auto" w:fill="FFFFFF"/>
                                  </w:rPr>
                                </m:ctrlPr>
                              </m:e>
                              <m:sub>
                                <m:r>
                                  <m:rPr/>
                                  <w:rPr>
                                    <w:rFonts w:ascii="Cambria Math" w:hAnsi="Cambria Math"/>
                                    <w:kern w:val="0"/>
                                    <w:shd w:val="clear" w:color="auto" w:fill="FFFFFF"/>
                                  </w:rPr>
                                  <m:t>Ai</m:t>
                                </m:r>
                                <m:ctrlPr>
                                  <w:rPr>
                                    <w:rFonts w:ascii="Cambria Math" w:hAnsi="Cambria Math"/>
                                    <w:i/>
                                    <w:kern w:val="0"/>
                                    <w:shd w:val="clear" w:color="auto" w:fill="FFFFFF"/>
                                  </w:rPr>
                                </m:ctrlPr>
                              </m:sub>
                            </m:sSub>
                            <m:ctrlPr>
                              <w:rPr>
                                <w:rFonts w:ascii="Cambria Math" w:hAnsi="Cambria Math"/>
                                <w:i/>
                                <w:kern w:val="0"/>
                                <w:shd w:val="clear" w:color="auto" w:fill="FFFFFF"/>
                              </w:rPr>
                            </m:ctrlPr>
                          </m:sup>
                        </m:sSup>
                        <m:ctrlPr>
                          <w:rPr>
                            <w:rFonts w:ascii="Cambria Math" w:hAnsi="Cambria Math"/>
                            <w:i/>
                            <w:kern w:val="0"/>
                            <w:shd w:val="clear" w:color="auto" w:fill="FFFFFF"/>
                          </w:rPr>
                        </m:ctrlPr>
                      </m:e>
                    </m:nary>
                    <m:ctrlPr>
                      <w:rPr>
                        <w:rFonts w:ascii="Cambria Math" w:hAnsi="Cambria Math"/>
                        <w:i/>
                        <w:kern w:val="0"/>
                        <w:shd w:val="clear" w:color="auto" w:fill="FFFFFF"/>
                      </w:rPr>
                    </m:ctrlPr>
                  </m:e>
                </m:d>
              </m:oMath>
            </m:oMathPara>
          </w:p>
          <w:p w14:paraId="4F38D7B7">
            <w:pPr>
              <w:ind w:firstLine="480"/>
              <w:rPr>
                <w:shd w:val="clear" w:color="auto" w:fill="FFFFFF"/>
              </w:rPr>
            </w:pPr>
            <w:r>
              <w:rPr>
                <w:shd w:val="clear" w:color="auto" w:fill="FFFFFF"/>
              </w:rPr>
              <w:t>式中</w:t>
            </w:r>
            <w:r>
              <w:rPr>
                <w:rFonts w:hint="eastAsia"/>
                <w:shd w:val="clear" w:color="auto" w:fill="FFFFFF"/>
              </w:rPr>
              <w:t>：</w:t>
            </w:r>
          </w:p>
          <w:p w14:paraId="52B86A29">
            <w:pPr>
              <w:ind w:firstLine="1200" w:firstLineChars="500"/>
              <w:rPr>
                <w:shd w:val="clear" w:color="auto" w:fill="FFFFFF"/>
              </w:rPr>
            </w:pPr>
            <w:r>
              <w:rPr>
                <w:shd w:val="clear" w:color="auto" w:fill="FFFFFF"/>
              </w:rPr>
              <w:t>T为计算等效声级的时间，N为声级的个数。</w:t>
            </w:r>
          </w:p>
          <w:p w14:paraId="07CD8934">
            <w:pPr>
              <w:ind w:firstLine="480"/>
            </w:pPr>
            <w:r>
              <w:rPr>
                <w:rFonts w:hint="eastAsia"/>
                <w:shd w:val="clear" w:color="auto" w:fill="FFFFFF"/>
              </w:rPr>
              <w:t>3、</w:t>
            </w:r>
            <w:r>
              <w:rPr>
                <w:rFonts w:hint="eastAsia"/>
              </w:rPr>
              <w:t>预测结果</w:t>
            </w:r>
          </w:p>
          <w:p w14:paraId="73154F5A">
            <w:pPr>
              <w:ind w:firstLine="480"/>
            </w:pPr>
            <w:r>
              <w:rPr>
                <w:rFonts w:hint="eastAsia"/>
              </w:rPr>
              <w:t>根据本项目投产后厂内主要噪声源的位置、声压级情况以及所采取的噪声防治措施，结合现状监测结果，按上述噪声衰减模式对评价区域内噪声对厂界进行预测。预测结果见下表。</w:t>
            </w:r>
          </w:p>
          <w:p w14:paraId="13922A22">
            <w:pPr>
              <w:pStyle w:val="43"/>
            </w:pPr>
            <w:r>
              <w:rPr>
                <w:rFonts w:hint="eastAsia"/>
              </w:rPr>
              <w:t xml:space="preserve">  项目厂界噪声预测表单位：dB（A）</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56"/>
              <w:gridCol w:w="2288"/>
              <w:gridCol w:w="910"/>
              <w:gridCol w:w="1068"/>
              <w:gridCol w:w="1381"/>
              <w:gridCol w:w="1422"/>
            </w:tblGrid>
            <w:tr w14:paraId="3D2B72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596" w:type="pct"/>
                  <w:vAlign w:val="center"/>
                </w:tcPr>
                <w:p w14:paraId="69670655">
                  <w:pPr>
                    <w:pStyle w:val="58"/>
                    <w:jc w:val="center"/>
                  </w:pPr>
                  <w:r>
                    <w:rPr>
                      <w:rFonts w:hint="eastAsia"/>
                    </w:rPr>
                    <w:t>序号</w:t>
                  </w:r>
                </w:p>
              </w:tc>
              <w:tc>
                <w:tcPr>
                  <w:tcW w:w="1425" w:type="pct"/>
                  <w:vAlign w:val="center"/>
                </w:tcPr>
                <w:p w14:paraId="306ADC9F">
                  <w:pPr>
                    <w:pStyle w:val="58"/>
                    <w:jc w:val="center"/>
                  </w:pPr>
                  <w:r>
                    <w:t>点位</w:t>
                  </w:r>
                </w:p>
              </w:tc>
              <w:tc>
                <w:tcPr>
                  <w:tcW w:w="567" w:type="pct"/>
                  <w:vAlign w:val="center"/>
                </w:tcPr>
                <w:p w14:paraId="0E9E8F44">
                  <w:pPr>
                    <w:pStyle w:val="58"/>
                    <w:jc w:val="center"/>
                  </w:pPr>
                  <w:r>
                    <w:rPr>
                      <w:rFonts w:hint="eastAsia"/>
                    </w:rPr>
                    <w:t>评价时段</w:t>
                  </w:r>
                </w:p>
              </w:tc>
              <w:tc>
                <w:tcPr>
                  <w:tcW w:w="665" w:type="pct"/>
                  <w:vAlign w:val="center"/>
                </w:tcPr>
                <w:p w14:paraId="73EACC76">
                  <w:pPr>
                    <w:pStyle w:val="58"/>
                    <w:jc w:val="center"/>
                  </w:pPr>
                  <w:r>
                    <w:t>贡献值</w:t>
                  </w:r>
                </w:p>
              </w:tc>
              <w:tc>
                <w:tcPr>
                  <w:tcW w:w="860" w:type="pct"/>
                  <w:vAlign w:val="center"/>
                </w:tcPr>
                <w:p w14:paraId="11B2C3E1">
                  <w:pPr>
                    <w:pStyle w:val="58"/>
                    <w:jc w:val="center"/>
                  </w:pPr>
                  <w:r>
                    <w:t>评价标准</w:t>
                  </w:r>
                </w:p>
              </w:tc>
              <w:tc>
                <w:tcPr>
                  <w:tcW w:w="886" w:type="pct"/>
                  <w:vAlign w:val="center"/>
                </w:tcPr>
                <w:p w14:paraId="12114FB4">
                  <w:pPr>
                    <w:pStyle w:val="58"/>
                    <w:jc w:val="center"/>
                  </w:pPr>
                  <w:r>
                    <w:t>评价结果</w:t>
                  </w:r>
                </w:p>
              </w:tc>
            </w:tr>
            <w:tr w14:paraId="2A346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596" w:type="pct"/>
                  <w:vMerge w:val="restart"/>
                  <w:vAlign w:val="center"/>
                </w:tcPr>
                <w:p w14:paraId="46CF9960">
                  <w:pPr>
                    <w:pStyle w:val="58"/>
                    <w:jc w:val="center"/>
                    <w:rPr>
                      <w:b w:val="0"/>
                      <w:bCs w:val="0"/>
                    </w:rPr>
                  </w:pPr>
                  <w:r>
                    <w:rPr>
                      <w:b w:val="0"/>
                      <w:bCs w:val="0"/>
                    </w:rPr>
                    <w:t>1#</w:t>
                  </w:r>
                </w:p>
              </w:tc>
              <w:tc>
                <w:tcPr>
                  <w:tcW w:w="1425" w:type="pct"/>
                  <w:vMerge w:val="restart"/>
                  <w:vAlign w:val="center"/>
                </w:tcPr>
                <w:p w14:paraId="253BE32D">
                  <w:pPr>
                    <w:pStyle w:val="58"/>
                    <w:jc w:val="center"/>
                    <w:rPr>
                      <w:b w:val="0"/>
                      <w:bCs w:val="0"/>
                    </w:rPr>
                  </w:pPr>
                  <w:r>
                    <w:rPr>
                      <w:rFonts w:hint="eastAsia"/>
                      <w:b w:val="0"/>
                      <w:bCs w:val="0"/>
                    </w:rPr>
                    <w:t>厂界外东侧距厂界1m处</w:t>
                  </w:r>
                </w:p>
              </w:tc>
              <w:tc>
                <w:tcPr>
                  <w:tcW w:w="567" w:type="pct"/>
                  <w:vAlign w:val="center"/>
                </w:tcPr>
                <w:p w14:paraId="0586ED06">
                  <w:pPr>
                    <w:pStyle w:val="58"/>
                    <w:jc w:val="center"/>
                    <w:rPr>
                      <w:b w:val="0"/>
                      <w:bCs w:val="0"/>
                    </w:rPr>
                  </w:pPr>
                  <w:r>
                    <w:rPr>
                      <w:rFonts w:hint="eastAsia"/>
                      <w:b w:val="0"/>
                      <w:bCs w:val="0"/>
                    </w:rPr>
                    <w:t>昼间</w:t>
                  </w:r>
                </w:p>
              </w:tc>
              <w:tc>
                <w:tcPr>
                  <w:tcW w:w="665" w:type="pct"/>
                  <w:vAlign w:val="center"/>
                </w:tcPr>
                <w:p w14:paraId="243FB115">
                  <w:pPr>
                    <w:pStyle w:val="58"/>
                    <w:jc w:val="center"/>
                    <w:rPr>
                      <w:b w:val="0"/>
                      <w:bCs w:val="0"/>
                    </w:rPr>
                  </w:pPr>
                  <w:r>
                    <w:rPr>
                      <w:rFonts w:hint="eastAsia"/>
                      <w:b w:val="0"/>
                      <w:bCs w:val="0"/>
                    </w:rPr>
                    <w:t>43.79</w:t>
                  </w:r>
                </w:p>
              </w:tc>
              <w:tc>
                <w:tcPr>
                  <w:tcW w:w="860" w:type="pct"/>
                  <w:vAlign w:val="center"/>
                </w:tcPr>
                <w:p w14:paraId="3A794B6B">
                  <w:pPr>
                    <w:pStyle w:val="58"/>
                    <w:jc w:val="center"/>
                    <w:rPr>
                      <w:b w:val="0"/>
                      <w:bCs w:val="0"/>
                    </w:rPr>
                  </w:pPr>
                  <w:r>
                    <w:rPr>
                      <w:rFonts w:hint="eastAsia"/>
                      <w:b w:val="0"/>
                      <w:bCs w:val="0"/>
                    </w:rPr>
                    <w:t>65</w:t>
                  </w:r>
                </w:p>
              </w:tc>
              <w:tc>
                <w:tcPr>
                  <w:tcW w:w="886" w:type="pct"/>
                  <w:vAlign w:val="center"/>
                </w:tcPr>
                <w:p w14:paraId="5A4F2B13">
                  <w:pPr>
                    <w:pStyle w:val="58"/>
                    <w:jc w:val="center"/>
                    <w:rPr>
                      <w:b w:val="0"/>
                      <w:bCs w:val="0"/>
                    </w:rPr>
                  </w:pPr>
                  <w:r>
                    <w:rPr>
                      <w:b w:val="0"/>
                      <w:bCs w:val="0"/>
                    </w:rPr>
                    <w:t>达标</w:t>
                  </w:r>
                </w:p>
              </w:tc>
            </w:tr>
            <w:tr w14:paraId="25E2BC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596" w:type="pct"/>
                  <w:vMerge w:val="continue"/>
                  <w:vAlign w:val="center"/>
                </w:tcPr>
                <w:p w14:paraId="3705171B">
                  <w:pPr>
                    <w:pStyle w:val="58"/>
                    <w:jc w:val="center"/>
                    <w:rPr>
                      <w:b w:val="0"/>
                      <w:bCs w:val="0"/>
                    </w:rPr>
                  </w:pPr>
                </w:p>
              </w:tc>
              <w:tc>
                <w:tcPr>
                  <w:tcW w:w="1425" w:type="pct"/>
                  <w:vMerge w:val="continue"/>
                  <w:vAlign w:val="center"/>
                </w:tcPr>
                <w:p w14:paraId="59543D80">
                  <w:pPr>
                    <w:pStyle w:val="58"/>
                    <w:jc w:val="center"/>
                    <w:rPr>
                      <w:b w:val="0"/>
                      <w:bCs w:val="0"/>
                    </w:rPr>
                  </w:pPr>
                </w:p>
              </w:tc>
              <w:tc>
                <w:tcPr>
                  <w:tcW w:w="567" w:type="pct"/>
                  <w:vAlign w:val="center"/>
                </w:tcPr>
                <w:p w14:paraId="0FC83769">
                  <w:pPr>
                    <w:pStyle w:val="58"/>
                    <w:jc w:val="center"/>
                    <w:rPr>
                      <w:b w:val="0"/>
                      <w:bCs w:val="0"/>
                    </w:rPr>
                  </w:pPr>
                  <w:r>
                    <w:rPr>
                      <w:rFonts w:hint="eastAsia"/>
                      <w:b w:val="0"/>
                      <w:bCs w:val="0"/>
                    </w:rPr>
                    <w:t>夜间</w:t>
                  </w:r>
                </w:p>
              </w:tc>
              <w:tc>
                <w:tcPr>
                  <w:tcW w:w="665" w:type="pct"/>
                  <w:vAlign w:val="center"/>
                </w:tcPr>
                <w:p w14:paraId="0F027DCE">
                  <w:pPr>
                    <w:pStyle w:val="58"/>
                    <w:jc w:val="center"/>
                    <w:rPr>
                      <w:b w:val="0"/>
                      <w:bCs w:val="0"/>
                    </w:rPr>
                  </w:pPr>
                  <w:r>
                    <w:rPr>
                      <w:rFonts w:hint="eastAsia"/>
                      <w:b w:val="0"/>
                      <w:bCs w:val="0"/>
                    </w:rPr>
                    <w:t>43.79</w:t>
                  </w:r>
                </w:p>
              </w:tc>
              <w:tc>
                <w:tcPr>
                  <w:tcW w:w="860" w:type="pct"/>
                  <w:vAlign w:val="center"/>
                </w:tcPr>
                <w:p w14:paraId="6DA10653">
                  <w:pPr>
                    <w:pStyle w:val="58"/>
                    <w:jc w:val="center"/>
                    <w:rPr>
                      <w:b w:val="0"/>
                      <w:bCs w:val="0"/>
                    </w:rPr>
                  </w:pPr>
                  <w:r>
                    <w:rPr>
                      <w:rFonts w:hint="eastAsia"/>
                      <w:b w:val="0"/>
                      <w:bCs w:val="0"/>
                    </w:rPr>
                    <w:t>55</w:t>
                  </w:r>
                </w:p>
              </w:tc>
              <w:tc>
                <w:tcPr>
                  <w:tcW w:w="886" w:type="pct"/>
                  <w:vAlign w:val="center"/>
                </w:tcPr>
                <w:p w14:paraId="557C8AB9">
                  <w:pPr>
                    <w:pStyle w:val="58"/>
                    <w:jc w:val="center"/>
                    <w:rPr>
                      <w:b w:val="0"/>
                      <w:bCs w:val="0"/>
                    </w:rPr>
                  </w:pPr>
                  <w:r>
                    <w:rPr>
                      <w:b w:val="0"/>
                      <w:bCs w:val="0"/>
                    </w:rPr>
                    <w:t>达标</w:t>
                  </w:r>
                </w:p>
              </w:tc>
            </w:tr>
            <w:tr w14:paraId="45A6A1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596" w:type="pct"/>
                  <w:vMerge w:val="restart"/>
                  <w:vAlign w:val="center"/>
                </w:tcPr>
                <w:p w14:paraId="066D91D8">
                  <w:pPr>
                    <w:pStyle w:val="58"/>
                    <w:jc w:val="center"/>
                    <w:rPr>
                      <w:b w:val="0"/>
                      <w:bCs w:val="0"/>
                    </w:rPr>
                  </w:pPr>
                  <w:r>
                    <w:rPr>
                      <w:b w:val="0"/>
                      <w:bCs w:val="0"/>
                    </w:rPr>
                    <w:t>2#</w:t>
                  </w:r>
                </w:p>
              </w:tc>
              <w:tc>
                <w:tcPr>
                  <w:tcW w:w="1425" w:type="pct"/>
                  <w:vMerge w:val="restart"/>
                  <w:vAlign w:val="center"/>
                </w:tcPr>
                <w:p w14:paraId="3480C025">
                  <w:pPr>
                    <w:pStyle w:val="58"/>
                    <w:jc w:val="center"/>
                    <w:rPr>
                      <w:b w:val="0"/>
                      <w:bCs w:val="0"/>
                    </w:rPr>
                  </w:pPr>
                  <w:r>
                    <w:rPr>
                      <w:rFonts w:hint="eastAsia"/>
                      <w:b w:val="0"/>
                      <w:bCs w:val="0"/>
                    </w:rPr>
                    <w:t>厂界外南侧距厂界1m处</w:t>
                  </w:r>
                </w:p>
              </w:tc>
              <w:tc>
                <w:tcPr>
                  <w:tcW w:w="567" w:type="pct"/>
                  <w:vAlign w:val="center"/>
                </w:tcPr>
                <w:p w14:paraId="4A581984">
                  <w:pPr>
                    <w:pStyle w:val="58"/>
                    <w:jc w:val="center"/>
                    <w:rPr>
                      <w:b w:val="0"/>
                      <w:bCs w:val="0"/>
                    </w:rPr>
                  </w:pPr>
                  <w:r>
                    <w:rPr>
                      <w:rFonts w:hint="eastAsia"/>
                      <w:b w:val="0"/>
                      <w:bCs w:val="0"/>
                    </w:rPr>
                    <w:t>昼间</w:t>
                  </w:r>
                </w:p>
              </w:tc>
              <w:tc>
                <w:tcPr>
                  <w:tcW w:w="665" w:type="pct"/>
                  <w:vAlign w:val="center"/>
                </w:tcPr>
                <w:p w14:paraId="30D7C122">
                  <w:pPr>
                    <w:pStyle w:val="58"/>
                    <w:jc w:val="center"/>
                    <w:rPr>
                      <w:b w:val="0"/>
                      <w:bCs w:val="0"/>
                    </w:rPr>
                  </w:pPr>
                  <w:r>
                    <w:rPr>
                      <w:rFonts w:hint="eastAsia"/>
                      <w:b w:val="0"/>
                      <w:bCs w:val="0"/>
                    </w:rPr>
                    <w:t>34.02</w:t>
                  </w:r>
                </w:p>
              </w:tc>
              <w:tc>
                <w:tcPr>
                  <w:tcW w:w="860" w:type="pct"/>
                  <w:vAlign w:val="center"/>
                </w:tcPr>
                <w:p w14:paraId="60190992">
                  <w:pPr>
                    <w:pStyle w:val="58"/>
                    <w:jc w:val="center"/>
                    <w:rPr>
                      <w:b w:val="0"/>
                      <w:bCs w:val="0"/>
                    </w:rPr>
                  </w:pPr>
                  <w:r>
                    <w:rPr>
                      <w:rFonts w:hint="eastAsia"/>
                      <w:b w:val="0"/>
                      <w:bCs w:val="0"/>
                    </w:rPr>
                    <w:t>65</w:t>
                  </w:r>
                </w:p>
              </w:tc>
              <w:tc>
                <w:tcPr>
                  <w:tcW w:w="886" w:type="pct"/>
                  <w:vAlign w:val="center"/>
                </w:tcPr>
                <w:p w14:paraId="3B91062C">
                  <w:pPr>
                    <w:pStyle w:val="58"/>
                    <w:jc w:val="center"/>
                    <w:rPr>
                      <w:b w:val="0"/>
                      <w:bCs w:val="0"/>
                    </w:rPr>
                  </w:pPr>
                  <w:r>
                    <w:rPr>
                      <w:b w:val="0"/>
                      <w:bCs w:val="0"/>
                    </w:rPr>
                    <w:t>达标</w:t>
                  </w:r>
                </w:p>
              </w:tc>
            </w:tr>
            <w:tr w14:paraId="6ED5EF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596" w:type="pct"/>
                  <w:vMerge w:val="continue"/>
                  <w:vAlign w:val="center"/>
                </w:tcPr>
                <w:p w14:paraId="2490505A">
                  <w:pPr>
                    <w:pStyle w:val="58"/>
                    <w:jc w:val="center"/>
                    <w:rPr>
                      <w:b w:val="0"/>
                      <w:bCs w:val="0"/>
                    </w:rPr>
                  </w:pPr>
                </w:p>
              </w:tc>
              <w:tc>
                <w:tcPr>
                  <w:tcW w:w="1425" w:type="pct"/>
                  <w:vMerge w:val="continue"/>
                  <w:vAlign w:val="center"/>
                </w:tcPr>
                <w:p w14:paraId="4F675407">
                  <w:pPr>
                    <w:pStyle w:val="58"/>
                    <w:jc w:val="center"/>
                    <w:rPr>
                      <w:b w:val="0"/>
                      <w:bCs w:val="0"/>
                    </w:rPr>
                  </w:pPr>
                </w:p>
              </w:tc>
              <w:tc>
                <w:tcPr>
                  <w:tcW w:w="567" w:type="pct"/>
                  <w:vAlign w:val="center"/>
                </w:tcPr>
                <w:p w14:paraId="4A0F6762">
                  <w:pPr>
                    <w:pStyle w:val="58"/>
                    <w:jc w:val="center"/>
                    <w:rPr>
                      <w:b w:val="0"/>
                      <w:bCs w:val="0"/>
                    </w:rPr>
                  </w:pPr>
                  <w:r>
                    <w:rPr>
                      <w:rFonts w:hint="eastAsia"/>
                      <w:b w:val="0"/>
                      <w:bCs w:val="0"/>
                    </w:rPr>
                    <w:t>夜间</w:t>
                  </w:r>
                </w:p>
              </w:tc>
              <w:tc>
                <w:tcPr>
                  <w:tcW w:w="665" w:type="pct"/>
                  <w:vAlign w:val="center"/>
                </w:tcPr>
                <w:p w14:paraId="4BFE0872">
                  <w:pPr>
                    <w:pStyle w:val="58"/>
                    <w:jc w:val="center"/>
                    <w:rPr>
                      <w:b w:val="0"/>
                      <w:bCs w:val="0"/>
                    </w:rPr>
                  </w:pPr>
                  <w:r>
                    <w:rPr>
                      <w:rFonts w:hint="eastAsia"/>
                      <w:b w:val="0"/>
                      <w:bCs w:val="0"/>
                    </w:rPr>
                    <w:t>34.02</w:t>
                  </w:r>
                </w:p>
              </w:tc>
              <w:tc>
                <w:tcPr>
                  <w:tcW w:w="860" w:type="pct"/>
                  <w:vAlign w:val="center"/>
                </w:tcPr>
                <w:p w14:paraId="6B96E231">
                  <w:pPr>
                    <w:pStyle w:val="58"/>
                    <w:jc w:val="center"/>
                    <w:rPr>
                      <w:b w:val="0"/>
                      <w:bCs w:val="0"/>
                    </w:rPr>
                  </w:pPr>
                  <w:r>
                    <w:rPr>
                      <w:rFonts w:hint="eastAsia"/>
                      <w:b w:val="0"/>
                      <w:bCs w:val="0"/>
                    </w:rPr>
                    <w:t>55</w:t>
                  </w:r>
                </w:p>
              </w:tc>
              <w:tc>
                <w:tcPr>
                  <w:tcW w:w="886" w:type="pct"/>
                  <w:vAlign w:val="center"/>
                </w:tcPr>
                <w:p w14:paraId="16705768">
                  <w:pPr>
                    <w:pStyle w:val="58"/>
                    <w:jc w:val="center"/>
                    <w:rPr>
                      <w:b w:val="0"/>
                      <w:bCs w:val="0"/>
                    </w:rPr>
                  </w:pPr>
                  <w:r>
                    <w:rPr>
                      <w:b w:val="0"/>
                      <w:bCs w:val="0"/>
                    </w:rPr>
                    <w:t>达标</w:t>
                  </w:r>
                </w:p>
              </w:tc>
            </w:tr>
            <w:tr w14:paraId="74462A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596" w:type="pct"/>
                  <w:vMerge w:val="restart"/>
                  <w:vAlign w:val="center"/>
                </w:tcPr>
                <w:p w14:paraId="2062F57A">
                  <w:pPr>
                    <w:pStyle w:val="58"/>
                    <w:jc w:val="center"/>
                    <w:rPr>
                      <w:b w:val="0"/>
                      <w:bCs w:val="0"/>
                    </w:rPr>
                  </w:pPr>
                  <w:r>
                    <w:rPr>
                      <w:rFonts w:hint="eastAsia"/>
                      <w:b w:val="0"/>
                      <w:bCs w:val="0"/>
                    </w:rPr>
                    <w:t>3#</w:t>
                  </w:r>
                </w:p>
              </w:tc>
              <w:tc>
                <w:tcPr>
                  <w:tcW w:w="1425" w:type="pct"/>
                  <w:vMerge w:val="restart"/>
                  <w:vAlign w:val="center"/>
                </w:tcPr>
                <w:p w14:paraId="0F7005CA">
                  <w:pPr>
                    <w:pStyle w:val="58"/>
                    <w:jc w:val="center"/>
                    <w:rPr>
                      <w:b w:val="0"/>
                      <w:bCs w:val="0"/>
                    </w:rPr>
                  </w:pPr>
                  <w:r>
                    <w:rPr>
                      <w:rFonts w:hint="eastAsia"/>
                      <w:b w:val="0"/>
                      <w:bCs w:val="0"/>
                    </w:rPr>
                    <w:t>厂界外西侧距厂界1m处</w:t>
                  </w:r>
                </w:p>
              </w:tc>
              <w:tc>
                <w:tcPr>
                  <w:tcW w:w="567" w:type="pct"/>
                  <w:vAlign w:val="center"/>
                </w:tcPr>
                <w:p w14:paraId="579AE043">
                  <w:pPr>
                    <w:pStyle w:val="58"/>
                    <w:jc w:val="center"/>
                    <w:rPr>
                      <w:b w:val="0"/>
                      <w:bCs w:val="0"/>
                    </w:rPr>
                  </w:pPr>
                  <w:r>
                    <w:rPr>
                      <w:rFonts w:hint="eastAsia"/>
                      <w:b w:val="0"/>
                      <w:bCs w:val="0"/>
                    </w:rPr>
                    <w:t>昼间</w:t>
                  </w:r>
                </w:p>
              </w:tc>
              <w:tc>
                <w:tcPr>
                  <w:tcW w:w="665" w:type="pct"/>
                  <w:vAlign w:val="center"/>
                </w:tcPr>
                <w:p w14:paraId="6B9A47EC">
                  <w:pPr>
                    <w:pStyle w:val="58"/>
                    <w:jc w:val="center"/>
                    <w:rPr>
                      <w:b w:val="0"/>
                      <w:bCs w:val="0"/>
                    </w:rPr>
                  </w:pPr>
                  <w:r>
                    <w:rPr>
                      <w:rFonts w:hint="eastAsia"/>
                      <w:b w:val="0"/>
                      <w:bCs w:val="0"/>
                    </w:rPr>
                    <w:t>38.05</w:t>
                  </w:r>
                </w:p>
              </w:tc>
              <w:tc>
                <w:tcPr>
                  <w:tcW w:w="860" w:type="pct"/>
                  <w:vAlign w:val="center"/>
                </w:tcPr>
                <w:p w14:paraId="18C623EB">
                  <w:pPr>
                    <w:pStyle w:val="58"/>
                    <w:jc w:val="center"/>
                    <w:rPr>
                      <w:b w:val="0"/>
                      <w:bCs w:val="0"/>
                    </w:rPr>
                  </w:pPr>
                  <w:r>
                    <w:rPr>
                      <w:rFonts w:hint="eastAsia"/>
                      <w:b w:val="0"/>
                      <w:bCs w:val="0"/>
                    </w:rPr>
                    <w:t>65</w:t>
                  </w:r>
                </w:p>
              </w:tc>
              <w:tc>
                <w:tcPr>
                  <w:tcW w:w="886" w:type="pct"/>
                  <w:vAlign w:val="center"/>
                </w:tcPr>
                <w:p w14:paraId="045CB987">
                  <w:pPr>
                    <w:pStyle w:val="58"/>
                    <w:jc w:val="center"/>
                    <w:rPr>
                      <w:b w:val="0"/>
                      <w:bCs w:val="0"/>
                    </w:rPr>
                  </w:pPr>
                  <w:r>
                    <w:rPr>
                      <w:b w:val="0"/>
                      <w:bCs w:val="0"/>
                    </w:rPr>
                    <w:t>达标</w:t>
                  </w:r>
                </w:p>
              </w:tc>
            </w:tr>
            <w:tr w14:paraId="3B5E90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70" w:hRule="atLeast"/>
                <w:jc w:val="center"/>
              </w:trPr>
              <w:tc>
                <w:tcPr>
                  <w:tcW w:w="596" w:type="pct"/>
                  <w:vMerge w:val="continue"/>
                  <w:vAlign w:val="center"/>
                </w:tcPr>
                <w:p w14:paraId="42DE8AB4">
                  <w:pPr>
                    <w:pStyle w:val="58"/>
                    <w:jc w:val="center"/>
                    <w:rPr>
                      <w:b w:val="0"/>
                      <w:bCs w:val="0"/>
                    </w:rPr>
                  </w:pPr>
                </w:p>
              </w:tc>
              <w:tc>
                <w:tcPr>
                  <w:tcW w:w="1425" w:type="pct"/>
                  <w:vMerge w:val="continue"/>
                  <w:vAlign w:val="center"/>
                </w:tcPr>
                <w:p w14:paraId="6E7BECFC">
                  <w:pPr>
                    <w:pStyle w:val="58"/>
                    <w:jc w:val="center"/>
                    <w:rPr>
                      <w:b w:val="0"/>
                      <w:bCs w:val="0"/>
                    </w:rPr>
                  </w:pPr>
                </w:p>
              </w:tc>
              <w:tc>
                <w:tcPr>
                  <w:tcW w:w="567" w:type="pct"/>
                  <w:vAlign w:val="center"/>
                </w:tcPr>
                <w:p w14:paraId="233F7855">
                  <w:pPr>
                    <w:pStyle w:val="58"/>
                    <w:jc w:val="center"/>
                    <w:rPr>
                      <w:b w:val="0"/>
                      <w:bCs w:val="0"/>
                    </w:rPr>
                  </w:pPr>
                  <w:r>
                    <w:rPr>
                      <w:rFonts w:hint="eastAsia"/>
                      <w:b w:val="0"/>
                      <w:bCs w:val="0"/>
                    </w:rPr>
                    <w:t>夜间</w:t>
                  </w:r>
                </w:p>
              </w:tc>
              <w:tc>
                <w:tcPr>
                  <w:tcW w:w="665" w:type="pct"/>
                  <w:vAlign w:val="center"/>
                </w:tcPr>
                <w:p w14:paraId="54F82739">
                  <w:pPr>
                    <w:pStyle w:val="58"/>
                    <w:jc w:val="center"/>
                    <w:rPr>
                      <w:b w:val="0"/>
                      <w:bCs w:val="0"/>
                    </w:rPr>
                  </w:pPr>
                  <w:r>
                    <w:rPr>
                      <w:rFonts w:hint="eastAsia"/>
                      <w:b w:val="0"/>
                      <w:bCs w:val="0"/>
                    </w:rPr>
                    <w:t>38.05</w:t>
                  </w:r>
                </w:p>
              </w:tc>
              <w:tc>
                <w:tcPr>
                  <w:tcW w:w="860" w:type="pct"/>
                  <w:vAlign w:val="center"/>
                </w:tcPr>
                <w:p w14:paraId="4F05A773">
                  <w:pPr>
                    <w:pStyle w:val="58"/>
                    <w:jc w:val="center"/>
                    <w:rPr>
                      <w:b w:val="0"/>
                      <w:bCs w:val="0"/>
                    </w:rPr>
                  </w:pPr>
                  <w:r>
                    <w:rPr>
                      <w:rFonts w:hint="eastAsia"/>
                      <w:b w:val="0"/>
                      <w:bCs w:val="0"/>
                    </w:rPr>
                    <w:t>55</w:t>
                  </w:r>
                </w:p>
              </w:tc>
              <w:tc>
                <w:tcPr>
                  <w:tcW w:w="886" w:type="pct"/>
                  <w:vAlign w:val="center"/>
                </w:tcPr>
                <w:p w14:paraId="26F5B647">
                  <w:pPr>
                    <w:pStyle w:val="58"/>
                    <w:jc w:val="center"/>
                    <w:rPr>
                      <w:b w:val="0"/>
                      <w:bCs w:val="0"/>
                    </w:rPr>
                  </w:pPr>
                  <w:r>
                    <w:rPr>
                      <w:b w:val="0"/>
                      <w:bCs w:val="0"/>
                    </w:rPr>
                    <w:t>达标</w:t>
                  </w:r>
                </w:p>
              </w:tc>
            </w:tr>
            <w:tr w14:paraId="318B11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596" w:type="pct"/>
                  <w:vMerge w:val="restart"/>
                  <w:vAlign w:val="center"/>
                </w:tcPr>
                <w:p w14:paraId="35EA5A05">
                  <w:pPr>
                    <w:pStyle w:val="58"/>
                    <w:jc w:val="center"/>
                    <w:rPr>
                      <w:b w:val="0"/>
                      <w:bCs w:val="0"/>
                    </w:rPr>
                  </w:pPr>
                  <w:r>
                    <w:rPr>
                      <w:rFonts w:hint="eastAsia"/>
                      <w:b w:val="0"/>
                      <w:bCs w:val="0"/>
                    </w:rPr>
                    <w:t>4#</w:t>
                  </w:r>
                </w:p>
              </w:tc>
              <w:tc>
                <w:tcPr>
                  <w:tcW w:w="1425" w:type="pct"/>
                  <w:vMerge w:val="restart"/>
                  <w:vAlign w:val="center"/>
                </w:tcPr>
                <w:p w14:paraId="7A8C32B3">
                  <w:pPr>
                    <w:pStyle w:val="58"/>
                    <w:jc w:val="center"/>
                    <w:rPr>
                      <w:b w:val="0"/>
                      <w:bCs w:val="0"/>
                    </w:rPr>
                  </w:pPr>
                  <w:r>
                    <w:rPr>
                      <w:rFonts w:hint="eastAsia"/>
                      <w:b w:val="0"/>
                      <w:bCs w:val="0"/>
                    </w:rPr>
                    <w:t>厂界外北侧距厂界1m处</w:t>
                  </w:r>
                </w:p>
              </w:tc>
              <w:tc>
                <w:tcPr>
                  <w:tcW w:w="567" w:type="pct"/>
                  <w:vAlign w:val="center"/>
                </w:tcPr>
                <w:p w14:paraId="6F8208C4">
                  <w:pPr>
                    <w:pStyle w:val="58"/>
                    <w:jc w:val="center"/>
                    <w:rPr>
                      <w:b w:val="0"/>
                      <w:bCs w:val="0"/>
                    </w:rPr>
                  </w:pPr>
                  <w:r>
                    <w:rPr>
                      <w:rFonts w:hint="eastAsia"/>
                      <w:b w:val="0"/>
                      <w:bCs w:val="0"/>
                    </w:rPr>
                    <w:t>昼间</w:t>
                  </w:r>
                </w:p>
              </w:tc>
              <w:tc>
                <w:tcPr>
                  <w:tcW w:w="665" w:type="pct"/>
                  <w:vAlign w:val="center"/>
                </w:tcPr>
                <w:p w14:paraId="6A973E43">
                  <w:pPr>
                    <w:pStyle w:val="58"/>
                    <w:jc w:val="center"/>
                    <w:rPr>
                      <w:b w:val="0"/>
                      <w:bCs w:val="0"/>
                    </w:rPr>
                  </w:pPr>
                  <w:r>
                    <w:rPr>
                      <w:rFonts w:hint="eastAsia"/>
                      <w:b w:val="0"/>
                      <w:bCs w:val="0"/>
                    </w:rPr>
                    <w:t>45.58</w:t>
                  </w:r>
                </w:p>
              </w:tc>
              <w:tc>
                <w:tcPr>
                  <w:tcW w:w="860" w:type="pct"/>
                  <w:vAlign w:val="center"/>
                </w:tcPr>
                <w:p w14:paraId="473C824E">
                  <w:pPr>
                    <w:pStyle w:val="58"/>
                    <w:jc w:val="center"/>
                    <w:rPr>
                      <w:b w:val="0"/>
                      <w:bCs w:val="0"/>
                    </w:rPr>
                  </w:pPr>
                  <w:r>
                    <w:rPr>
                      <w:rFonts w:hint="eastAsia"/>
                      <w:b w:val="0"/>
                      <w:bCs w:val="0"/>
                    </w:rPr>
                    <w:t>65</w:t>
                  </w:r>
                </w:p>
              </w:tc>
              <w:tc>
                <w:tcPr>
                  <w:tcW w:w="886" w:type="pct"/>
                  <w:vAlign w:val="center"/>
                </w:tcPr>
                <w:p w14:paraId="775FCEBD">
                  <w:pPr>
                    <w:pStyle w:val="58"/>
                    <w:jc w:val="center"/>
                    <w:rPr>
                      <w:b w:val="0"/>
                      <w:bCs w:val="0"/>
                    </w:rPr>
                  </w:pPr>
                  <w:r>
                    <w:rPr>
                      <w:b w:val="0"/>
                      <w:bCs w:val="0"/>
                    </w:rPr>
                    <w:t>达标</w:t>
                  </w:r>
                </w:p>
              </w:tc>
            </w:tr>
            <w:tr w14:paraId="5BAF6E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596" w:type="pct"/>
                  <w:vMerge w:val="continue"/>
                  <w:vAlign w:val="center"/>
                </w:tcPr>
                <w:p w14:paraId="3F361FDD">
                  <w:pPr>
                    <w:pStyle w:val="58"/>
                    <w:jc w:val="center"/>
                    <w:rPr>
                      <w:b w:val="0"/>
                      <w:bCs w:val="0"/>
                    </w:rPr>
                  </w:pPr>
                </w:p>
              </w:tc>
              <w:tc>
                <w:tcPr>
                  <w:tcW w:w="1425" w:type="pct"/>
                  <w:vMerge w:val="continue"/>
                  <w:vAlign w:val="center"/>
                </w:tcPr>
                <w:p w14:paraId="1A7144F1">
                  <w:pPr>
                    <w:pStyle w:val="58"/>
                    <w:jc w:val="center"/>
                    <w:rPr>
                      <w:b w:val="0"/>
                      <w:bCs w:val="0"/>
                    </w:rPr>
                  </w:pPr>
                </w:p>
              </w:tc>
              <w:tc>
                <w:tcPr>
                  <w:tcW w:w="567" w:type="pct"/>
                  <w:vAlign w:val="center"/>
                </w:tcPr>
                <w:p w14:paraId="066E9B5C">
                  <w:pPr>
                    <w:pStyle w:val="58"/>
                    <w:jc w:val="center"/>
                    <w:rPr>
                      <w:b w:val="0"/>
                      <w:bCs w:val="0"/>
                    </w:rPr>
                  </w:pPr>
                  <w:r>
                    <w:rPr>
                      <w:rFonts w:hint="eastAsia"/>
                      <w:b w:val="0"/>
                      <w:bCs w:val="0"/>
                    </w:rPr>
                    <w:t>夜间</w:t>
                  </w:r>
                </w:p>
              </w:tc>
              <w:tc>
                <w:tcPr>
                  <w:tcW w:w="665" w:type="pct"/>
                  <w:vAlign w:val="center"/>
                </w:tcPr>
                <w:p w14:paraId="5C4AC8AD">
                  <w:pPr>
                    <w:pStyle w:val="58"/>
                    <w:jc w:val="center"/>
                    <w:rPr>
                      <w:b w:val="0"/>
                      <w:bCs w:val="0"/>
                    </w:rPr>
                  </w:pPr>
                  <w:r>
                    <w:rPr>
                      <w:rFonts w:hint="eastAsia"/>
                      <w:b w:val="0"/>
                      <w:bCs w:val="0"/>
                    </w:rPr>
                    <w:t>45.58</w:t>
                  </w:r>
                </w:p>
              </w:tc>
              <w:tc>
                <w:tcPr>
                  <w:tcW w:w="860" w:type="pct"/>
                  <w:vAlign w:val="center"/>
                </w:tcPr>
                <w:p w14:paraId="3C016DCA">
                  <w:pPr>
                    <w:pStyle w:val="58"/>
                    <w:jc w:val="center"/>
                    <w:rPr>
                      <w:b w:val="0"/>
                      <w:bCs w:val="0"/>
                    </w:rPr>
                  </w:pPr>
                  <w:r>
                    <w:rPr>
                      <w:rFonts w:hint="eastAsia"/>
                      <w:b w:val="0"/>
                      <w:bCs w:val="0"/>
                    </w:rPr>
                    <w:t>55</w:t>
                  </w:r>
                </w:p>
              </w:tc>
              <w:tc>
                <w:tcPr>
                  <w:tcW w:w="886" w:type="pct"/>
                  <w:vAlign w:val="center"/>
                </w:tcPr>
                <w:p w14:paraId="1DDDA92A">
                  <w:pPr>
                    <w:pStyle w:val="58"/>
                    <w:jc w:val="center"/>
                    <w:rPr>
                      <w:b w:val="0"/>
                      <w:bCs w:val="0"/>
                    </w:rPr>
                  </w:pPr>
                  <w:r>
                    <w:rPr>
                      <w:b w:val="0"/>
                      <w:bCs w:val="0"/>
                    </w:rPr>
                    <w:t>达标</w:t>
                  </w:r>
                </w:p>
              </w:tc>
            </w:tr>
          </w:tbl>
          <w:p w14:paraId="742A229A">
            <w:pPr>
              <w:ind w:firstLine="480"/>
            </w:pPr>
            <w:r>
              <w:rPr>
                <w:rFonts w:hint="eastAsia"/>
              </w:rPr>
              <w:t>经预测，本项目运营期昼间厂界噪声均达到《工业企业厂界环境噪声排放标准》（</w:t>
            </w:r>
            <w:r>
              <w:rPr>
                <w:rFonts w:cs="Times New Roman"/>
              </w:rPr>
              <w:t>GB12348-2008</w:t>
            </w:r>
            <w:r>
              <w:rPr>
                <w:rFonts w:hint="eastAsia"/>
              </w:rPr>
              <w:t>）中</w:t>
            </w:r>
            <w:r>
              <w:rPr>
                <w:rFonts w:cs="Times New Roman"/>
              </w:rPr>
              <w:t>3</w:t>
            </w:r>
            <w:r>
              <w:rPr>
                <w:rFonts w:hint="eastAsia"/>
              </w:rPr>
              <w:t>类标准限值。</w:t>
            </w:r>
          </w:p>
          <w:p w14:paraId="0F7E63F6">
            <w:pPr>
              <w:ind w:firstLine="480"/>
            </w:pPr>
            <w:r>
              <w:rPr>
                <w:rFonts w:hint="eastAsia"/>
              </w:rPr>
              <w:t>4、防治措施</w:t>
            </w:r>
          </w:p>
          <w:p w14:paraId="7ECD8B23">
            <w:pPr>
              <w:ind w:firstLine="480"/>
              <w:rPr>
                <w:rFonts w:ascii="宋体" w:cs="宋体"/>
              </w:rPr>
            </w:pPr>
            <w:r>
              <w:rPr>
                <w:rFonts w:hint="eastAsia" w:ascii="宋体" w:cs="宋体"/>
              </w:rPr>
              <w:t>根据项目生产线布置情况、项目生产工艺</w:t>
            </w:r>
            <w:bookmarkStart w:id="17" w:name="_GoBack"/>
            <w:bookmarkEnd w:id="17"/>
            <w:r>
              <w:rPr>
                <w:rFonts w:hint="eastAsia" w:ascii="宋体" w:cs="宋体"/>
              </w:rPr>
              <w:t>以及对比同类型企业的生产现状等情况分析，为使本项目噪声达标排放，降低噪声对工人以及区综合办公楼的噪声影响，本项目通过以下措施降低噪声值。</w:t>
            </w:r>
          </w:p>
          <w:p w14:paraId="2E5FB574">
            <w:pPr>
              <w:ind w:firstLine="480"/>
              <w:rPr>
                <w:rFonts w:ascii="宋体" w:cs="宋体"/>
              </w:rPr>
            </w:pPr>
            <w:r>
              <w:rPr>
                <w:rFonts w:hint="eastAsia" w:ascii="宋体" w:cs="宋体"/>
              </w:rPr>
              <w:t>①控制设备噪声：选用先进的低噪声设备，在满足工艺设计的前提下，尽量选用满足国际标准的低噪声、低振动型号的设备，降低噪声源强。</w:t>
            </w:r>
          </w:p>
          <w:p w14:paraId="28C0E0CF">
            <w:pPr>
              <w:ind w:firstLine="480"/>
              <w:rPr>
                <w:rFonts w:ascii="宋体" w:cs="宋体"/>
              </w:rPr>
            </w:pPr>
            <w:r>
              <w:rPr>
                <w:rFonts w:hint="eastAsia" w:ascii="宋体" w:cs="宋体"/>
              </w:rPr>
              <w:t>②建筑物隔声措施：项目生产设备均安置在室内，有效利用了建筑隔声。</w:t>
            </w:r>
          </w:p>
          <w:p w14:paraId="0A7D2B7C">
            <w:pPr>
              <w:ind w:firstLine="480"/>
              <w:rPr>
                <w:rFonts w:ascii="宋体" w:cs="宋体"/>
              </w:rPr>
            </w:pPr>
            <w:r>
              <w:rPr>
                <w:rFonts w:hint="eastAsia" w:ascii="宋体" w:cs="宋体"/>
              </w:rPr>
              <w:t>③强化生产管理：加强设备的维修保养管理，避免设备因不正常运行产生更大噪声，防止突发噪声。</w:t>
            </w:r>
          </w:p>
          <w:p w14:paraId="7EF9F60E">
            <w:pPr>
              <w:ind w:firstLine="480"/>
              <w:rPr>
                <w:rFonts w:ascii="宋体" w:cs="宋体"/>
              </w:rPr>
            </w:pPr>
            <w:r>
              <w:rPr>
                <w:rFonts w:hint="eastAsia" w:ascii="宋体" w:cs="宋体"/>
              </w:rPr>
              <w:t>④合理布局：尽可能将设备布局在车间靠中间区域，尽量将高噪声源远离厂界。</w:t>
            </w:r>
          </w:p>
          <w:p w14:paraId="56617843">
            <w:pPr>
              <w:ind w:firstLine="480"/>
            </w:pPr>
            <w:r>
              <w:rPr>
                <w:rFonts w:hint="eastAsia"/>
              </w:rPr>
              <w:t>5、噪声自行监测计划</w:t>
            </w:r>
          </w:p>
          <w:p w14:paraId="744F81DF">
            <w:pPr>
              <w:ind w:firstLine="480"/>
            </w:pPr>
            <w:r>
              <w:rPr>
                <w:rFonts w:hint="eastAsia"/>
              </w:rPr>
              <w:t>根据《排污单位自行监测技术指南 总则》（HJ819-2017），本项目监测计划详见表4-14。</w:t>
            </w:r>
          </w:p>
          <w:p w14:paraId="2936388E">
            <w:pPr>
              <w:pStyle w:val="43"/>
            </w:pPr>
            <w:r>
              <w:rPr>
                <w:rFonts w:hint="eastAsia"/>
              </w:rPr>
              <w:t xml:space="preserve">  噪声环境监测计划表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2675"/>
              <w:gridCol w:w="2676"/>
              <w:gridCol w:w="2674"/>
            </w:tblGrid>
            <w:tr w14:paraId="045C3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7" w:type="pct"/>
                  <w:vAlign w:val="center"/>
                </w:tcPr>
                <w:p w14:paraId="202472D5">
                  <w:pPr>
                    <w:pStyle w:val="31"/>
                    <w:rPr>
                      <w:b/>
                      <w:bCs/>
                    </w:rPr>
                  </w:pPr>
                  <w:r>
                    <w:rPr>
                      <w:rFonts w:hint="eastAsia"/>
                      <w:b/>
                      <w:bCs/>
                    </w:rPr>
                    <w:t>监测点位名称</w:t>
                  </w:r>
                </w:p>
              </w:tc>
              <w:tc>
                <w:tcPr>
                  <w:tcW w:w="1667" w:type="pct"/>
                  <w:vAlign w:val="center"/>
                </w:tcPr>
                <w:p w14:paraId="315627A7">
                  <w:pPr>
                    <w:pStyle w:val="31"/>
                    <w:rPr>
                      <w:b/>
                      <w:bCs/>
                    </w:rPr>
                  </w:pPr>
                  <w:r>
                    <w:rPr>
                      <w:rFonts w:hint="eastAsia"/>
                      <w:b/>
                      <w:bCs/>
                    </w:rPr>
                    <w:t>监测因子</w:t>
                  </w:r>
                </w:p>
              </w:tc>
              <w:tc>
                <w:tcPr>
                  <w:tcW w:w="1667" w:type="pct"/>
                  <w:vAlign w:val="center"/>
                </w:tcPr>
                <w:p w14:paraId="513BF614">
                  <w:pPr>
                    <w:pStyle w:val="31"/>
                    <w:rPr>
                      <w:b/>
                      <w:bCs/>
                    </w:rPr>
                  </w:pPr>
                  <w:r>
                    <w:rPr>
                      <w:rFonts w:hint="eastAsia"/>
                      <w:b/>
                      <w:bCs/>
                    </w:rPr>
                    <w:t>监测频次</w:t>
                  </w:r>
                </w:p>
              </w:tc>
            </w:tr>
            <w:tr w14:paraId="1C8355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667" w:type="pct"/>
                  <w:vAlign w:val="center"/>
                </w:tcPr>
                <w:p w14:paraId="5FCC4336">
                  <w:pPr>
                    <w:pStyle w:val="31"/>
                  </w:pPr>
                  <w:r>
                    <w:rPr>
                      <w:rFonts w:hint="eastAsia"/>
                    </w:rPr>
                    <w:t>厂界侧</w:t>
                  </w:r>
                </w:p>
              </w:tc>
              <w:tc>
                <w:tcPr>
                  <w:tcW w:w="1667" w:type="pct"/>
                  <w:vAlign w:val="center"/>
                </w:tcPr>
                <w:p w14:paraId="3A3B6B26">
                  <w:pPr>
                    <w:pStyle w:val="31"/>
                  </w:pPr>
                  <w:r>
                    <w:rPr>
                      <w:rFonts w:hint="eastAsia"/>
                    </w:rPr>
                    <w:t>等效连续A声级</w:t>
                  </w:r>
                </w:p>
              </w:tc>
              <w:tc>
                <w:tcPr>
                  <w:tcW w:w="1667" w:type="pct"/>
                  <w:vAlign w:val="center"/>
                </w:tcPr>
                <w:p w14:paraId="148A664D">
                  <w:pPr>
                    <w:pStyle w:val="31"/>
                  </w:pPr>
                  <w:r>
                    <w:rPr>
                      <w:rFonts w:hint="eastAsia"/>
                    </w:rPr>
                    <w:t>1次/季度</w:t>
                  </w:r>
                </w:p>
              </w:tc>
            </w:tr>
          </w:tbl>
          <w:p w14:paraId="75651BC3">
            <w:pPr>
              <w:ind w:firstLine="480"/>
              <w:rPr>
                <w:b/>
                <w:bCs/>
              </w:rPr>
            </w:pPr>
            <w:r>
              <w:rPr>
                <w:rFonts w:hint="eastAsia" w:cs="Times New Roman" w:eastAsiaTheme="minorEastAsia"/>
                <w:b/>
                <w:bCs/>
              </w:rPr>
              <w:t>1.4</w:t>
            </w:r>
            <w:r>
              <w:rPr>
                <w:rFonts w:hint="eastAsia"/>
                <w:b/>
                <w:bCs/>
              </w:rPr>
              <w:t>固废影响分析及防治措施</w:t>
            </w:r>
          </w:p>
          <w:p w14:paraId="42E70D10">
            <w:pPr>
              <w:ind w:firstLine="482"/>
              <w:rPr>
                <w:b/>
                <w:bCs/>
              </w:rPr>
            </w:pPr>
            <w:r>
              <w:rPr>
                <w:rFonts w:hint="eastAsia"/>
                <w:b/>
                <w:bCs/>
              </w:rPr>
              <w:t>（</w:t>
            </w:r>
            <w:r>
              <w:rPr>
                <w:rFonts w:cs="Times New Roman" w:eastAsiaTheme="minorEastAsia"/>
                <w:b/>
                <w:bCs/>
              </w:rPr>
              <w:t>1</w:t>
            </w:r>
            <w:r>
              <w:rPr>
                <w:rFonts w:hint="eastAsia"/>
                <w:b/>
                <w:bCs/>
              </w:rPr>
              <w:t>）固废产生情况</w:t>
            </w:r>
          </w:p>
          <w:p w14:paraId="34ECF727">
            <w:pPr>
              <w:ind w:firstLine="482"/>
              <w:rPr>
                <w:b/>
                <w:bCs/>
              </w:rPr>
            </w:pPr>
            <w:r>
              <w:rPr>
                <w:rFonts w:hint="eastAsia"/>
                <w:b/>
                <w:bCs/>
              </w:rPr>
              <w:t>1）一般固废</w:t>
            </w:r>
          </w:p>
          <w:p w14:paraId="01D272EE">
            <w:pPr>
              <w:ind w:firstLine="482"/>
              <w:rPr>
                <w:b/>
                <w:bCs/>
              </w:rPr>
            </w:pPr>
            <w:r>
              <w:rPr>
                <w:rFonts w:hint="eastAsia" w:ascii="宋体" w:cs="宋体"/>
                <w:b/>
                <w:bCs/>
              </w:rPr>
              <w:t>①</w:t>
            </w:r>
            <w:r>
              <w:rPr>
                <w:rFonts w:hint="eastAsia"/>
                <w:b/>
                <w:bCs/>
              </w:rPr>
              <w:t>生活垃圾</w:t>
            </w:r>
          </w:p>
          <w:p w14:paraId="018FCD30">
            <w:pPr>
              <w:ind w:firstLine="480"/>
            </w:pPr>
            <w:r>
              <w:rPr>
                <w:rFonts w:hint="eastAsia"/>
              </w:rPr>
              <w:t>本项目职工人数12人，则生活垃圾产生量按照0.5kg/d人计，则本项目生活垃圾产生量为6kg/d（1.98t/a）。生活垃圾经收集后由环卫部门统一收集处理。</w:t>
            </w:r>
          </w:p>
          <w:p w14:paraId="04BF4AD0">
            <w:pPr>
              <w:pStyle w:val="8"/>
              <w:adjustRightInd w:val="0"/>
              <w:spacing w:before="0" w:after="0" w:line="360" w:lineRule="auto"/>
              <w:ind w:right="0" w:firstLine="482" w:firstLineChars="200"/>
              <w:rPr>
                <w:b/>
                <w:bCs/>
                <w:sz w:val="24"/>
                <w:szCs w:val="24"/>
              </w:rPr>
            </w:pPr>
            <w:r>
              <w:rPr>
                <w:rFonts w:hint="eastAsia"/>
                <w:b/>
                <w:bCs/>
                <w:sz w:val="24"/>
                <w:szCs w:val="24"/>
              </w:rPr>
              <w:t>②气化炉灰渣</w:t>
            </w:r>
          </w:p>
          <w:p w14:paraId="39A5C3A8">
            <w:pPr>
              <w:pStyle w:val="8"/>
              <w:adjustRightInd w:val="0"/>
              <w:spacing w:before="0" w:after="0" w:line="360" w:lineRule="auto"/>
              <w:ind w:right="0" w:firstLine="480" w:firstLineChars="200"/>
              <w:rPr>
                <w:sz w:val="24"/>
                <w:szCs w:val="24"/>
              </w:rPr>
            </w:pPr>
            <w:r>
              <w:rPr>
                <w:rFonts w:hint="eastAsia"/>
                <w:sz w:val="24"/>
                <w:szCs w:val="24"/>
              </w:rPr>
              <w:t>生物质经气化炉气化后生成碳化物，属于一般固废。根据气化炉工程单位介绍，生物质气化过程中的产碳率约为3~5%，本取最大值5%计，则碳化物产量为13000t/a，碳化物收集后作为下游企业的原料（可作为活性炭、有机废、蚊香的原料），外售处理。</w:t>
            </w:r>
          </w:p>
          <w:p w14:paraId="274FD04B">
            <w:pPr>
              <w:pStyle w:val="8"/>
              <w:adjustRightInd w:val="0"/>
              <w:spacing w:before="0" w:after="0" w:line="360" w:lineRule="auto"/>
              <w:ind w:right="0" w:firstLine="482" w:firstLineChars="200"/>
              <w:rPr>
                <w:b/>
                <w:bCs/>
                <w:sz w:val="24"/>
                <w:szCs w:val="24"/>
              </w:rPr>
            </w:pPr>
            <w:r>
              <w:rPr>
                <w:rFonts w:hint="eastAsia"/>
                <w:b/>
                <w:bCs/>
                <w:sz w:val="24"/>
                <w:szCs w:val="24"/>
              </w:rPr>
              <w:t>③除尘器收尘</w:t>
            </w:r>
          </w:p>
          <w:p w14:paraId="3BF68525">
            <w:pPr>
              <w:pStyle w:val="8"/>
              <w:adjustRightInd w:val="0"/>
              <w:spacing w:before="0" w:after="0" w:line="360" w:lineRule="auto"/>
              <w:ind w:right="0" w:firstLine="480" w:firstLineChars="200"/>
              <w:rPr>
                <w:sz w:val="24"/>
                <w:szCs w:val="24"/>
              </w:rPr>
            </w:pPr>
            <w:r>
              <w:rPr>
                <w:rFonts w:hint="eastAsia"/>
                <w:sz w:val="24"/>
                <w:szCs w:val="24"/>
              </w:rPr>
              <w:t>项目粉尘渣主要来源于水膜除尘器收集的粉尘，建设单位拟设置沉淀池（240m</w:t>
            </w:r>
            <w:r>
              <w:rPr>
                <w:rFonts w:hint="eastAsia"/>
                <w:sz w:val="24"/>
                <w:szCs w:val="24"/>
                <w:vertAlign w:val="superscript"/>
              </w:rPr>
              <w:t>3</w:t>
            </w:r>
            <w:r>
              <w:rPr>
                <w:rFonts w:hint="eastAsia"/>
                <w:sz w:val="24"/>
                <w:szCs w:val="24"/>
              </w:rPr>
              <w:t>），定期使用板框压滤机清理，根据前文，收集的除尘渣约113.1t/a，统一收集后交由环卫部门处理。</w:t>
            </w:r>
          </w:p>
          <w:p w14:paraId="7B5EA33F">
            <w:pPr>
              <w:adjustRightInd w:val="0"/>
              <w:snapToGrid w:val="0"/>
              <w:ind w:firstLine="482"/>
              <w:rPr>
                <w:b/>
              </w:rPr>
            </w:pPr>
            <w:r>
              <w:rPr>
                <w:rFonts w:hint="eastAsia"/>
                <w:b/>
                <w:bCs/>
              </w:rPr>
              <w:t>④</w:t>
            </w:r>
            <w:r>
              <w:rPr>
                <w:b/>
              </w:rPr>
              <w:t>废</w:t>
            </w:r>
            <w:r>
              <w:rPr>
                <w:rFonts w:hint="eastAsia"/>
                <w:b/>
              </w:rPr>
              <w:t>离子交换树脂</w:t>
            </w:r>
          </w:p>
          <w:p w14:paraId="78A99AAC">
            <w:pPr>
              <w:adjustRightInd w:val="0"/>
              <w:ind w:firstLine="480"/>
              <w:rPr>
                <w:b/>
                <w:bCs/>
              </w:rPr>
            </w:pPr>
            <w:r>
              <w:rPr>
                <w:rFonts w:hint="eastAsia"/>
                <w:bCs/>
              </w:rPr>
              <w:t>项目软水处理时会产生废离子交换树脂</w:t>
            </w:r>
            <w:r>
              <w:rPr>
                <w:rFonts w:hint="eastAsia" w:cs="Times New Roman"/>
                <w:kern w:val="0"/>
                <w:lang w:bidi="ar"/>
              </w:rPr>
              <w:t>，</w:t>
            </w:r>
            <w:r>
              <w:rPr>
                <w:rFonts w:hint="eastAsia"/>
                <w:kern w:val="0"/>
                <w:szCs w:val="20"/>
              </w:rPr>
              <w:t>离子交换树脂每三年更换一次，</w:t>
            </w:r>
            <w:r>
              <w:rPr>
                <w:rFonts w:hint="eastAsia" w:cs="Times New Roman"/>
                <w:kern w:val="0"/>
                <w:lang w:bidi="ar"/>
              </w:rPr>
              <w:t>更换后由更换单位带走处理。</w:t>
            </w:r>
            <w:r>
              <w:rPr>
                <w:rFonts w:hint="eastAsia"/>
                <w:kern w:val="0"/>
                <w:szCs w:val="20"/>
              </w:rPr>
              <w:t>根据业主提供资料，废离子交换树脂的产生量约为</w:t>
            </w:r>
            <w:r>
              <w:rPr>
                <w:kern w:val="0"/>
                <w:szCs w:val="20"/>
              </w:rPr>
              <w:t>0.1t/a</w:t>
            </w:r>
            <w:r>
              <w:rPr>
                <w:rFonts w:hint="eastAsia"/>
                <w:kern w:val="0"/>
                <w:szCs w:val="20"/>
              </w:rPr>
              <w:t>。</w:t>
            </w:r>
          </w:p>
          <w:p w14:paraId="1D9FC32E">
            <w:pPr>
              <w:ind w:firstLine="482"/>
              <w:rPr>
                <w:b/>
                <w:bCs/>
              </w:rPr>
            </w:pPr>
            <w:r>
              <w:rPr>
                <w:rFonts w:hint="eastAsia"/>
                <w:b/>
                <w:bCs/>
              </w:rPr>
              <w:t>2）危险废物</w:t>
            </w:r>
          </w:p>
          <w:p w14:paraId="150F7795">
            <w:pPr>
              <w:adjustRightInd w:val="0"/>
              <w:snapToGrid w:val="0"/>
              <w:ind w:firstLine="482"/>
              <w:rPr>
                <w:rFonts w:cs="Times New Roman"/>
                <w:b/>
                <w:bCs/>
                <w:kern w:val="0"/>
                <w:lang w:bidi="ar"/>
              </w:rPr>
            </w:pPr>
            <w:r>
              <w:rPr>
                <w:rFonts w:hint="eastAsia" w:cs="Times New Roman"/>
                <w:b/>
                <w:bCs/>
                <w:kern w:val="0"/>
                <w:lang w:bidi="ar"/>
              </w:rPr>
              <w:t>①</w:t>
            </w:r>
            <w:r>
              <w:rPr>
                <w:rFonts w:cs="Times New Roman"/>
                <w:b/>
                <w:bCs/>
                <w:kern w:val="0"/>
                <w:lang w:bidi="ar"/>
              </w:rPr>
              <w:t>废机油</w:t>
            </w:r>
          </w:p>
          <w:p w14:paraId="0D6B47A1">
            <w:pPr>
              <w:adjustRightInd w:val="0"/>
              <w:snapToGrid w:val="0"/>
              <w:ind w:firstLine="480"/>
              <w:rPr>
                <w:kern w:val="0"/>
                <w:lang w:bidi="ar"/>
              </w:rPr>
            </w:pPr>
            <w:r>
              <w:rPr>
                <w:rFonts w:cs="Times New Roman"/>
                <w:kern w:val="0"/>
                <w:lang w:bidi="ar"/>
              </w:rPr>
              <w:t>主要包括设备保养维护、设备检修过程产生的废机油。根据《国家危险废物名录》</w:t>
            </w:r>
            <w:r>
              <w:rPr>
                <w:rFonts w:hint="eastAsia" w:cs="Times New Roman"/>
                <w:kern w:val="0"/>
                <w:lang w:bidi="ar"/>
              </w:rPr>
              <w:t>（2025年版）</w:t>
            </w:r>
            <w:r>
              <w:rPr>
                <w:rFonts w:cs="Times New Roman"/>
                <w:kern w:val="0"/>
                <w:lang w:bidi="ar"/>
              </w:rPr>
              <w:t>，废油属于危险固废（HW08</w:t>
            </w:r>
            <w:r>
              <w:rPr>
                <w:rFonts w:hint="eastAsia" w:cs="Times New Roman"/>
                <w:kern w:val="0"/>
                <w:lang w:bidi="ar"/>
              </w:rPr>
              <w:t>，</w:t>
            </w:r>
            <w:r>
              <w:rPr>
                <w:rFonts w:cs="Times New Roman"/>
                <w:kern w:val="0"/>
                <w:lang w:bidi="ar"/>
              </w:rPr>
              <w:t>900-249-08）。根据建设单位提供信息，废油年产生量为0.0</w:t>
            </w:r>
            <w:r>
              <w:rPr>
                <w:rFonts w:hint="eastAsia" w:cs="Times New Roman"/>
                <w:kern w:val="0"/>
                <w:lang w:bidi="ar"/>
              </w:rPr>
              <w:t>5</w:t>
            </w:r>
            <w:r>
              <w:rPr>
                <w:rFonts w:cs="Times New Roman"/>
                <w:kern w:val="0"/>
                <w:lang w:bidi="ar"/>
              </w:rPr>
              <w:t>t/a。收集后采用原始桶盛装暂存于危废暂存间，定期交由资质单位处理。</w:t>
            </w:r>
          </w:p>
          <w:p w14:paraId="67A79D50">
            <w:pPr>
              <w:adjustRightInd w:val="0"/>
              <w:snapToGrid w:val="0"/>
              <w:ind w:firstLine="482"/>
              <w:rPr>
                <w:b/>
              </w:rPr>
            </w:pPr>
            <w:r>
              <w:rPr>
                <w:rFonts w:hint="eastAsia"/>
                <w:b/>
              </w:rPr>
              <w:t>②废机油沾染物</w:t>
            </w:r>
          </w:p>
          <w:p w14:paraId="244AFE40">
            <w:pPr>
              <w:adjustRightInd w:val="0"/>
              <w:snapToGrid w:val="0"/>
              <w:ind w:firstLine="480"/>
              <w:rPr>
                <w:rFonts w:cs="Times New Roman"/>
                <w:kern w:val="0"/>
                <w:lang w:bidi="ar"/>
              </w:rPr>
            </w:pPr>
            <w:r>
              <w:rPr>
                <w:rFonts w:cs="Times New Roman"/>
                <w:kern w:val="0"/>
                <w:lang w:bidi="ar"/>
              </w:rPr>
              <w:t>机械维修过程中会产生少量的含油手套和抹布</w:t>
            </w:r>
            <w:r>
              <w:rPr>
                <w:rFonts w:hint="eastAsia" w:cs="Times New Roman"/>
                <w:kern w:val="0"/>
                <w:lang w:bidi="ar"/>
              </w:rPr>
              <w:t>以及</w:t>
            </w:r>
            <w:r>
              <w:rPr>
                <w:rFonts w:hint="eastAsia"/>
                <w:bCs/>
              </w:rPr>
              <w:t>废机油桶均属于</w:t>
            </w:r>
            <w:r>
              <w:rPr>
                <w:rFonts w:cs="Times New Roman"/>
                <w:kern w:val="0"/>
                <w:lang w:bidi="ar"/>
              </w:rPr>
              <w:t>《国家危险废物名录》</w:t>
            </w:r>
            <w:r>
              <w:rPr>
                <w:rFonts w:hint="eastAsia" w:cs="Times New Roman"/>
                <w:kern w:val="0"/>
                <w:lang w:bidi="ar"/>
              </w:rPr>
              <w:t>（2025年版）中的</w:t>
            </w:r>
            <w:r>
              <w:rPr>
                <w:rFonts w:cs="Times New Roman"/>
                <w:kern w:val="0"/>
                <w:lang w:bidi="ar"/>
              </w:rPr>
              <w:t>危险固废（HW08</w:t>
            </w:r>
            <w:r>
              <w:rPr>
                <w:rFonts w:hint="eastAsia" w:cs="Times New Roman"/>
                <w:kern w:val="0"/>
                <w:lang w:bidi="ar"/>
              </w:rPr>
              <w:t>，</w:t>
            </w:r>
            <w:r>
              <w:rPr>
                <w:rFonts w:cs="Times New Roman"/>
                <w:kern w:val="0"/>
                <w:lang w:bidi="ar"/>
              </w:rPr>
              <w:t>900-</w:t>
            </w:r>
            <w:r>
              <w:rPr>
                <w:rFonts w:hint="eastAsia" w:cs="Times New Roman"/>
                <w:kern w:val="0"/>
                <w:lang w:bidi="ar"/>
              </w:rPr>
              <w:t>041-49</w:t>
            </w:r>
            <w:r>
              <w:rPr>
                <w:rFonts w:cs="Times New Roman"/>
                <w:kern w:val="0"/>
                <w:lang w:bidi="ar"/>
              </w:rPr>
              <w:t>）</w:t>
            </w:r>
            <w:r>
              <w:rPr>
                <w:rFonts w:hint="eastAsia" w:cs="Times New Roman"/>
                <w:kern w:val="0"/>
                <w:lang w:bidi="ar"/>
              </w:rPr>
              <w:t>。废机油沾染物</w:t>
            </w:r>
            <w:r>
              <w:rPr>
                <w:rFonts w:cs="Times New Roman"/>
                <w:kern w:val="0"/>
                <w:lang w:bidi="ar"/>
              </w:rPr>
              <w:t>年产生量为0.0</w:t>
            </w:r>
            <w:r>
              <w:rPr>
                <w:rFonts w:hint="eastAsia" w:cs="Times New Roman"/>
                <w:kern w:val="0"/>
                <w:lang w:bidi="ar"/>
              </w:rPr>
              <w:t>5</w:t>
            </w:r>
            <w:r>
              <w:rPr>
                <w:rFonts w:cs="Times New Roman"/>
                <w:kern w:val="0"/>
                <w:lang w:bidi="ar"/>
              </w:rPr>
              <w:t>t/a。收集后暂存于危废暂存间，定期交由资质单位处理。</w:t>
            </w:r>
          </w:p>
          <w:p w14:paraId="6C089E36">
            <w:pPr>
              <w:adjustRightInd w:val="0"/>
              <w:snapToGrid w:val="0"/>
              <w:ind w:firstLine="482"/>
              <w:rPr>
                <w:rFonts w:cs="Times New Roman"/>
                <w:b/>
                <w:bCs/>
                <w:kern w:val="0"/>
                <w:lang w:bidi="ar"/>
              </w:rPr>
            </w:pPr>
            <w:r>
              <w:rPr>
                <w:rFonts w:hint="eastAsia" w:cs="Times New Roman"/>
                <w:b/>
                <w:bCs/>
                <w:kern w:val="0"/>
                <w:lang w:bidi="ar"/>
              </w:rPr>
              <w:t>③废催化剂</w:t>
            </w:r>
          </w:p>
          <w:p w14:paraId="21AA69F7">
            <w:pPr>
              <w:adjustRightInd w:val="0"/>
              <w:snapToGrid w:val="0"/>
              <w:ind w:firstLine="480"/>
              <w:rPr>
                <w:kern w:val="0"/>
                <w:lang w:bidi="ar"/>
              </w:rPr>
            </w:pPr>
            <w:r>
              <w:rPr>
                <w:rFonts w:cs="Times New Roman"/>
                <w:kern w:val="0"/>
                <w:lang w:bidi="ar"/>
              </w:rPr>
              <w:t>SCR</w:t>
            </w:r>
            <w:r>
              <w:rPr>
                <w:rFonts w:hint="eastAsia" w:cs="Times New Roman"/>
                <w:kern w:val="0"/>
                <w:lang w:bidi="ar"/>
              </w:rPr>
              <w:t>脱硝工艺常用的催化剂为</w:t>
            </w:r>
            <w:r>
              <w:rPr>
                <w:rFonts w:hint="eastAsia"/>
                <w:kern w:val="0"/>
                <w:lang w:bidi="ar"/>
              </w:rPr>
              <w:t>钒钛系催化剂（</w:t>
            </w:r>
            <w:r>
              <w:rPr>
                <w:kern w:val="0"/>
                <w:lang w:bidi="ar"/>
              </w:rPr>
              <w:t>V₂O₅-WO₃/TiO₂</w:t>
            </w:r>
            <w:r>
              <w:rPr>
                <w:rFonts w:hint="eastAsia"/>
                <w:kern w:val="0"/>
                <w:lang w:bidi="ar"/>
              </w:rPr>
              <w:t>），根据</w:t>
            </w:r>
            <w:r>
              <w:rPr>
                <w:rFonts w:hint="eastAsia" w:cs="Times New Roman"/>
                <w:kern w:val="0"/>
                <w:lang w:bidi="ar"/>
              </w:rPr>
              <w:t>《国家危险废物名录》（</w:t>
            </w:r>
            <w:r>
              <w:rPr>
                <w:rFonts w:cs="Times New Roman"/>
                <w:kern w:val="0"/>
                <w:lang w:bidi="ar"/>
              </w:rPr>
              <w:t>2025</w:t>
            </w:r>
            <w:r>
              <w:rPr>
                <w:rFonts w:hint="eastAsia" w:cs="Times New Roman"/>
                <w:kern w:val="0"/>
                <w:lang w:bidi="ar"/>
              </w:rPr>
              <w:t>年版），烟气脱销过程中产生的</w:t>
            </w:r>
            <w:r>
              <w:rPr>
                <w:rFonts w:hint="eastAsia"/>
                <w:kern w:val="0"/>
                <w:lang w:bidi="ar"/>
              </w:rPr>
              <w:t>钒钛系催化剂</w:t>
            </w:r>
            <w:r>
              <w:rPr>
                <w:rFonts w:hint="eastAsia" w:cs="Times New Roman"/>
                <w:kern w:val="0"/>
                <w:lang w:bidi="ar"/>
              </w:rPr>
              <w:t>属于危险固废（</w:t>
            </w:r>
            <w:r>
              <w:rPr>
                <w:rFonts w:cs="Times New Roman"/>
                <w:kern w:val="0"/>
                <w:lang w:bidi="ar"/>
              </w:rPr>
              <w:t>HW50</w:t>
            </w:r>
            <w:r>
              <w:rPr>
                <w:rFonts w:hint="eastAsia" w:cs="Times New Roman"/>
                <w:kern w:val="0"/>
                <w:lang w:bidi="ar"/>
              </w:rPr>
              <w:t>，</w:t>
            </w:r>
            <w:r>
              <w:rPr>
                <w:rFonts w:cs="Times New Roman"/>
                <w:kern w:val="0"/>
                <w:lang w:bidi="ar"/>
              </w:rPr>
              <w:t>772-007-50</w:t>
            </w:r>
            <w:r>
              <w:rPr>
                <w:rFonts w:hint="eastAsia" w:cs="Times New Roman"/>
                <w:kern w:val="0"/>
                <w:lang w:bidi="ar"/>
              </w:rPr>
              <w:t>）。催化剂使用产生量为</w:t>
            </w:r>
            <w:r>
              <w:rPr>
                <w:rFonts w:cs="Times New Roman"/>
                <w:kern w:val="0"/>
                <w:lang w:bidi="ar"/>
              </w:rPr>
              <w:t>130t</w:t>
            </w:r>
            <w:r>
              <w:rPr>
                <w:rFonts w:hint="eastAsia" w:cs="Times New Roman"/>
                <w:kern w:val="0"/>
                <w:lang w:bidi="ar"/>
              </w:rPr>
              <w:t>，催化剂使用寿命按</w:t>
            </w:r>
            <w:r>
              <w:rPr>
                <w:rFonts w:cs="Times New Roman"/>
                <w:kern w:val="0"/>
                <w:lang w:bidi="ar"/>
              </w:rPr>
              <w:t>5</w:t>
            </w:r>
            <w:r>
              <w:rPr>
                <w:rFonts w:hint="eastAsia" w:cs="Times New Roman"/>
                <w:kern w:val="0"/>
                <w:lang w:bidi="ar"/>
              </w:rPr>
              <w:t>年计，单次更换三分一的量，废催化剂产生量为</w:t>
            </w:r>
            <w:r>
              <w:rPr>
                <w:rFonts w:cs="Times New Roman"/>
                <w:kern w:val="0"/>
                <w:lang w:bidi="ar"/>
              </w:rPr>
              <w:t>43.3t/5</w:t>
            </w:r>
            <w:r>
              <w:rPr>
                <w:rFonts w:hint="eastAsia" w:cs="Times New Roman"/>
                <w:kern w:val="0"/>
                <w:lang w:bidi="ar"/>
              </w:rPr>
              <w:t>年，则废催化剂产生量为</w:t>
            </w:r>
            <w:r>
              <w:rPr>
                <w:rFonts w:cs="Times New Roman"/>
                <w:kern w:val="0"/>
                <w:lang w:bidi="ar"/>
              </w:rPr>
              <w:t>8.67t/a</w:t>
            </w:r>
            <w:r>
              <w:rPr>
                <w:rFonts w:hint="eastAsia" w:cs="Times New Roman"/>
                <w:kern w:val="0"/>
                <w:lang w:bidi="ar"/>
              </w:rPr>
              <w:t>。更换的废催化剂</w:t>
            </w:r>
            <w:r>
              <w:rPr>
                <w:rFonts w:cs="Times New Roman"/>
                <w:kern w:val="0"/>
                <w:lang w:bidi="ar"/>
              </w:rPr>
              <w:t>收集后暂存于危废暂存间</w:t>
            </w:r>
            <w:r>
              <w:rPr>
                <w:rFonts w:hint="eastAsia" w:cs="Times New Roman"/>
                <w:kern w:val="0"/>
                <w:lang w:bidi="ar"/>
              </w:rPr>
              <w:t>，交由资质单位处置。</w:t>
            </w:r>
          </w:p>
          <w:p w14:paraId="21AFF562">
            <w:pPr>
              <w:ind w:firstLine="480"/>
            </w:pPr>
            <w:r>
              <w:rPr>
                <w:rFonts w:hint="eastAsia"/>
              </w:rPr>
              <w:t>综上，本项目运营期固体废物产生、处置情况见表4-15。</w:t>
            </w:r>
          </w:p>
          <w:p w14:paraId="76658378">
            <w:pPr>
              <w:pStyle w:val="43"/>
            </w:pPr>
            <w:r>
              <w:rPr>
                <w:rFonts w:hint="eastAsia"/>
              </w:rPr>
              <w:t>运营期固体废弃物产生、排放一览表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60"/>
              <w:gridCol w:w="1252"/>
              <w:gridCol w:w="957"/>
              <w:gridCol w:w="1857"/>
              <w:gridCol w:w="3199"/>
            </w:tblGrid>
            <w:tr w14:paraId="05056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74" w:type="pct"/>
                  <w:vAlign w:val="center"/>
                </w:tcPr>
                <w:p w14:paraId="2F718EC0">
                  <w:pPr>
                    <w:pStyle w:val="31"/>
                    <w:rPr>
                      <w:bCs/>
                    </w:rPr>
                  </w:pPr>
                  <w:r>
                    <w:rPr>
                      <w:rFonts w:hint="eastAsia"/>
                      <w:b/>
                      <w:bCs/>
                    </w:rPr>
                    <w:t>类别</w:t>
                  </w:r>
                </w:p>
              </w:tc>
              <w:tc>
                <w:tcPr>
                  <w:tcW w:w="780" w:type="pct"/>
                  <w:vAlign w:val="center"/>
                </w:tcPr>
                <w:p w14:paraId="327E34D7">
                  <w:pPr>
                    <w:pStyle w:val="31"/>
                    <w:rPr>
                      <w:bCs/>
                    </w:rPr>
                  </w:pPr>
                  <w:r>
                    <w:rPr>
                      <w:rFonts w:hint="eastAsia"/>
                      <w:b/>
                      <w:bCs/>
                    </w:rPr>
                    <w:t>固态污染物名称</w:t>
                  </w:r>
                </w:p>
              </w:tc>
              <w:tc>
                <w:tcPr>
                  <w:tcW w:w="596" w:type="pct"/>
                  <w:vAlign w:val="center"/>
                </w:tcPr>
                <w:p w14:paraId="2EBDF4D2">
                  <w:pPr>
                    <w:pStyle w:val="31"/>
                    <w:rPr>
                      <w:bCs/>
                    </w:rPr>
                  </w:pPr>
                  <w:r>
                    <w:rPr>
                      <w:rFonts w:hint="eastAsia"/>
                      <w:b/>
                      <w:bCs/>
                    </w:rPr>
                    <w:t>产生量（</w:t>
                  </w:r>
                  <w:r>
                    <w:rPr>
                      <w:b/>
                      <w:bCs/>
                    </w:rPr>
                    <w:t>t/a</w:t>
                  </w:r>
                  <w:r>
                    <w:rPr>
                      <w:rFonts w:hint="eastAsia"/>
                      <w:b/>
                      <w:bCs/>
                    </w:rPr>
                    <w:t>）</w:t>
                  </w:r>
                </w:p>
              </w:tc>
              <w:tc>
                <w:tcPr>
                  <w:tcW w:w="1157" w:type="pct"/>
                  <w:vAlign w:val="center"/>
                </w:tcPr>
                <w:p w14:paraId="4865F887">
                  <w:pPr>
                    <w:pStyle w:val="31"/>
                    <w:rPr>
                      <w:bCs/>
                    </w:rPr>
                  </w:pPr>
                  <w:r>
                    <w:rPr>
                      <w:rFonts w:hint="eastAsia"/>
                      <w:b/>
                      <w:bCs/>
                    </w:rPr>
                    <w:t>危废类型</w:t>
                  </w:r>
                </w:p>
              </w:tc>
              <w:tc>
                <w:tcPr>
                  <w:tcW w:w="1993" w:type="pct"/>
                  <w:vAlign w:val="center"/>
                </w:tcPr>
                <w:p w14:paraId="0AFC1D86">
                  <w:pPr>
                    <w:pStyle w:val="31"/>
                    <w:rPr>
                      <w:bCs/>
                    </w:rPr>
                  </w:pPr>
                  <w:r>
                    <w:rPr>
                      <w:rFonts w:hint="eastAsia"/>
                      <w:b/>
                      <w:bCs/>
                    </w:rPr>
                    <w:t>治理措施</w:t>
                  </w:r>
                </w:p>
              </w:tc>
            </w:tr>
            <w:tr w14:paraId="1D5E99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74" w:type="pct"/>
                  <w:vMerge w:val="restart"/>
                  <w:vAlign w:val="center"/>
                </w:tcPr>
                <w:p w14:paraId="3B31D8BC">
                  <w:pPr>
                    <w:pStyle w:val="31"/>
                  </w:pPr>
                  <w:r>
                    <w:rPr>
                      <w:rFonts w:hint="eastAsia"/>
                    </w:rPr>
                    <w:t>一般固废</w:t>
                  </w:r>
                </w:p>
              </w:tc>
              <w:tc>
                <w:tcPr>
                  <w:tcW w:w="780" w:type="pct"/>
                  <w:vAlign w:val="center"/>
                </w:tcPr>
                <w:p w14:paraId="02547274">
                  <w:pPr>
                    <w:pStyle w:val="31"/>
                  </w:pPr>
                  <w:r>
                    <w:rPr>
                      <w:rFonts w:hint="eastAsia"/>
                    </w:rPr>
                    <w:t>生活垃圾</w:t>
                  </w:r>
                </w:p>
              </w:tc>
              <w:tc>
                <w:tcPr>
                  <w:tcW w:w="596" w:type="pct"/>
                  <w:vAlign w:val="center"/>
                </w:tcPr>
                <w:p w14:paraId="7CB76A8F">
                  <w:pPr>
                    <w:pStyle w:val="31"/>
                  </w:pPr>
                  <w:r>
                    <w:rPr>
                      <w:rFonts w:hint="eastAsia"/>
                    </w:rPr>
                    <w:t>1.98</w:t>
                  </w:r>
                </w:p>
              </w:tc>
              <w:tc>
                <w:tcPr>
                  <w:tcW w:w="1157" w:type="pct"/>
                  <w:vAlign w:val="center"/>
                </w:tcPr>
                <w:p w14:paraId="237FE66A">
                  <w:pPr>
                    <w:pStyle w:val="31"/>
                  </w:pPr>
                  <w:r>
                    <w:rPr>
                      <w:rFonts w:hint="eastAsia"/>
                    </w:rPr>
                    <w:t>/</w:t>
                  </w:r>
                </w:p>
              </w:tc>
              <w:tc>
                <w:tcPr>
                  <w:tcW w:w="1993" w:type="pct"/>
                  <w:vAlign w:val="center"/>
                </w:tcPr>
                <w:p w14:paraId="7CB741A7">
                  <w:pPr>
                    <w:pStyle w:val="31"/>
                  </w:pPr>
                  <w:r>
                    <w:rPr>
                      <w:rFonts w:hint="eastAsia"/>
                    </w:rPr>
                    <w:t>袋装收集交由环卫部门处置</w:t>
                  </w:r>
                </w:p>
              </w:tc>
            </w:tr>
            <w:tr w14:paraId="0E635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74" w:type="pct"/>
                  <w:vMerge w:val="continue"/>
                  <w:vAlign w:val="center"/>
                </w:tcPr>
                <w:p w14:paraId="5120A696">
                  <w:pPr>
                    <w:pStyle w:val="31"/>
                  </w:pPr>
                </w:p>
              </w:tc>
              <w:tc>
                <w:tcPr>
                  <w:tcW w:w="780" w:type="pct"/>
                  <w:vAlign w:val="center"/>
                </w:tcPr>
                <w:p w14:paraId="6CA39F8E">
                  <w:pPr>
                    <w:pStyle w:val="31"/>
                  </w:pPr>
                  <w:r>
                    <w:rPr>
                      <w:rFonts w:hint="eastAsia"/>
                    </w:rPr>
                    <w:t>气化炉灰渣</w:t>
                  </w:r>
                </w:p>
              </w:tc>
              <w:tc>
                <w:tcPr>
                  <w:tcW w:w="596" w:type="pct"/>
                  <w:vAlign w:val="center"/>
                </w:tcPr>
                <w:p w14:paraId="5C2D0D56">
                  <w:pPr>
                    <w:pStyle w:val="31"/>
                  </w:pPr>
                  <w:r>
                    <w:rPr>
                      <w:rFonts w:hint="eastAsia"/>
                    </w:rPr>
                    <w:t>13000</w:t>
                  </w:r>
                </w:p>
              </w:tc>
              <w:tc>
                <w:tcPr>
                  <w:tcW w:w="1157" w:type="pct"/>
                  <w:vAlign w:val="center"/>
                </w:tcPr>
                <w:p w14:paraId="476574BB">
                  <w:pPr>
                    <w:pStyle w:val="31"/>
                  </w:pPr>
                  <w:r>
                    <w:rPr>
                      <w:rFonts w:hint="eastAsia"/>
                    </w:rPr>
                    <w:t>/</w:t>
                  </w:r>
                </w:p>
              </w:tc>
              <w:tc>
                <w:tcPr>
                  <w:tcW w:w="1993" w:type="pct"/>
                  <w:vAlign w:val="center"/>
                </w:tcPr>
                <w:p w14:paraId="1A3C17A2">
                  <w:pPr>
                    <w:pStyle w:val="31"/>
                  </w:pPr>
                  <w:r>
                    <w:rPr>
                      <w:rFonts w:hint="eastAsia"/>
                    </w:rPr>
                    <w:t>外售，作为活性炭、有机肥、蚊香原料</w:t>
                  </w:r>
                </w:p>
              </w:tc>
            </w:tr>
            <w:tr w14:paraId="52437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74" w:type="pct"/>
                  <w:vMerge w:val="continue"/>
                  <w:vAlign w:val="center"/>
                </w:tcPr>
                <w:p w14:paraId="135A4E5D">
                  <w:pPr>
                    <w:pStyle w:val="31"/>
                  </w:pPr>
                </w:p>
              </w:tc>
              <w:tc>
                <w:tcPr>
                  <w:tcW w:w="780" w:type="pct"/>
                  <w:vAlign w:val="center"/>
                </w:tcPr>
                <w:p w14:paraId="0A7D0434">
                  <w:pPr>
                    <w:pStyle w:val="31"/>
                  </w:pPr>
                  <w:r>
                    <w:rPr>
                      <w:rFonts w:hint="eastAsia"/>
                    </w:rPr>
                    <w:t>除尘渣</w:t>
                  </w:r>
                </w:p>
              </w:tc>
              <w:tc>
                <w:tcPr>
                  <w:tcW w:w="596" w:type="pct"/>
                  <w:vAlign w:val="center"/>
                </w:tcPr>
                <w:p w14:paraId="7916FE20">
                  <w:pPr>
                    <w:pStyle w:val="31"/>
                  </w:pPr>
                  <w:r>
                    <w:rPr>
                      <w:rFonts w:hint="eastAsia"/>
                    </w:rPr>
                    <w:t>113.1</w:t>
                  </w:r>
                </w:p>
              </w:tc>
              <w:tc>
                <w:tcPr>
                  <w:tcW w:w="1157" w:type="pct"/>
                  <w:vAlign w:val="center"/>
                </w:tcPr>
                <w:p w14:paraId="02201D85">
                  <w:pPr>
                    <w:pStyle w:val="31"/>
                  </w:pPr>
                  <w:r>
                    <w:rPr>
                      <w:rFonts w:hint="eastAsia"/>
                    </w:rPr>
                    <w:t>/</w:t>
                  </w:r>
                </w:p>
              </w:tc>
              <w:tc>
                <w:tcPr>
                  <w:tcW w:w="1993" w:type="pct"/>
                  <w:vAlign w:val="center"/>
                </w:tcPr>
                <w:p w14:paraId="25192F97">
                  <w:pPr>
                    <w:pStyle w:val="31"/>
                  </w:pPr>
                  <w:r>
                    <w:rPr>
                      <w:rFonts w:hint="eastAsia"/>
                    </w:rPr>
                    <w:t>收集后交由环卫部门处理</w:t>
                  </w:r>
                </w:p>
              </w:tc>
            </w:tr>
            <w:tr w14:paraId="105815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74" w:type="pct"/>
                  <w:vMerge w:val="continue"/>
                  <w:vAlign w:val="center"/>
                </w:tcPr>
                <w:p w14:paraId="013E9545">
                  <w:pPr>
                    <w:pStyle w:val="31"/>
                  </w:pPr>
                </w:p>
              </w:tc>
              <w:tc>
                <w:tcPr>
                  <w:tcW w:w="780" w:type="pct"/>
                  <w:vAlign w:val="center"/>
                </w:tcPr>
                <w:p w14:paraId="58F12ED6">
                  <w:pPr>
                    <w:pStyle w:val="31"/>
                  </w:pPr>
                  <w:r>
                    <w:rPr>
                      <w:rFonts w:hint="eastAsia"/>
                    </w:rPr>
                    <w:t>废离子交换树脂</w:t>
                  </w:r>
                </w:p>
              </w:tc>
              <w:tc>
                <w:tcPr>
                  <w:tcW w:w="596" w:type="pct"/>
                  <w:vAlign w:val="center"/>
                </w:tcPr>
                <w:p w14:paraId="379EBF7B">
                  <w:pPr>
                    <w:pStyle w:val="31"/>
                  </w:pPr>
                  <w:r>
                    <w:t>0.1</w:t>
                  </w:r>
                </w:p>
              </w:tc>
              <w:tc>
                <w:tcPr>
                  <w:tcW w:w="1157" w:type="pct"/>
                  <w:vAlign w:val="center"/>
                </w:tcPr>
                <w:p w14:paraId="60249AAA">
                  <w:pPr>
                    <w:pStyle w:val="31"/>
                  </w:pPr>
                  <w:r>
                    <w:t>/</w:t>
                  </w:r>
                </w:p>
              </w:tc>
              <w:tc>
                <w:tcPr>
                  <w:tcW w:w="1993" w:type="pct"/>
                  <w:vAlign w:val="center"/>
                </w:tcPr>
                <w:p w14:paraId="774E4272">
                  <w:pPr>
                    <w:pStyle w:val="31"/>
                  </w:pPr>
                  <w:r>
                    <w:rPr>
                      <w:rFonts w:hint="eastAsia"/>
                    </w:rPr>
                    <w:t>由更换单位带走处理</w:t>
                  </w:r>
                </w:p>
              </w:tc>
            </w:tr>
            <w:tr w14:paraId="47C3B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74" w:type="pct"/>
                  <w:vMerge w:val="restart"/>
                  <w:vAlign w:val="center"/>
                </w:tcPr>
                <w:p w14:paraId="1E44C799">
                  <w:pPr>
                    <w:pStyle w:val="31"/>
                  </w:pPr>
                  <w:r>
                    <w:rPr>
                      <w:rFonts w:hint="eastAsia"/>
                    </w:rPr>
                    <w:t>危险固废</w:t>
                  </w:r>
                </w:p>
              </w:tc>
              <w:tc>
                <w:tcPr>
                  <w:tcW w:w="780" w:type="pct"/>
                  <w:vAlign w:val="center"/>
                </w:tcPr>
                <w:p w14:paraId="4FA9F712">
                  <w:pPr>
                    <w:pStyle w:val="31"/>
                  </w:pPr>
                  <w:r>
                    <w:rPr>
                      <w:rFonts w:hint="eastAsia"/>
                    </w:rPr>
                    <w:t>废机油</w:t>
                  </w:r>
                </w:p>
              </w:tc>
              <w:tc>
                <w:tcPr>
                  <w:tcW w:w="596" w:type="pct"/>
                  <w:vAlign w:val="center"/>
                </w:tcPr>
                <w:p w14:paraId="46785A1C">
                  <w:pPr>
                    <w:pStyle w:val="31"/>
                  </w:pPr>
                  <w:r>
                    <w:rPr>
                      <w:rFonts w:hint="eastAsia"/>
                    </w:rPr>
                    <w:t>0.05</w:t>
                  </w:r>
                </w:p>
              </w:tc>
              <w:tc>
                <w:tcPr>
                  <w:tcW w:w="1157" w:type="pct"/>
                  <w:vAlign w:val="center"/>
                </w:tcPr>
                <w:p w14:paraId="1225C595">
                  <w:pPr>
                    <w:pStyle w:val="31"/>
                  </w:pPr>
                  <w:r>
                    <w:rPr>
                      <w:rFonts w:hint="eastAsia"/>
                    </w:rPr>
                    <w:t>HW08，9</w:t>
                  </w:r>
                  <w:r>
                    <w:t>00-2</w:t>
                  </w:r>
                  <w:r>
                    <w:rPr>
                      <w:rFonts w:hint="eastAsia"/>
                    </w:rPr>
                    <w:t>49</w:t>
                  </w:r>
                  <w:r>
                    <w:t>-08</w:t>
                  </w:r>
                </w:p>
              </w:tc>
              <w:tc>
                <w:tcPr>
                  <w:tcW w:w="1993" w:type="pct"/>
                  <w:vMerge w:val="restart"/>
                  <w:vAlign w:val="center"/>
                </w:tcPr>
                <w:p w14:paraId="4E199DB3">
                  <w:pPr>
                    <w:pStyle w:val="31"/>
                  </w:pPr>
                  <w:r>
                    <w:rPr>
                      <w:rFonts w:hint="eastAsia"/>
                    </w:rPr>
                    <w:t>暂存于危废暂存间后交由资质单位处置</w:t>
                  </w:r>
                </w:p>
              </w:tc>
            </w:tr>
            <w:tr w14:paraId="38CB7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74" w:type="pct"/>
                  <w:vMerge w:val="continue"/>
                  <w:vAlign w:val="center"/>
                </w:tcPr>
                <w:p w14:paraId="3AF0EE24">
                  <w:pPr>
                    <w:pStyle w:val="31"/>
                  </w:pPr>
                </w:p>
              </w:tc>
              <w:tc>
                <w:tcPr>
                  <w:tcW w:w="780" w:type="pct"/>
                  <w:vAlign w:val="center"/>
                </w:tcPr>
                <w:p w14:paraId="47EC9C6A">
                  <w:pPr>
                    <w:pStyle w:val="31"/>
                  </w:pPr>
                  <w:r>
                    <w:rPr>
                      <w:rFonts w:hint="eastAsia"/>
                    </w:rPr>
                    <w:t>废机油沾染物</w:t>
                  </w:r>
                </w:p>
              </w:tc>
              <w:tc>
                <w:tcPr>
                  <w:tcW w:w="596" w:type="pct"/>
                  <w:vAlign w:val="center"/>
                </w:tcPr>
                <w:p w14:paraId="5B397755">
                  <w:pPr>
                    <w:pStyle w:val="31"/>
                  </w:pPr>
                  <w:r>
                    <w:rPr>
                      <w:rFonts w:hint="eastAsia"/>
                    </w:rPr>
                    <w:t>0.05</w:t>
                  </w:r>
                </w:p>
              </w:tc>
              <w:tc>
                <w:tcPr>
                  <w:tcW w:w="1157" w:type="pct"/>
                  <w:vAlign w:val="center"/>
                </w:tcPr>
                <w:p w14:paraId="46A3D623">
                  <w:pPr>
                    <w:pStyle w:val="31"/>
                  </w:pPr>
                  <w:r>
                    <w:rPr>
                      <w:rFonts w:hint="eastAsia"/>
                    </w:rPr>
                    <w:t>HW49，900-041-49</w:t>
                  </w:r>
                </w:p>
              </w:tc>
              <w:tc>
                <w:tcPr>
                  <w:tcW w:w="1993" w:type="pct"/>
                  <w:vMerge w:val="continue"/>
                  <w:vAlign w:val="center"/>
                </w:tcPr>
                <w:p w14:paraId="165AE9E3">
                  <w:pPr>
                    <w:pStyle w:val="31"/>
                  </w:pPr>
                </w:p>
              </w:tc>
            </w:tr>
            <w:tr w14:paraId="68FE7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74" w:type="pct"/>
                  <w:vMerge w:val="continue"/>
                  <w:vAlign w:val="center"/>
                </w:tcPr>
                <w:p w14:paraId="70769028">
                  <w:pPr>
                    <w:pStyle w:val="31"/>
                  </w:pPr>
                </w:p>
              </w:tc>
              <w:tc>
                <w:tcPr>
                  <w:tcW w:w="780" w:type="pct"/>
                  <w:vAlign w:val="center"/>
                </w:tcPr>
                <w:p w14:paraId="0F8530B1">
                  <w:pPr>
                    <w:pStyle w:val="31"/>
                  </w:pPr>
                  <w:r>
                    <w:rPr>
                      <w:rFonts w:hint="eastAsia"/>
                    </w:rPr>
                    <w:t>废催化剂</w:t>
                  </w:r>
                </w:p>
              </w:tc>
              <w:tc>
                <w:tcPr>
                  <w:tcW w:w="596" w:type="pct"/>
                  <w:vAlign w:val="center"/>
                </w:tcPr>
                <w:p w14:paraId="03A9A7FB">
                  <w:pPr>
                    <w:pStyle w:val="31"/>
                  </w:pPr>
                  <w:r>
                    <w:t>8.67</w:t>
                  </w:r>
                </w:p>
              </w:tc>
              <w:tc>
                <w:tcPr>
                  <w:tcW w:w="1157" w:type="pct"/>
                  <w:vAlign w:val="center"/>
                </w:tcPr>
                <w:p w14:paraId="1E9E0C12">
                  <w:pPr>
                    <w:pStyle w:val="31"/>
                  </w:pPr>
                  <w:r>
                    <w:rPr>
                      <w:rFonts w:cs="Times New Roman"/>
                      <w:kern w:val="0"/>
                      <w:lang w:bidi="ar"/>
                    </w:rPr>
                    <w:t>HW</w:t>
                  </w:r>
                  <w:r>
                    <w:rPr>
                      <w:rFonts w:hint="eastAsia" w:cs="Times New Roman"/>
                      <w:kern w:val="0"/>
                      <w:lang w:bidi="ar"/>
                    </w:rPr>
                    <w:t>50，772-007-50</w:t>
                  </w:r>
                </w:p>
              </w:tc>
              <w:tc>
                <w:tcPr>
                  <w:tcW w:w="1993" w:type="pct"/>
                  <w:vMerge w:val="continue"/>
                  <w:vAlign w:val="center"/>
                </w:tcPr>
                <w:p w14:paraId="3041D7BF">
                  <w:pPr>
                    <w:pStyle w:val="31"/>
                  </w:pPr>
                </w:p>
              </w:tc>
            </w:tr>
          </w:tbl>
          <w:p w14:paraId="0672CA50">
            <w:pPr>
              <w:pStyle w:val="43"/>
            </w:pPr>
            <w:r>
              <w:rPr>
                <w:rFonts w:hint="eastAsia"/>
              </w:rPr>
              <w:t>危险废物产生及处置汇总表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9"/>
              <w:gridCol w:w="629"/>
              <w:gridCol w:w="629"/>
              <w:gridCol w:w="1036"/>
              <w:gridCol w:w="711"/>
              <w:gridCol w:w="616"/>
              <w:gridCol w:w="629"/>
              <w:gridCol w:w="629"/>
              <w:gridCol w:w="629"/>
              <w:gridCol w:w="629"/>
              <w:gridCol w:w="629"/>
              <w:gridCol w:w="630"/>
            </w:tblGrid>
            <w:tr w14:paraId="6F3F75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Mar>
                    <w:left w:w="28" w:type="dxa"/>
                    <w:right w:w="28" w:type="dxa"/>
                  </w:tcMar>
                  <w:vAlign w:val="center"/>
                </w:tcPr>
                <w:p w14:paraId="7CC8007A">
                  <w:pPr>
                    <w:pStyle w:val="31"/>
                    <w:rPr>
                      <w:b/>
                      <w:bCs/>
                    </w:rPr>
                  </w:pPr>
                  <w:r>
                    <w:rPr>
                      <w:rFonts w:hint="eastAsia"/>
                      <w:b/>
                      <w:bCs/>
                    </w:rPr>
                    <w:t>序号</w:t>
                  </w:r>
                </w:p>
              </w:tc>
              <w:tc>
                <w:tcPr>
                  <w:tcW w:w="413" w:type="pct"/>
                  <w:tcMar>
                    <w:left w:w="28" w:type="dxa"/>
                    <w:right w:w="28" w:type="dxa"/>
                  </w:tcMar>
                  <w:vAlign w:val="center"/>
                </w:tcPr>
                <w:p w14:paraId="1FC748F9">
                  <w:pPr>
                    <w:pStyle w:val="31"/>
                    <w:rPr>
                      <w:b/>
                      <w:bCs/>
                    </w:rPr>
                  </w:pPr>
                  <w:r>
                    <w:rPr>
                      <w:rFonts w:hint="eastAsia"/>
                      <w:b/>
                      <w:bCs/>
                    </w:rPr>
                    <w:t>危险废物名称</w:t>
                  </w:r>
                </w:p>
              </w:tc>
              <w:tc>
                <w:tcPr>
                  <w:tcW w:w="413" w:type="pct"/>
                  <w:tcMar>
                    <w:left w:w="28" w:type="dxa"/>
                    <w:right w:w="28" w:type="dxa"/>
                  </w:tcMar>
                  <w:vAlign w:val="center"/>
                </w:tcPr>
                <w:p w14:paraId="3B474DA7">
                  <w:pPr>
                    <w:pStyle w:val="31"/>
                    <w:rPr>
                      <w:b/>
                      <w:bCs/>
                    </w:rPr>
                  </w:pPr>
                  <w:r>
                    <w:rPr>
                      <w:rFonts w:hint="eastAsia"/>
                      <w:b/>
                      <w:bCs/>
                    </w:rPr>
                    <w:t>危险废物类别</w:t>
                  </w:r>
                </w:p>
              </w:tc>
              <w:tc>
                <w:tcPr>
                  <w:tcW w:w="413" w:type="pct"/>
                  <w:tcMar>
                    <w:left w:w="28" w:type="dxa"/>
                    <w:right w:w="28" w:type="dxa"/>
                  </w:tcMar>
                  <w:vAlign w:val="center"/>
                </w:tcPr>
                <w:p w14:paraId="397AC74D">
                  <w:pPr>
                    <w:pStyle w:val="31"/>
                    <w:rPr>
                      <w:b/>
                      <w:bCs/>
                    </w:rPr>
                  </w:pPr>
                  <w:r>
                    <w:rPr>
                      <w:rFonts w:hint="eastAsia"/>
                      <w:b/>
                      <w:bCs/>
                    </w:rPr>
                    <w:t>危险废物代码</w:t>
                  </w:r>
                </w:p>
              </w:tc>
              <w:tc>
                <w:tcPr>
                  <w:tcW w:w="456" w:type="pct"/>
                  <w:tcMar>
                    <w:left w:w="28" w:type="dxa"/>
                    <w:right w:w="28" w:type="dxa"/>
                  </w:tcMar>
                  <w:vAlign w:val="center"/>
                </w:tcPr>
                <w:p w14:paraId="363CA153">
                  <w:pPr>
                    <w:pStyle w:val="31"/>
                    <w:rPr>
                      <w:b/>
                      <w:bCs/>
                    </w:rPr>
                  </w:pPr>
                  <w:r>
                    <w:rPr>
                      <w:rFonts w:hint="eastAsia"/>
                      <w:b/>
                      <w:bCs/>
                    </w:rPr>
                    <w:t>产生量（t/a）</w:t>
                  </w:r>
                </w:p>
              </w:tc>
              <w:tc>
                <w:tcPr>
                  <w:tcW w:w="413" w:type="pct"/>
                  <w:tcMar>
                    <w:left w:w="28" w:type="dxa"/>
                    <w:right w:w="28" w:type="dxa"/>
                  </w:tcMar>
                  <w:vAlign w:val="center"/>
                </w:tcPr>
                <w:p w14:paraId="4F05CA83">
                  <w:pPr>
                    <w:pStyle w:val="31"/>
                    <w:rPr>
                      <w:b/>
                      <w:bCs/>
                    </w:rPr>
                  </w:pPr>
                  <w:r>
                    <w:rPr>
                      <w:rFonts w:hint="eastAsia"/>
                      <w:b/>
                      <w:bCs/>
                    </w:rPr>
                    <w:t>产生工序及装置</w:t>
                  </w:r>
                </w:p>
              </w:tc>
              <w:tc>
                <w:tcPr>
                  <w:tcW w:w="413" w:type="pct"/>
                  <w:tcMar>
                    <w:left w:w="28" w:type="dxa"/>
                    <w:right w:w="28" w:type="dxa"/>
                  </w:tcMar>
                  <w:vAlign w:val="center"/>
                </w:tcPr>
                <w:p w14:paraId="2C36E9DE">
                  <w:pPr>
                    <w:pStyle w:val="31"/>
                    <w:rPr>
                      <w:b/>
                      <w:bCs/>
                    </w:rPr>
                  </w:pPr>
                  <w:r>
                    <w:rPr>
                      <w:rFonts w:hint="eastAsia"/>
                      <w:b/>
                      <w:bCs/>
                    </w:rPr>
                    <w:t>形态</w:t>
                  </w:r>
                </w:p>
              </w:tc>
              <w:tc>
                <w:tcPr>
                  <w:tcW w:w="413" w:type="pct"/>
                  <w:tcMar>
                    <w:left w:w="28" w:type="dxa"/>
                    <w:right w:w="28" w:type="dxa"/>
                  </w:tcMar>
                  <w:vAlign w:val="center"/>
                </w:tcPr>
                <w:p w14:paraId="51B6C12A">
                  <w:pPr>
                    <w:pStyle w:val="31"/>
                    <w:rPr>
                      <w:b/>
                      <w:bCs/>
                    </w:rPr>
                  </w:pPr>
                  <w:r>
                    <w:rPr>
                      <w:rFonts w:hint="eastAsia"/>
                      <w:b/>
                      <w:bCs/>
                    </w:rPr>
                    <w:t>主要成分</w:t>
                  </w:r>
                </w:p>
              </w:tc>
              <w:tc>
                <w:tcPr>
                  <w:tcW w:w="413" w:type="pct"/>
                  <w:tcMar>
                    <w:left w:w="28" w:type="dxa"/>
                    <w:right w:w="28" w:type="dxa"/>
                  </w:tcMar>
                  <w:vAlign w:val="center"/>
                </w:tcPr>
                <w:p w14:paraId="6B1D4817">
                  <w:pPr>
                    <w:pStyle w:val="31"/>
                    <w:rPr>
                      <w:b/>
                      <w:bCs/>
                    </w:rPr>
                  </w:pPr>
                  <w:r>
                    <w:rPr>
                      <w:rFonts w:hint="eastAsia"/>
                      <w:b/>
                      <w:bCs/>
                    </w:rPr>
                    <w:t>有害成分</w:t>
                  </w:r>
                </w:p>
              </w:tc>
              <w:tc>
                <w:tcPr>
                  <w:tcW w:w="413" w:type="pct"/>
                  <w:tcMar>
                    <w:left w:w="28" w:type="dxa"/>
                    <w:right w:w="28" w:type="dxa"/>
                  </w:tcMar>
                  <w:vAlign w:val="center"/>
                </w:tcPr>
                <w:p w14:paraId="5D638068">
                  <w:pPr>
                    <w:pStyle w:val="31"/>
                    <w:rPr>
                      <w:b/>
                      <w:bCs/>
                    </w:rPr>
                  </w:pPr>
                  <w:r>
                    <w:rPr>
                      <w:rFonts w:hint="eastAsia"/>
                      <w:b/>
                      <w:bCs/>
                    </w:rPr>
                    <w:t>产废周期</w:t>
                  </w:r>
                </w:p>
              </w:tc>
              <w:tc>
                <w:tcPr>
                  <w:tcW w:w="413" w:type="pct"/>
                  <w:tcMar>
                    <w:left w:w="28" w:type="dxa"/>
                    <w:right w:w="28" w:type="dxa"/>
                  </w:tcMar>
                  <w:vAlign w:val="center"/>
                </w:tcPr>
                <w:p w14:paraId="4D41FEE8">
                  <w:pPr>
                    <w:pStyle w:val="31"/>
                    <w:rPr>
                      <w:b/>
                      <w:bCs/>
                    </w:rPr>
                  </w:pPr>
                  <w:r>
                    <w:rPr>
                      <w:rFonts w:hint="eastAsia"/>
                      <w:b/>
                      <w:bCs/>
                    </w:rPr>
                    <w:t>危险特性</w:t>
                  </w:r>
                </w:p>
              </w:tc>
              <w:tc>
                <w:tcPr>
                  <w:tcW w:w="413" w:type="pct"/>
                  <w:tcMar>
                    <w:left w:w="28" w:type="dxa"/>
                    <w:right w:w="28" w:type="dxa"/>
                  </w:tcMar>
                  <w:vAlign w:val="center"/>
                </w:tcPr>
                <w:p w14:paraId="77DCDE0C">
                  <w:pPr>
                    <w:pStyle w:val="31"/>
                    <w:rPr>
                      <w:b/>
                      <w:bCs/>
                    </w:rPr>
                  </w:pPr>
                  <w:r>
                    <w:rPr>
                      <w:rFonts w:hint="eastAsia"/>
                      <w:b/>
                      <w:bCs/>
                    </w:rPr>
                    <w:t>污染防治措施</w:t>
                  </w:r>
                </w:p>
              </w:tc>
            </w:tr>
            <w:tr w14:paraId="664C0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Mar>
                    <w:left w:w="28" w:type="dxa"/>
                    <w:right w:w="28" w:type="dxa"/>
                  </w:tcMar>
                  <w:vAlign w:val="center"/>
                </w:tcPr>
                <w:p w14:paraId="70880B24">
                  <w:pPr>
                    <w:pStyle w:val="31"/>
                  </w:pPr>
                  <w:r>
                    <w:rPr>
                      <w:rFonts w:hint="eastAsia"/>
                    </w:rPr>
                    <w:t>1</w:t>
                  </w:r>
                </w:p>
              </w:tc>
              <w:tc>
                <w:tcPr>
                  <w:tcW w:w="413" w:type="pct"/>
                  <w:tcMar>
                    <w:left w:w="28" w:type="dxa"/>
                    <w:right w:w="28" w:type="dxa"/>
                  </w:tcMar>
                  <w:vAlign w:val="center"/>
                </w:tcPr>
                <w:p w14:paraId="2E2067BB">
                  <w:pPr>
                    <w:pStyle w:val="31"/>
                  </w:pPr>
                  <w:r>
                    <w:rPr>
                      <w:rFonts w:hint="eastAsia"/>
                    </w:rPr>
                    <w:t>废机油</w:t>
                  </w:r>
                </w:p>
              </w:tc>
              <w:tc>
                <w:tcPr>
                  <w:tcW w:w="413" w:type="pct"/>
                  <w:tcMar>
                    <w:left w:w="28" w:type="dxa"/>
                    <w:right w:w="28" w:type="dxa"/>
                  </w:tcMar>
                  <w:vAlign w:val="center"/>
                </w:tcPr>
                <w:p w14:paraId="2C3829F5">
                  <w:pPr>
                    <w:pStyle w:val="31"/>
                  </w:pPr>
                  <w:r>
                    <w:rPr>
                      <w:rFonts w:hint="eastAsia"/>
                    </w:rPr>
                    <w:t>HW08</w:t>
                  </w:r>
                </w:p>
              </w:tc>
              <w:tc>
                <w:tcPr>
                  <w:tcW w:w="413" w:type="pct"/>
                  <w:tcMar>
                    <w:left w:w="28" w:type="dxa"/>
                    <w:right w:w="28" w:type="dxa"/>
                  </w:tcMar>
                  <w:vAlign w:val="center"/>
                </w:tcPr>
                <w:p w14:paraId="01AE5840">
                  <w:pPr>
                    <w:pStyle w:val="31"/>
                  </w:pPr>
                  <w:r>
                    <w:rPr>
                      <w:rFonts w:hint="eastAsia"/>
                    </w:rPr>
                    <w:t>9</w:t>
                  </w:r>
                  <w:r>
                    <w:t>00-2</w:t>
                  </w:r>
                  <w:r>
                    <w:rPr>
                      <w:rFonts w:hint="eastAsia"/>
                    </w:rPr>
                    <w:t>49</w:t>
                  </w:r>
                  <w:r>
                    <w:t>-08</w:t>
                  </w:r>
                </w:p>
              </w:tc>
              <w:tc>
                <w:tcPr>
                  <w:tcW w:w="456" w:type="pct"/>
                  <w:tcMar>
                    <w:left w:w="28" w:type="dxa"/>
                    <w:right w:w="28" w:type="dxa"/>
                  </w:tcMar>
                  <w:vAlign w:val="center"/>
                </w:tcPr>
                <w:p w14:paraId="187C443A">
                  <w:pPr>
                    <w:pStyle w:val="31"/>
                  </w:pPr>
                  <w:r>
                    <w:rPr>
                      <w:rFonts w:hint="eastAsia"/>
                    </w:rPr>
                    <w:t>0.05</w:t>
                  </w:r>
                </w:p>
              </w:tc>
              <w:tc>
                <w:tcPr>
                  <w:tcW w:w="413" w:type="pct"/>
                  <w:vMerge w:val="restart"/>
                  <w:tcMar>
                    <w:left w:w="28" w:type="dxa"/>
                    <w:right w:w="28" w:type="dxa"/>
                  </w:tcMar>
                  <w:vAlign w:val="center"/>
                </w:tcPr>
                <w:p w14:paraId="725228A8">
                  <w:pPr>
                    <w:pStyle w:val="31"/>
                  </w:pPr>
                  <w:r>
                    <w:rPr>
                      <w:rFonts w:hint="eastAsia"/>
                    </w:rPr>
                    <w:t>设备保养和维修</w:t>
                  </w:r>
                </w:p>
              </w:tc>
              <w:tc>
                <w:tcPr>
                  <w:tcW w:w="413" w:type="pct"/>
                  <w:tcMar>
                    <w:left w:w="28" w:type="dxa"/>
                    <w:right w:w="28" w:type="dxa"/>
                  </w:tcMar>
                  <w:vAlign w:val="center"/>
                </w:tcPr>
                <w:p w14:paraId="54EE9FBA">
                  <w:pPr>
                    <w:pStyle w:val="31"/>
                  </w:pPr>
                  <w:r>
                    <w:rPr>
                      <w:rFonts w:hint="eastAsia"/>
                    </w:rPr>
                    <w:t>液态</w:t>
                  </w:r>
                </w:p>
              </w:tc>
              <w:tc>
                <w:tcPr>
                  <w:tcW w:w="413" w:type="pct"/>
                  <w:tcMar>
                    <w:left w:w="28" w:type="dxa"/>
                    <w:right w:w="28" w:type="dxa"/>
                  </w:tcMar>
                  <w:vAlign w:val="center"/>
                </w:tcPr>
                <w:p w14:paraId="61729595">
                  <w:pPr>
                    <w:pStyle w:val="31"/>
                  </w:pPr>
                  <w:r>
                    <w:rPr>
                      <w:rFonts w:hint="eastAsia"/>
                    </w:rPr>
                    <w:t>石油类</w:t>
                  </w:r>
                </w:p>
              </w:tc>
              <w:tc>
                <w:tcPr>
                  <w:tcW w:w="413" w:type="pct"/>
                  <w:tcMar>
                    <w:left w:w="28" w:type="dxa"/>
                    <w:right w:w="28" w:type="dxa"/>
                  </w:tcMar>
                  <w:vAlign w:val="center"/>
                </w:tcPr>
                <w:p w14:paraId="03E16E5E">
                  <w:pPr>
                    <w:pStyle w:val="31"/>
                  </w:pPr>
                  <w:r>
                    <w:rPr>
                      <w:rFonts w:hint="eastAsia"/>
                    </w:rPr>
                    <w:t>矿物油</w:t>
                  </w:r>
                </w:p>
              </w:tc>
              <w:tc>
                <w:tcPr>
                  <w:tcW w:w="413" w:type="pct"/>
                  <w:tcMar>
                    <w:left w:w="28" w:type="dxa"/>
                    <w:right w:w="28" w:type="dxa"/>
                  </w:tcMar>
                  <w:vAlign w:val="center"/>
                </w:tcPr>
                <w:p w14:paraId="7A53BB93">
                  <w:pPr>
                    <w:pStyle w:val="31"/>
                  </w:pPr>
                  <w:r>
                    <w:rPr>
                      <w:rFonts w:hint="eastAsia"/>
                    </w:rPr>
                    <w:t>一季度</w:t>
                  </w:r>
                </w:p>
              </w:tc>
              <w:tc>
                <w:tcPr>
                  <w:tcW w:w="413" w:type="pct"/>
                  <w:tcMar>
                    <w:left w:w="28" w:type="dxa"/>
                    <w:right w:w="28" w:type="dxa"/>
                  </w:tcMar>
                  <w:vAlign w:val="center"/>
                </w:tcPr>
                <w:p w14:paraId="794FF5C7">
                  <w:pPr>
                    <w:pStyle w:val="31"/>
                  </w:pPr>
                  <w:r>
                    <w:rPr>
                      <w:rFonts w:hint="eastAsia"/>
                    </w:rPr>
                    <w:t>T，I</w:t>
                  </w:r>
                </w:p>
              </w:tc>
              <w:tc>
                <w:tcPr>
                  <w:tcW w:w="413" w:type="pct"/>
                  <w:vMerge w:val="restart"/>
                  <w:tcMar>
                    <w:left w:w="28" w:type="dxa"/>
                    <w:right w:w="28" w:type="dxa"/>
                  </w:tcMar>
                  <w:vAlign w:val="center"/>
                </w:tcPr>
                <w:p w14:paraId="0B94CB68">
                  <w:pPr>
                    <w:pStyle w:val="31"/>
                  </w:pPr>
                  <w:r>
                    <w:rPr>
                      <w:rFonts w:hint="eastAsia"/>
                    </w:rPr>
                    <w:t>暂存于危废暂存间后交由资质单位处置</w:t>
                  </w:r>
                </w:p>
              </w:tc>
            </w:tr>
            <w:tr w14:paraId="2120F5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Mar>
                    <w:left w:w="28" w:type="dxa"/>
                    <w:right w:w="28" w:type="dxa"/>
                  </w:tcMar>
                  <w:vAlign w:val="center"/>
                </w:tcPr>
                <w:p w14:paraId="0EE29245">
                  <w:pPr>
                    <w:pStyle w:val="31"/>
                  </w:pPr>
                  <w:r>
                    <w:rPr>
                      <w:rFonts w:hint="eastAsia"/>
                    </w:rPr>
                    <w:t>2</w:t>
                  </w:r>
                </w:p>
              </w:tc>
              <w:tc>
                <w:tcPr>
                  <w:tcW w:w="413" w:type="pct"/>
                  <w:tcMar>
                    <w:left w:w="28" w:type="dxa"/>
                    <w:right w:w="28" w:type="dxa"/>
                  </w:tcMar>
                  <w:vAlign w:val="center"/>
                </w:tcPr>
                <w:p w14:paraId="25122913">
                  <w:pPr>
                    <w:pStyle w:val="31"/>
                  </w:pPr>
                  <w:r>
                    <w:rPr>
                      <w:rFonts w:hint="eastAsia"/>
                    </w:rPr>
                    <w:t>废机油沾染物</w:t>
                  </w:r>
                </w:p>
              </w:tc>
              <w:tc>
                <w:tcPr>
                  <w:tcW w:w="413" w:type="pct"/>
                  <w:tcMar>
                    <w:left w:w="28" w:type="dxa"/>
                    <w:right w:w="28" w:type="dxa"/>
                  </w:tcMar>
                  <w:vAlign w:val="center"/>
                </w:tcPr>
                <w:p w14:paraId="44BE86BC">
                  <w:pPr>
                    <w:pStyle w:val="31"/>
                  </w:pPr>
                  <w:r>
                    <w:rPr>
                      <w:rFonts w:hint="eastAsia"/>
                    </w:rPr>
                    <w:t>HW49</w:t>
                  </w:r>
                </w:p>
              </w:tc>
              <w:tc>
                <w:tcPr>
                  <w:tcW w:w="413" w:type="pct"/>
                  <w:tcMar>
                    <w:left w:w="28" w:type="dxa"/>
                    <w:right w:w="28" w:type="dxa"/>
                  </w:tcMar>
                  <w:vAlign w:val="center"/>
                </w:tcPr>
                <w:p w14:paraId="5C43A30D">
                  <w:pPr>
                    <w:pStyle w:val="31"/>
                  </w:pPr>
                  <w:r>
                    <w:rPr>
                      <w:rFonts w:hint="eastAsia"/>
                    </w:rPr>
                    <w:t>900-041-49</w:t>
                  </w:r>
                </w:p>
              </w:tc>
              <w:tc>
                <w:tcPr>
                  <w:tcW w:w="456" w:type="pct"/>
                  <w:tcMar>
                    <w:left w:w="28" w:type="dxa"/>
                    <w:right w:w="28" w:type="dxa"/>
                  </w:tcMar>
                  <w:vAlign w:val="center"/>
                </w:tcPr>
                <w:p w14:paraId="29D311E0">
                  <w:pPr>
                    <w:pStyle w:val="31"/>
                  </w:pPr>
                  <w:r>
                    <w:rPr>
                      <w:rFonts w:hint="eastAsia"/>
                    </w:rPr>
                    <w:t>0.05</w:t>
                  </w:r>
                </w:p>
              </w:tc>
              <w:tc>
                <w:tcPr>
                  <w:tcW w:w="413" w:type="pct"/>
                  <w:vMerge w:val="continue"/>
                  <w:tcMar>
                    <w:left w:w="28" w:type="dxa"/>
                    <w:right w:w="28" w:type="dxa"/>
                  </w:tcMar>
                  <w:vAlign w:val="center"/>
                </w:tcPr>
                <w:p w14:paraId="21618449">
                  <w:pPr>
                    <w:pStyle w:val="31"/>
                  </w:pPr>
                </w:p>
              </w:tc>
              <w:tc>
                <w:tcPr>
                  <w:tcW w:w="413" w:type="pct"/>
                  <w:tcMar>
                    <w:left w:w="28" w:type="dxa"/>
                    <w:right w:w="28" w:type="dxa"/>
                  </w:tcMar>
                  <w:vAlign w:val="center"/>
                </w:tcPr>
                <w:p w14:paraId="351CAA0E">
                  <w:pPr>
                    <w:pStyle w:val="31"/>
                  </w:pPr>
                  <w:r>
                    <w:rPr>
                      <w:rFonts w:hint="eastAsia"/>
                    </w:rPr>
                    <w:t>固态</w:t>
                  </w:r>
                </w:p>
              </w:tc>
              <w:tc>
                <w:tcPr>
                  <w:tcW w:w="413" w:type="pct"/>
                  <w:tcMar>
                    <w:left w:w="28" w:type="dxa"/>
                    <w:right w:w="28" w:type="dxa"/>
                  </w:tcMar>
                  <w:vAlign w:val="center"/>
                </w:tcPr>
                <w:p w14:paraId="27B4A425">
                  <w:pPr>
                    <w:pStyle w:val="31"/>
                  </w:pPr>
                  <w:r>
                    <w:rPr>
                      <w:rFonts w:hint="eastAsia"/>
                    </w:rPr>
                    <w:t>石油类</w:t>
                  </w:r>
                </w:p>
              </w:tc>
              <w:tc>
                <w:tcPr>
                  <w:tcW w:w="413" w:type="pct"/>
                  <w:tcMar>
                    <w:left w:w="28" w:type="dxa"/>
                    <w:right w:w="28" w:type="dxa"/>
                  </w:tcMar>
                  <w:vAlign w:val="center"/>
                </w:tcPr>
                <w:p w14:paraId="5809D6BD">
                  <w:pPr>
                    <w:pStyle w:val="31"/>
                  </w:pPr>
                  <w:r>
                    <w:rPr>
                      <w:rFonts w:hint="eastAsia"/>
                    </w:rPr>
                    <w:t>矿物油</w:t>
                  </w:r>
                </w:p>
              </w:tc>
              <w:tc>
                <w:tcPr>
                  <w:tcW w:w="413" w:type="pct"/>
                  <w:tcMar>
                    <w:left w:w="28" w:type="dxa"/>
                    <w:right w:w="28" w:type="dxa"/>
                  </w:tcMar>
                  <w:vAlign w:val="center"/>
                </w:tcPr>
                <w:p w14:paraId="0C7FEC73">
                  <w:pPr>
                    <w:pStyle w:val="31"/>
                  </w:pPr>
                  <w:r>
                    <w:rPr>
                      <w:rFonts w:hint="eastAsia"/>
                    </w:rPr>
                    <w:t>一季度</w:t>
                  </w:r>
                </w:p>
              </w:tc>
              <w:tc>
                <w:tcPr>
                  <w:tcW w:w="413" w:type="pct"/>
                  <w:tcMar>
                    <w:left w:w="28" w:type="dxa"/>
                    <w:right w:w="28" w:type="dxa"/>
                  </w:tcMar>
                  <w:vAlign w:val="center"/>
                </w:tcPr>
                <w:p w14:paraId="229EBED0">
                  <w:pPr>
                    <w:pStyle w:val="31"/>
                  </w:pPr>
                  <w:r>
                    <w:rPr>
                      <w:rFonts w:hint="eastAsia"/>
                    </w:rPr>
                    <w:t>T/I</w:t>
                  </w:r>
                  <w:r>
                    <w:t>n</w:t>
                  </w:r>
                </w:p>
              </w:tc>
              <w:tc>
                <w:tcPr>
                  <w:tcW w:w="413" w:type="pct"/>
                  <w:vMerge w:val="continue"/>
                  <w:tcMar>
                    <w:left w:w="28" w:type="dxa"/>
                    <w:right w:w="28" w:type="dxa"/>
                  </w:tcMar>
                  <w:vAlign w:val="center"/>
                </w:tcPr>
                <w:p w14:paraId="3F0AEC88">
                  <w:pPr>
                    <w:pStyle w:val="31"/>
                  </w:pPr>
                </w:p>
              </w:tc>
            </w:tr>
            <w:tr w14:paraId="32EEF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13" w:type="pct"/>
                  <w:tcMar>
                    <w:left w:w="28" w:type="dxa"/>
                    <w:right w:w="28" w:type="dxa"/>
                  </w:tcMar>
                  <w:vAlign w:val="center"/>
                </w:tcPr>
                <w:p w14:paraId="087220CC">
                  <w:pPr>
                    <w:pStyle w:val="31"/>
                  </w:pPr>
                  <w:r>
                    <w:t>3</w:t>
                  </w:r>
                </w:p>
              </w:tc>
              <w:tc>
                <w:tcPr>
                  <w:tcW w:w="413" w:type="pct"/>
                  <w:tcMar>
                    <w:left w:w="28" w:type="dxa"/>
                    <w:right w:w="28" w:type="dxa"/>
                  </w:tcMar>
                  <w:vAlign w:val="center"/>
                </w:tcPr>
                <w:p w14:paraId="1D60D913">
                  <w:pPr>
                    <w:pStyle w:val="31"/>
                  </w:pPr>
                  <w:r>
                    <w:rPr>
                      <w:rFonts w:hint="eastAsia"/>
                    </w:rPr>
                    <w:t>废催化剂</w:t>
                  </w:r>
                </w:p>
              </w:tc>
              <w:tc>
                <w:tcPr>
                  <w:tcW w:w="413" w:type="pct"/>
                  <w:tcMar>
                    <w:left w:w="28" w:type="dxa"/>
                    <w:right w:w="28" w:type="dxa"/>
                  </w:tcMar>
                  <w:vAlign w:val="center"/>
                </w:tcPr>
                <w:p w14:paraId="277472C3">
                  <w:pPr>
                    <w:pStyle w:val="31"/>
                  </w:pPr>
                  <w:r>
                    <w:t>HW50</w:t>
                  </w:r>
                </w:p>
              </w:tc>
              <w:tc>
                <w:tcPr>
                  <w:tcW w:w="413" w:type="pct"/>
                  <w:tcMar>
                    <w:left w:w="28" w:type="dxa"/>
                    <w:right w:w="28" w:type="dxa"/>
                  </w:tcMar>
                  <w:vAlign w:val="center"/>
                </w:tcPr>
                <w:p w14:paraId="396379E8">
                  <w:pPr>
                    <w:pStyle w:val="31"/>
                  </w:pPr>
                  <w:r>
                    <w:t>772-007-50</w:t>
                  </w:r>
                </w:p>
              </w:tc>
              <w:tc>
                <w:tcPr>
                  <w:tcW w:w="456" w:type="pct"/>
                  <w:tcMar>
                    <w:left w:w="28" w:type="dxa"/>
                    <w:right w:w="28" w:type="dxa"/>
                  </w:tcMar>
                  <w:vAlign w:val="center"/>
                </w:tcPr>
                <w:p w14:paraId="384895AB">
                  <w:pPr>
                    <w:pStyle w:val="31"/>
                  </w:pPr>
                  <w:r>
                    <w:t>8.67</w:t>
                  </w:r>
                </w:p>
              </w:tc>
              <w:tc>
                <w:tcPr>
                  <w:tcW w:w="413" w:type="pct"/>
                  <w:vMerge w:val="continue"/>
                  <w:tcMar>
                    <w:left w:w="28" w:type="dxa"/>
                    <w:right w:w="28" w:type="dxa"/>
                  </w:tcMar>
                  <w:vAlign w:val="center"/>
                </w:tcPr>
                <w:p w14:paraId="53A29989">
                  <w:pPr>
                    <w:pStyle w:val="31"/>
                  </w:pPr>
                </w:p>
              </w:tc>
              <w:tc>
                <w:tcPr>
                  <w:tcW w:w="413" w:type="pct"/>
                  <w:tcMar>
                    <w:left w:w="28" w:type="dxa"/>
                    <w:right w:w="28" w:type="dxa"/>
                  </w:tcMar>
                  <w:vAlign w:val="center"/>
                </w:tcPr>
                <w:p w14:paraId="1FE90380">
                  <w:pPr>
                    <w:pStyle w:val="31"/>
                  </w:pPr>
                  <w:r>
                    <w:rPr>
                      <w:rFonts w:hint="eastAsia"/>
                    </w:rPr>
                    <w:t>固态</w:t>
                  </w:r>
                </w:p>
              </w:tc>
              <w:tc>
                <w:tcPr>
                  <w:tcW w:w="413" w:type="pct"/>
                  <w:tcMar>
                    <w:left w:w="28" w:type="dxa"/>
                    <w:right w:w="28" w:type="dxa"/>
                  </w:tcMar>
                  <w:vAlign w:val="center"/>
                </w:tcPr>
                <w:p w14:paraId="4937FA19">
                  <w:pPr>
                    <w:pStyle w:val="31"/>
                  </w:pPr>
                  <w:r>
                    <w:rPr>
                      <w:kern w:val="0"/>
                      <w:sz w:val="24"/>
                      <w:lang w:bidi="ar"/>
                    </w:rPr>
                    <w:t>钒钛</w:t>
                  </w:r>
                </w:p>
              </w:tc>
              <w:tc>
                <w:tcPr>
                  <w:tcW w:w="413" w:type="pct"/>
                  <w:tcMar>
                    <w:left w:w="28" w:type="dxa"/>
                    <w:right w:w="28" w:type="dxa"/>
                  </w:tcMar>
                  <w:vAlign w:val="center"/>
                </w:tcPr>
                <w:p w14:paraId="03827E8E">
                  <w:pPr>
                    <w:pStyle w:val="31"/>
                  </w:pPr>
                  <w:r>
                    <w:rPr>
                      <w:rFonts w:hint="eastAsia"/>
                    </w:rPr>
                    <w:t>重金属</w:t>
                  </w:r>
                </w:p>
              </w:tc>
              <w:tc>
                <w:tcPr>
                  <w:tcW w:w="413" w:type="pct"/>
                  <w:tcMar>
                    <w:left w:w="28" w:type="dxa"/>
                    <w:right w:w="28" w:type="dxa"/>
                  </w:tcMar>
                  <w:vAlign w:val="center"/>
                </w:tcPr>
                <w:p w14:paraId="403DCF86">
                  <w:pPr>
                    <w:pStyle w:val="31"/>
                  </w:pPr>
                  <w:r>
                    <w:t>5</w:t>
                  </w:r>
                  <w:r>
                    <w:rPr>
                      <w:rFonts w:hint="eastAsia"/>
                    </w:rPr>
                    <w:t>年</w:t>
                  </w:r>
                </w:p>
              </w:tc>
              <w:tc>
                <w:tcPr>
                  <w:tcW w:w="413" w:type="pct"/>
                  <w:tcMar>
                    <w:left w:w="28" w:type="dxa"/>
                    <w:right w:w="28" w:type="dxa"/>
                  </w:tcMar>
                  <w:vAlign w:val="center"/>
                </w:tcPr>
                <w:p w14:paraId="1E4F1B87">
                  <w:pPr>
                    <w:pStyle w:val="31"/>
                  </w:pPr>
                  <w:r>
                    <w:t>T</w:t>
                  </w:r>
                </w:p>
              </w:tc>
              <w:tc>
                <w:tcPr>
                  <w:tcW w:w="413" w:type="pct"/>
                  <w:vMerge w:val="continue"/>
                  <w:tcMar>
                    <w:left w:w="28" w:type="dxa"/>
                    <w:right w:w="28" w:type="dxa"/>
                  </w:tcMar>
                  <w:vAlign w:val="center"/>
                </w:tcPr>
                <w:p w14:paraId="5BDFC755">
                  <w:pPr>
                    <w:pStyle w:val="31"/>
                  </w:pPr>
                </w:p>
              </w:tc>
            </w:tr>
          </w:tbl>
          <w:p w14:paraId="14AEBAFB">
            <w:pPr>
              <w:pStyle w:val="43"/>
              <w:rPr>
                <w:bCs/>
              </w:rPr>
            </w:pPr>
            <w:r>
              <w:rPr>
                <w:rFonts w:hint="eastAsia"/>
              </w:rPr>
              <w:t>项目危险废物暂存间基本情况表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113"/>
              <w:gridCol w:w="1215"/>
              <w:gridCol w:w="762"/>
              <w:gridCol w:w="1528"/>
              <w:gridCol w:w="1114"/>
              <w:gridCol w:w="1114"/>
              <w:gridCol w:w="1115"/>
            </w:tblGrid>
            <w:tr w14:paraId="1C2CA8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13" w:type="dxa"/>
                  <w:vAlign w:val="center"/>
                </w:tcPr>
                <w:p w14:paraId="0E47E1C3">
                  <w:pPr>
                    <w:pStyle w:val="31"/>
                    <w:rPr>
                      <w:bCs/>
                    </w:rPr>
                  </w:pPr>
                  <w:r>
                    <w:rPr>
                      <w:rFonts w:hint="eastAsia"/>
                      <w:b/>
                      <w:bCs/>
                    </w:rPr>
                    <w:t>名称</w:t>
                  </w:r>
                </w:p>
              </w:tc>
              <w:tc>
                <w:tcPr>
                  <w:tcW w:w="1215" w:type="dxa"/>
                  <w:vAlign w:val="center"/>
                </w:tcPr>
                <w:p w14:paraId="76ACC09E">
                  <w:pPr>
                    <w:pStyle w:val="31"/>
                    <w:rPr>
                      <w:bCs/>
                    </w:rPr>
                  </w:pPr>
                  <w:r>
                    <w:rPr>
                      <w:rFonts w:hint="eastAsia"/>
                      <w:b/>
                      <w:bCs/>
                    </w:rPr>
                    <w:t>危废名称</w:t>
                  </w:r>
                </w:p>
              </w:tc>
              <w:tc>
                <w:tcPr>
                  <w:tcW w:w="762" w:type="dxa"/>
                  <w:vAlign w:val="center"/>
                </w:tcPr>
                <w:p w14:paraId="5C6651E0">
                  <w:pPr>
                    <w:pStyle w:val="31"/>
                    <w:rPr>
                      <w:bCs/>
                    </w:rPr>
                  </w:pPr>
                  <w:r>
                    <w:rPr>
                      <w:rFonts w:hint="eastAsia"/>
                      <w:b/>
                      <w:bCs/>
                    </w:rPr>
                    <w:t>位置</w:t>
                  </w:r>
                </w:p>
              </w:tc>
              <w:tc>
                <w:tcPr>
                  <w:tcW w:w="1528" w:type="dxa"/>
                  <w:vAlign w:val="center"/>
                </w:tcPr>
                <w:p w14:paraId="5C5FEE8B">
                  <w:pPr>
                    <w:pStyle w:val="31"/>
                    <w:rPr>
                      <w:bCs/>
                    </w:rPr>
                  </w:pPr>
                  <w:r>
                    <w:rPr>
                      <w:rFonts w:hint="eastAsia"/>
                      <w:b/>
                      <w:bCs/>
                    </w:rPr>
                    <w:t>占地面积</w:t>
                  </w:r>
                </w:p>
              </w:tc>
              <w:tc>
                <w:tcPr>
                  <w:tcW w:w="1114" w:type="dxa"/>
                  <w:vAlign w:val="center"/>
                </w:tcPr>
                <w:p w14:paraId="674F211C">
                  <w:pPr>
                    <w:pStyle w:val="31"/>
                    <w:rPr>
                      <w:bCs/>
                    </w:rPr>
                  </w:pPr>
                  <w:r>
                    <w:rPr>
                      <w:rFonts w:hint="eastAsia"/>
                      <w:b/>
                      <w:bCs/>
                    </w:rPr>
                    <w:t>贮存方式</w:t>
                  </w:r>
                </w:p>
              </w:tc>
              <w:tc>
                <w:tcPr>
                  <w:tcW w:w="1114" w:type="dxa"/>
                  <w:vAlign w:val="center"/>
                </w:tcPr>
                <w:p w14:paraId="61B62E79">
                  <w:pPr>
                    <w:pStyle w:val="31"/>
                    <w:rPr>
                      <w:bCs/>
                    </w:rPr>
                  </w:pPr>
                  <w:r>
                    <w:rPr>
                      <w:rFonts w:hint="eastAsia"/>
                      <w:b/>
                      <w:bCs/>
                    </w:rPr>
                    <w:t>贮存能力</w:t>
                  </w:r>
                </w:p>
              </w:tc>
              <w:tc>
                <w:tcPr>
                  <w:tcW w:w="1115" w:type="dxa"/>
                  <w:vAlign w:val="center"/>
                </w:tcPr>
                <w:p w14:paraId="2521C91A">
                  <w:pPr>
                    <w:pStyle w:val="31"/>
                    <w:rPr>
                      <w:bCs/>
                    </w:rPr>
                  </w:pPr>
                  <w:r>
                    <w:rPr>
                      <w:rFonts w:hint="eastAsia"/>
                      <w:b/>
                      <w:bCs/>
                    </w:rPr>
                    <w:t>贮存周期</w:t>
                  </w:r>
                </w:p>
              </w:tc>
            </w:tr>
            <w:tr w14:paraId="18F3C7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1113" w:type="dxa"/>
                  <w:vAlign w:val="center"/>
                </w:tcPr>
                <w:p w14:paraId="784B660A">
                  <w:pPr>
                    <w:pStyle w:val="31"/>
                  </w:pPr>
                  <w:r>
                    <w:rPr>
                      <w:rFonts w:hint="eastAsia"/>
                    </w:rPr>
                    <w:t>危废暂存间</w:t>
                  </w:r>
                </w:p>
              </w:tc>
              <w:tc>
                <w:tcPr>
                  <w:tcW w:w="1215" w:type="dxa"/>
                  <w:vAlign w:val="center"/>
                </w:tcPr>
                <w:p w14:paraId="7F9683A4">
                  <w:pPr>
                    <w:pStyle w:val="31"/>
                  </w:pPr>
                  <w:r>
                    <w:rPr>
                      <w:rFonts w:hint="eastAsia"/>
                    </w:rPr>
                    <w:t>废机油、废机油沾染物、废催化剂</w:t>
                  </w:r>
                </w:p>
              </w:tc>
              <w:tc>
                <w:tcPr>
                  <w:tcW w:w="762" w:type="dxa"/>
                  <w:vAlign w:val="center"/>
                </w:tcPr>
                <w:p w14:paraId="4C452E14">
                  <w:pPr>
                    <w:pStyle w:val="31"/>
                  </w:pPr>
                  <w:r>
                    <w:rPr>
                      <w:rFonts w:hint="eastAsia"/>
                    </w:rPr>
                    <w:t>锅炉房东南侧</w:t>
                  </w:r>
                </w:p>
              </w:tc>
              <w:tc>
                <w:tcPr>
                  <w:tcW w:w="1528" w:type="dxa"/>
                  <w:vAlign w:val="center"/>
                </w:tcPr>
                <w:p w14:paraId="150586B7">
                  <w:pPr>
                    <w:pStyle w:val="31"/>
                  </w:pPr>
                  <w:r>
                    <w:rPr>
                      <w:rFonts w:hint="eastAsia"/>
                    </w:rPr>
                    <w:t>5m</w:t>
                  </w:r>
                  <w:r>
                    <w:rPr>
                      <w:vertAlign w:val="superscript"/>
                    </w:rPr>
                    <w:t>2</w:t>
                  </w:r>
                </w:p>
              </w:tc>
              <w:tc>
                <w:tcPr>
                  <w:tcW w:w="1114" w:type="dxa"/>
                  <w:vAlign w:val="center"/>
                </w:tcPr>
                <w:p w14:paraId="100DDEF8">
                  <w:pPr>
                    <w:pStyle w:val="31"/>
                  </w:pPr>
                  <w:r>
                    <w:rPr>
                      <w:rFonts w:hint="eastAsia"/>
                    </w:rPr>
                    <w:t>分类储存</w:t>
                  </w:r>
                </w:p>
              </w:tc>
              <w:tc>
                <w:tcPr>
                  <w:tcW w:w="1114" w:type="dxa"/>
                  <w:vAlign w:val="center"/>
                </w:tcPr>
                <w:p w14:paraId="7F2F8451">
                  <w:pPr>
                    <w:pStyle w:val="31"/>
                  </w:pPr>
                  <w:r>
                    <w:rPr>
                      <w:rFonts w:hint="eastAsia"/>
                    </w:rPr>
                    <w:t>5t</w:t>
                  </w:r>
                </w:p>
              </w:tc>
              <w:tc>
                <w:tcPr>
                  <w:tcW w:w="1115" w:type="dxa"/>
                  <w:vAlign w:val="center"/>
                </w:tcPr>
                <w:p w14:paraId="5CF4086B">
                  <w:pPr>
                    <w:pStyle w:val="31"/>
                  </w:pPr>
                  <w:r>
                    <w:rPr>
                      <w:rFonts w:hint="eastAsia"/>
                    </w:rPr>
                    <w:t>12个月</w:t>
                  </w:r>
                </w:p>
              </w:tc>
            </w:tr>
          </w:tbl>
          <w:p w14:paraId="5B35FF7A">
            <w:pPr>
              <w:ind w:firstLine="482"/>
              <w:rPr>
                <w:b/>
                <w:bCs/>
              </w:rPr>
            </w:pPr>
            <w:r>
              <w:rPr>
                <w:rFonts w:hint="eastAsia"/>
                <w:b/>
                <w:bCs/>
              </w:rPr>
              <w:t>（2）管理要求</w:t>
            </w:r>
          </w:p>
          <w:p w14:paraId="4196E095">
            <w:pPr>
              <w:ind w:firstLine="480"/>
            </w:pPr>
            <w:r>
              <w:rPr>
                <w:rFonts w:hint="eastAsia"/>
              </w:rPr>
              <w:t>1）一般固废管理要求</w:t>
            </w:r>
          </w:p>
          <w:p w14:paraId="5432983B">
            <w:pPr>
              <w:ind w:firstLine="480"/>
            </w:pPr>
            <w:r>
              <w:rPr>
                <w:rFonts w:hint="eastAsia"/>
              </w:rPr>
              <w:t>建设单位需要在明显位置设置相应的固废分类暂存设施，并设置标识标牌，并将产生的废弃物分类存放于标识的容器内或存放区，不得在厂区内乱扔、乱堆。</w:t>
            </w:r>
          </w:p>
          <w:p w14:paraId="3407030D">
            <w:pPr>
              <w:ind w:firstLine="480"/>
            </w:pPr>
            <w:r>
              <w:rPr>
                <w:rFonts w:hint="eastAsia"/>
              </w:rPr>
              <w:t>2）危险废物管理要求</w:t>
            </w:r>
          </w:p>
          <w:p w14:paraId="0C0CC79E">
            <w:pPr>
              <w:ind w:firstLine="480"/>
            </w:pPr>
            <w:r>
              <w:rPr>
                <w:rFonts w:hint="eastAsia"/>
              </w:rPr>
              <w:t>建设单位拟建一个危险废物暂存间（5m</w:t>
            </w:r>
            <w:r>
              <w:rPr>
                <w:rFonts w:hint="eastAsia"/>
                <w:vertAlign w:val="superscript"/>
              </w:rPr>
              <w:t>2</w:t>
            </w:r>
            <w:r>
              <w:rPr>
                <w:rFonts w:hint="eastAsia"/>
              </w:rPr>
              <w:t>）对项目产生的危险废物进行暂存，另外本环评要求，建立健全危废管理制度、管理台账，规范收集危险废物，设专人管理，贴明显标识，危险废物使用符合标准的专用容器盛装，并在项目场区设置危险废物暂存间，将危险废物暂存于危险废物暂存间内，委托有处理资质的单位进行处置。</w:t>
            </w:r>
          </w:p>
          <w:p w14:paraId="6152AD39">
            <w:pPr>
              <w:ind w:firstLine="482"/>
              <w:rPr>
                <w:b/>
                <w:bCs/>
              </w:rPr>
            </w:pPr>
            <w:r>
              <w:rPr>
                <w:rFonts w:hint="eastAsia"/>
                <w:b/>
                <w:bCs/>
              </w:rPr>
              <w:t>危险废物暂存间建设要求：</w:t>
            </w:r>
          </w:p>
          <w:p w14:paraId="3BCC3FB8">
            <w:pPr>
              <w:ind w:firstLine="480"/>
            </w:pPr>
            <w:r>
              <w:rPr>
                <w:rFonts w:hint="eastAsia"/>
              </w:rPr>
              <w:t>①危险废物贮存间必须要密闭建设，地面应做好硬化及“六防”措施；</w:t>
            </w:r>
          </w:p>
          <w:p w14:paraId="25B551C8">
            <w:pPr>
              <w:ind w:firstLine="480"/>
            </w:pPr>
            <w:r>
              <w:rPr>
                <w:rFonts w:hint="eastAsia"/>
              </w:rPr>
              <w:t>②危险废物贮存间门口需张贴标准规定的危险废物标识和危废信息板，屋内张贴企业《危险废物管理制度》；</w:t>
            </w:r>
          </w:p>
          <w:p w14:paraId="380F3AA0">
            <w:pPr>
              <w:ind w:firstLine="480"/>
            </w:pPr>
            <w:r>
              <w:rPr>
                <w:rFonts w:hint="eastAsia"/>
              </w:rPr>
              <w:t>③液态危废需将承装容器放至防渗漏托盘内并在容器粘贴危险废物标签，固态危废包装需完好无破损并系挂危险废物标签，并按要求填写；</w:t>
            </w:r>
          </w:p>
          <w:p w14:paraId="3B48E537">
            <w:pPr>
              <w:ind w:firstLine="480"/>
            </w:pPr>
            <w:r>
              <w:rPr>
                <w:rFonts w:hint="eastAsia"/>
              </w:rPr>
              <w:t>④建立台账并悬挂于危险废物贮存间内，转入和转出（处置、自利用）需要填写危废种类、数量、时间及负责人姓名；</w:t>
            </w:r>
          </w:p>
          <w:p w14:paraId="768E47B1">
            <w:pPr>
              <w:ind w:firstLine="480"/>
            </w:pPr>
            <w:r>
              <w:rPr>
                <w:rFonts w:hint="eastAsia"/>
              </w:rPr>
              <w:t>⑤危险废物贮存间内禁止存放除危险废物及应急工具的其他物品；</w:t>
            </w:r>
          </w:p>
          <w:p w14:paraId="4B6153E7">
            <w:pPr>
              <w:ind w:firstLine="480"/>
            </w:pPr>
            <w:r>
              <w:rPr>
                <w:rFonts w:hint="eastAsia"/>
              </w:rPr>
              <w:t>⑥危废暂存间日常管理严格按《危险废物管理制度》进行。</w:t>
            </w:r>
            <w:r>
              <w:t>危险废物识别标识规范化设置要求执行《危险废物识别标志设置技术规范》（HJ1276-2022），具体见表4-1</w:t>
            </w:r>
            <w:r>
              <w:rPr>
                <w:rFonts w:hint="eastAsia"/>
              </w:rPr>
              <w:t>8</w:t>
            </w:r>
            <w:r>
              <w:t>。</w:t>
            </w:r>
          </w:p>
          <w:p w14:paraId="6FDC8F78">
            <w:pPr>
              <w:pStyle w:val="43"/>
            </w:pPr>
            <w:r>
              <w:rPr>
                <w:rFonts w:hint="eastAsia"/>
              </w:rPr>
              <w:t xml:space="preserve">  </w:t>
            </w:r>
            <w:r>
              <w:t>危险废物识别标识规范化设置要求一览表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14"/>
              <w:gridCol w:w="1550"/>
              <w:gridCol w:w="2830"/>
              <w:gridCol w:w="2931"/>
            </w:tblGrid>
            <w:tr w14:paraId="5E6F1F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92" w:hRule="atLeast"/>
                <w:jc w:val="center"/>
              </w:trPr>
              <w:tc>
                <w:tcPr>
                  <w:tcW w:w="445" w:type="pct"/>
                </w:tcPr>
                <w:p w14:paraId="7B78E487">
                  <w:pPr>
                    <w:pStyle w:val="31"/>
                    <w:rPr>
                      <w:b/>
                      <w:bCs/>
                    </w:rPr>
                  </w:pPr>
                  <w:r>
                    <w:rPr>
                      <w:b/>
                      <w:bCs/>
                    </w:rPr>
                    <w:t>序号</w:t>
                  </w:r>
                </w:p>
              </w:tc>
              <w:tc>
                <w:tcPr>
                  <w:tcW w:w="966" w:type="pct"/>
                  <w:vAlign w:val="center"/>
                </w:tcPr>
                <w:p w14:paraId="67E40BA6">
                  <w:pPr>
                    <w:pStyle w:val="31"/>
                    <w:rPr>
                      <w:b/>
                      <w:bCs/>
                    </w:rPr>
                  </w:pPr>
                  <w:r>
                    <w:rPr>
                      <w:b/>
                      <w:bCs/>
                    </w:rPr>
                    <w:t>标识名称</w:t>
                  </w:r>
                </w:p>
              </w:tc>
              <w:tc>
                <w:tcPr>
                  <w:tcW w:w="1763" w:type="pct"/>
                  <w:vAlign w:val="center"/>
                </w:tcPr>
                <w:p w14:paraId="329FBBD8">
                  <w:pPr>
                    <w:pStyle w:val="31"/>
                    <w:rPr>
                      <w:b/>
                      <w:bCs/>
                    </w:rPr>
                  </w:pPr>
                  <w:r>
                    <w:rPr>
                      <w:b/>
                      <w:bCs/>
                    </w:rPr>
                    <w:t>图案样式</w:t>
                  </w:r>
                </w:p>
              </w:tc>
              <w:tc>
                <w:tcPr>
                  <w:tcW w:w="1826" w:type="pct"/>
                  <w:vAlign w:val="center"/>
                </w:tcPr>
                <w:p w14:paraId="34F60D75">
                  <w:pPr>
                    <w:pStyle w:val="31"/>
                    <w:rPr>
                      <w:b/>
                      <w:bCs/>
                    </w:rPr>
                  </w:pPr>
                  <w:r>
                    <w:rPr>
                      <w:b/>
                      <w:bCs/>
                    </w:rPr>
                    <w:t>设置规范</w:t>
                  </w:r>
                </w:p>
              </w:tc>
            </w:tr>
            <w:tr w14:paraId="58E119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20" w:hRule="atLeast"/>
                <w:jc w:val="center"/>
              </w:trPr>
              <w:tc>
                <w:tcPr>
                  <w:tcW w:w="445" w:type="pct"/>
                  <w:vAlign w:val="center"/>
                </w:tcPr>
                <w:p w14:paraId="682B089F">
                  <w:pPr>
                    <w:pStyle w:val="31"/>
                    <w:rPr>
                      <w:bCs/>
                    </w:rPr>
                  </w:pPr>
                  <w:r>
                    <w:rPr>
                      <w:bCs/>
                    </w:rPr>
                    <w:t>1</w:t>
                  </w:r>
                </w:p>
              </w:tc>
              <w:tc>
                <w:tcPr>
                  <w:tcW w:w="966" w:type="pct"/>
                  <w:vAlign w:val="center"/>
                </w:tcPr>
                <w:p w14:paraId="55F6A230">
                  <w:pPr>
                    <w:pStyle w:val="31"/>
                    <w:rPr>
                      <w:bCs/>
                    </w:rPr>
                  </w:pPr>
                  <w:r>
                    <w:rPr>
                      <w:bCs/>
                    </w:rPr>
                    <w:t>危险废物标签</w:t>
                  </w:r>
                </w:p>
              </w:tc>
              <w:tc>
                <w:tcPr>
                  <w:tcW w:w="1763" w:type="pct"/>
                  <w:vAlign w:val="center"/>
                </w:tcPr>
                <w:p w14:paraId="71B8F0E3">
                  <w:pPr>
                    <w:pStyle w:val="31"/>
                    <w:rPr>
                      <w:bCs/>
                    </w:rPr>
                  </w:pPr>
                  <w:r>
                    <w:drawing>
                      <wp:inline distT="0" distB="0" distL="114300" distR="114300">
                        <wp:extent cx="1546860" cy="1212215"/>
                        <wp:effectExtent l="0" t="0" r="0" b="6985"/>
                        <wp:docPr id="10"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1"/>
                                <pic:cNvPicPr>
                                  <a:picLocks noChangeAspect="1"/>
                                </pic:cNvPicPr>
                              </pic:nvPicPr>
                              <pic:blipFill>
                                <a:blip r:embed="rId32"/>
                                <a:stretch>
                                  <a:fillRect/>
                                </a:stretch>
                              </pic:blipFill>
                              <pic:spPr>
                                <a:xfrm>
                                  <a:off x="0" y="0"/>
                                  <a:ext cx="1546860" cy="1212215"/>
                                </a:xfrm>
                                <a:prstGeom prst="rect">
                                  <a:avLst/>
                                </a:prstGeom>
                                <a:noFill/>
                                <a:ln>
                                  <a:noFill/>
                                </a:ln>
                              </pic:spPr>
                            </pic:pic>
                          </a:graphicData>
                        </a:graphic>
                      </wp:inline>
                    </w:drawing>
                  </w:r>
                </w:p>
              </w:tc>
              <w:tc>
                <w:tcPr>
                  <w:tcW w:w="1826" w:type="pct"/>
                  <w:vAlign w:val="center"/>
                </w:tcPr>
                <w:p w14:paraId="5EFE326B">
                  <w:pPr>
                    <w:pStyle w:val="31"/>
                    <w:rPr>
                      <w:bCs/>
                    </w:rPr>
                  </w:pPr>
                  <w:r>
                    <w:rPr>
                      <w:kern w:val="0"/>
                    </w:rPr>
                    <w:t>危险废物标签印刷的油墨应均匀，图案和文字应清晰、完整。危险废物标签的文字边缘宜加黑色边框，边框宽度不小于1mm，边框外宜留不小于3mm的空白。</w:t>
                  </w:r>
                </w:p>
              </w:tc>
            </w:tr>
            <w:tr w14:paraId="7A3FDB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920" w:hRule="atLeast"/>
                <w:jc w:val="center"/>
              </w:trPr>
              <w:tc>
                <w:tcPr>
                  <w:tcW w:w="445" w:type="pct"/>
                  <w:vAlign w:val="center"/>
                </w:tcPr>
                <w:p w14:paraId="4EA59D49">
                  <w:pPr>
                    <w:pStyle w:val="31"/>
                    <w:rPr>
                      <w:bCs/>
                    </w:rPr>
                  </w:pPr>
                  <w:r>
                    <w:rPr>
                      <w:bCs/>
                    </w:rPr>
                    <w:t>2</w:t>
                  </w:r>
                </w:p>
              </w:tc>
              <w:tc>
                <w:tcPr>
                  <w:tcW w:w="966" w:type="pct"/>
                  <w:vAlign w:val="center"/>
                </w:tcPr>
                <w:p w14:paraId="428FDEBF">
                  <w:pPr>
                    <w:pStyle w:val="31"/>
                    <w:rPr>
                      <w:bCs/>
                    </w:rPr>
                  </w:pPr>
                  <w:r>
                    <w:rPr>
                      <w:bCs/>
                    </w:rPr>
                    <w:t>贮存分区标志</w:t>
                  </w:r>
                </w:p>
              </w:tc>
              <w:tc>
                <w:tcPr>
                  <w:tcW w:w="1763" w:type="pct"/>
                  <w:vAlign w:val="center"/>
                </w:tcPr>
                <w:p w14:paraId="24612E70">
                  <w:pPr>
                    <w:pStyle w:val="31"/>
                  </w:pPr>
                  <w:r>
                    <w:drawing>
                      <wp:inline distT="0" distB="0" distL="114300" distR="114300">
                        <wp:extent cx="1724025" cy="1428750"/>
                        <wp:effectExtent l="0" t="0" r="9525" b="0"/>
                        <wp:docPr id="9"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2"/>
                                <pic:cNvPicPr>
                                  <a:picLocks noChangeAspect="1"/>
                                </pic:cNvPicPr>
                              </pic:nvPicPr>
                              <pic:blipFill>
                                <a:blip r:embed="rId33"/>
                                <a:stretch>
                                  <a:fillRect/>
                                </a:stretch>
                              </pic:blipFill>
                              <pic:spPr>
                                <a:xfrm>
                                  <a:off x="0" y="0"/>
                                  <a:ext cx="1725934" cy="1429961"/>
                                </a:xfrm>
                                <a:prstGeom prst="rect">
                                  <a:avLst/>
                                </a:prstGeom>
                                <a:noFill/>
                                <a:ln>
                                  <a:noFill/>
                                </a:ln>
                              </pic:spPr>
                            </pic:pic>
                          </a:graphicData>
                        </a:graphic>
                      </wp:inline>
                    </w:drawing>
                  </w:r>
                </w:p>
              </w:tc>
              <w:tc>
                <w:tcPr>
                  <w:tcW w:w="1826" w:type="pct"/>
                  <w:vAlign w:val="center"/>
                </w:tcPr>
                <w:p w14:paraId="3F3F4B7D">
                  <w:pPr>
                    <w:pStyle w:val="31"/>
                    <w:rPr>
                      <w:bCs/>
                    </w:rPr>
                  </w:pPr>
                  <w:r>
                    <w:rPr>
                      <w:kern w:val="0"/>
                    </w:rPr>
                    <w:t>危险废物贮存分区标志的图形和文字应清晰、完整，保证在足够的观察距离条件下不影响阅读。</w:t>
                  </w:r>
                  <w:r>
                    <w:rPr>
                      <w:rFonts w:hint="eastAsia"/>
                      <w:kern w:val="0"/>
                    </w:rPr>
                    <w:t>“</w:t>
                  </w:r>
                  <w:r>
                    <w:rPr>
                      <w:kern w:val="0"/>
                    </w:rPr>
                    <w:t>危险废物贮存分区标志</w:t>
                  </w:r>
                  <w:r>
                    <w:rPr>
                      <w:rFonts w:hint="eastAsia"/>
                      <w:kern w:val="0"/>
                    </w:rPr>
                    <w:t>”</w:t>
                  </w:r>
                  <w:r>
                    <w:rPr>
                      <w:kern w:val="0"/>
                    </w:rPr>
                    <w:t>字样与其他信息宜加黑色分界线区分，分界线的宽度不小于2mm。</w:t>
                  </w:r>
                </w:p>
              </w:tc>
            </w:tr>
            <w:tr w14:paraId="2C8B7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00" w:hRule="atLeast"/>
                <w:jc w:val="center"/>
              </w:trPr>
              <w:tc>
                <w:tcPr>
                  <w:tcW w:w="445" w:type="pct"/>
                  <w:vAlign w:val="center"/>
                </w:tcPr>
                <w:p w14:paraId="7EC9C0E4">
                  <w:pPr>
                    <w:pStyle w:val="31"/>
                    <w:rPr>
                      <w:bCs/>
                    </w:rPr>
                  </w:pPr>
                  <w:r>
                    <w:rPr>
                      <w:bCs/>
                    </w:rPr>
                    <w:t>3</w:t>
                  </w:r>
                </w:p>
              </w:tc>
              <w:tc>
                <w:tcPr>
                  <w:tcW w:w="966" w:type="pct"/>
                  <w:vAlign w:val="center"/>
                </w:tcPr>
                <w:p w14:paraId="1CF9EB08">
                  <w:pPr>
                    <w:pStyle w:val="31"/>
                    <w:rPr>
                      <w:bCs/>
                    </w:rPr>
                  </w:pPr>
                  <w:r>
                    <w:rPr>
                      <w:bCs/>
                    </w:rPr>
                    <w:t>危险废物贮存设施警示标识牌</w:t>
                  </w:r>
                </w:p>
              </w:tc>
              <w:tc>
                <w:tcPr>
                  <w:tcW w:w="1763" w:type="pct"/>
                  <w:vAlign w:val="center"/>
                </w:tcPr>
                <w:p w14:paraId="3ABA63A7">
                  <w:pPr>
                    <w:pStyle w:val="31"/>
                    <w:rPr>
                      <w:bCs/>
                    </w:rPr>
                  </w:pPr>
                  <w:r>
                    <w:drawing>
                      <wp:inline distT="0" distB="0" distL="114300" distR="114300">
                        <wp:extent cx="1685925" cy="1489710"/>
                        <wp:effectExtent l="0" t="0" r="0" b="0"/>
                        <wp:docPr id="3"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13"/>
                                <pic:cNvPicPr>
                                  <a:picLocks noChangeAspect="1"/>
                                </pic:cNvPicPr>
                              </pic:nvPicPr>
                              <pic:blipFill>
                                <a:blip r:embed="rId34"/>
                                <a:stretch>
                                  <a:fillRect/>
                                </a:stretch>
                              </pic:blipFill>
                              <pic:spPr>
                                <a:xfrm>
                                  <a:off x="0" y="0"/>
                                  <a:ext cx="1689805" cy="1493315"/>
                                </a:xfrm>
                                <a:prstGeom prst="rect">
                                  <a:avLst/>
                                </a:prstGeom>
                                <a:noFill/>
                                <a:ln>
                                  <a:noFill/>
                                </a:ln>
                              </pic:spPr>
                            </pic:pic>
                          </a:graphicData>
                        </a:graphic>
                      </wp:inline>
                    </w:drawing>
                  </w:r>
                </w:p>
              </w:tc>
              <w:tc>
                <w:tcPr>
                  <w:tcW w:w="1826" w:type="pct"/>
                  <w:vAlign w:val="center"/>
                </w:tcPr>
                <w:p w14:paraId="1B8DDE07">
                  <w:pPr>
                    <w:pStyle w:val="31"/>
                    <w:rPr>
                      <w:bCs/>
                    </w:rPr>
                  </w:pPr>
                  <w:r>
                    <w:rPr>
                      <w:kern w:val="0"/>
                    </w:rPr>
                    <w:t>标志牌和立柱无明显变形。标志牌表面无气泡，膜或搪瓷无脱落。图案清晰，色泽一致，没有明显缺损。</w:t>
                  </w:r>
                </w:p>
              </w:tc>
            </w:tr>
          </w:tbl>
          <w:p w14:paraId="7E39B86E">
            <w:pPr>
              <w:ind w:firstLine="480"/>
              <w:rPr>
                <w:szCs w:val="24"/>
              </w:rPr>
            </w:pPr>
            <w:r>
              <w:t>危险废物识别标志设置单位在日常管理过程中，应定期组织检查危险废物识别标志是否填写完整、有无脱落、破损和脏污等影响信息识别的情形。</w:t>
            </w:r>
          </w:p>
          <w:p w14:paraId="076542C9">
            <w:pPr>
              <w:ind w:firstLine="482"/>
            </w:pPr>
            <w:r>
              <w:rPr>
                <w:rFonts w:hint="eastAsia"/>
                <w:b/>
                <w:bCs/>
              </w:rPr>
              <w:t>1.5地下水和土壤</w:t>
            </w:r>
          </w:p>
          <w:p w14:paraId="52BFBF02">
            <w:pPr>
              <w:ind w:firstLine="480"/>
              <w:rPr>
                <w:rFonts w:eastAsia="黑体"/>
                <w:spacing w:val="-10"/>
              </w:rPr>
            </w:pPr>
            <w:r>
              <w:t>（1）可能的污染途径分析</w:t>
            </w:r>
          </w:p>
          <w:p w14:paraId="210F8D17">
            <w:pPr>
              <w:ind w:firstLine="480"/>
            </w:pPr>
            <w:r>
              <w:rPr>
                <w:rFonts w:hint="eastAsia"/>
              </w:rPr>
              <w:t>本项目为热力生产和供应项目，结合上文原辅材料，无可能对地下水和土壤造成污染的物质，本项目可能对地下水和土壤造成污染的单位为危废暂存间，污染物为废机油，污染物进入地下水和土壤的途径主要是废机油跑冒滴漏或泄漏事故导致地下水和土壤污染。</w:t>
            </w:r>
          </w:p>
          <w:p w14:paraId="6CA46B44">
            <w:pPr>
              <w:ind w:firstLine="480"/>
            </w:pPr>
            <w:r>
              <w:t>（2）防渗分区及防渗要求</w:t>
            </w:r>
          </w:p>
          <w:p w14:paraId="7AB40D94">
            <w:pPr>
              <w:ind w:firstLine="480"/>
            </w:pPr>
            <w:r>
              <w:rPr>
                <w:rFonts w:hint="eastAsia"/>
              </w:rPr>
              <w:t>为降低地下水污染风险，环评建议项目加强分区防渗管理，分区防渗表如下表。</w:t>
            </w:r>
          </w:p>
          <w:p w14:paraId="6879ECF6">
            <w:pPr>
              <w:pStyle w:val="43"/>
            </w:pPr>
            <w:r>
              <w:rPr>
                <w:rFonts w:hint="eastAsia"/>
              </w:rPr>
              <w:t xml:space="preserve">  本项目防渗措施一览表</w:t>
            </w:r>
            <w:r>
              <w:tab/>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337"/>
              <w:gridCol w:w="2085"/>
              <w:gridCol w:w="536"/>
              <w:gridCol w:w="4025"/>
              <w:gridCol w:w="1042"/>
            </w:tblGrid>
            <w:tr w14:paraId="3764CF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0" w:type="pct"/>
                  <w:tcMar>
                    <w:left w:w="28" w:type="dxa"/>
                    <w:right w:w="28" w:type="dxa"/>
                  </w:tcMar>
                  <w:vAlign w:val="center"/>
                </w:tcPr>
                <w:p w14:paraId="28847F7F">
                  <w:pPr>
                    <w:pStyle w:val="58"/>
                    <w:jc w:val="center"/>
                  </w:pPr>
                  <w:r>
                    <w:t>序号</w:t>
                  </w:r>
                </w:p>
              </w:tc>
              <w:tc>
                <w:tcPr>
                  <w:tcW w:w="1299" w:type="pct"/>
                  <w:tcMar>
                    <w:left w:w="28" w:type="dxa"/>
                    <w:right w:w="28" w:type="dxa"/>
                  </w:tcMar>
                  <w:vAlign w:val="center"/>
                </w:tcPr>
                <w:p w14:paraId="7E1BF4B6">
                  <w:pPr>
                    <w:pStyle w:val="58"/>
                    <w:jc w:val="center"/>
                  </w:pPr>
                  <w:r>
                    <w:t>项目</w:t>
                  </w:r>
                </w:p>
              </w:tc>
              <w:tc>
                <w:tcPr>
                  <w:tcW w:w="334" w:type="pct"/>
                  <w:tcMar>
                    <w:left w:w="28" w:type="dxa"/>
                    <w:right w:w="28" w:type="dxa"/>
                  </w:tcMar>
                  <w:vAlign w:val="center"/>
                </w:tcPr>
                <w:p w14:paraId="1187F88F">
                  <w:pPr>
                    <w:pStyle w:val="58"/>
                    <w:jc w:val="center"/>
                  </w:pPr>
                  <w:r>
                    <w:t>分区类别</w:t>
                  </w:r>
                </w:p>
              </w:tc>
              <w:tc>
                <w:tcPr>
                  <w:tcW w:w="2507" w:type="pct"/>
                  <w:tcMar>
                    <w:left w:w="28" w:type="dxa"/>
                    <w:right w:w="28" w:type="dxa"/>
                  </w:tcMar>
                  <w:vAlign w:val="center"/>
                </w:tcPr>
                <w:p w14:paraId="285744F7">
                  <w:pPr>
                    <w:pStyle w:val="58"/>
                    <w:jc w:val="center"/>
                  </w:pPr>
                  <w:r>
                    <w:t>防渗要求</w:t>
                  </w:r>
                </w:p>
              </w:tc>
              <w:tc>
                <w:tcPr>
                  <w:tcW w:w="649" w:type="pct"/>
                  <w:tcMar>
                    <w:left w:w="28" w:type="dxa"/>
                    <w:right w:w="28" w:type="dxa"/>
                  </w:tcMar>
                  <w:vAlign w:val="center"/>
                </w:tcPr>
                <w:p w14:paraId="36FD885B">
                  <w:pPr>
                    <w:pStyle w:val="58"/>
                    <w:jc w:val="center"/>
                  </w:pPr>
                  <w:r>
                    <w:rPr>
                      <w:rFonts w:hint="eastAsia"/>
                    </w:rPr>
                    <w:t>防渗措施</w:t>
                  </w:r>
                </w:p>
              </w:tc>
            </w:tr>
            <w:tr w14:paraId="372116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8" w:hRule="atLeast"/>
                <w:jc w:val="center"/>
              </w:trPr>
              <w:tc>
                <w:tcPr>
                  <w:tcW w:w="210" w:type="pct"/>
                  <w:tcMar>
                    <w:left w:w="28" w:type="dxa"/>
                    <w:right w:w="28" w:type="dxa"/>
                  </w:tcMar>
                  <w:vAlign w:val="center"/>
                </w:tcPr>
                <w:p w14:paraId="317DC1F5">
                  <w:pPr>
                    <w:pStyle w:val="58"/>
                    <w:jc w:val="center"/>
                    <w:rPr>
                      <w:b w:val="0"/>
                      <w:bCs w:val="0"/>
                    </w:rPr>
                  </w:pPr>
                  <w:r>
                    <w:rPr>
                      <w:b w:val="0"/>
                      <w:bCs w:val="0"/>
                    </w:rPr>
                    <w:t>1</w:t>
                  </w:r>
                </w:p>
              </w:tc>
              <w:tc>
                <w:tcPr>
                  <w:tcW w:w="1299" w:type="pct"/>
                  <w:tcMar>
                    <w:left w:w="28" w:type="dxa"/>
                    <w:right w:w="28" w:type="dxa"/>
                  </w:tcMar>
                  <w:vAlign w:val="center"/>
                </w:tcPr>
                <w:p w14:paraId="40869A83">
                  <w:pPr>
                    <w:pStyle w:val="58"/>
                    <w:jc w:val="center"/>
                    <w:rPr>
                      <w:b w:val="0"/>
                      <w:bCs w:val="0"/>
                    </w:rPr>
                  </w:pPr>
                  <w:r>
                    <w:rPr>
                      <w:rFonts w:hint="eastAsia"/>
                      <w:b w:val="0"/>
                      <w:bCs w:val="0"/>
                    </w:rPr>
                    <w:t>危废暂存间、氨水储罐区</w:t>
                  </w:r>
                </w:p>
              </w:tc>
              <w:tc>
                <w:tcPr>
                  <w:tcW w:w="334" w:type="pct"/>
                  <w:tcMar>
                    <w:left w:w="28" w:type="dxa"/>
                    <w:right w:w="28" w:type="dxa"/>
                  </w:tcMar>
                  <w:vAlign w:val="center"/>
                </w:tcPr>
                <w:p w14:paraId="06E26A83">
                  <w:pPr>
                    <w:pStyle w:val="58"/>
                    <w:jc w:val="center"/>
                    <w:rPr>
                      <w:b w:val="0"/>
                      <w:bCs w:val="0"/>
                    </w:rPr>
                  </w:pPr>
                  <w:r>
                    <w:rPr>
                      <w:b w:val="0"/>
                      <w:bCs w:val="0"/>
                    </w:rPr>
                    <w:t>重点防渗区</w:t>
                  </w:r>
                </w:p>
              </w:tc>
              <w:tc>
                <w:tcPr>
                  <w:tcW w:w="2507" w:type="pct"/>
                  <w:tcMar>
                    <w:left w:w="28" w:type="dxa"/>
                    <w:right w:w="28" w:type="dxa"/>
                  </w:tcMar>
                  <w:vAlign w:val="center"/>
                </w:tcPr>
                <w:p w14:paraId="371CCBAD">
                  <w:pPr>
                    <w:pStyle w:val="58"/>
                    <w:jc w:val="center"/>
                    <w:rPr>
                      <w:b w:val="0"/>
                      <w:bCs w:val="0"/>
                    </w:rPr>
                  </w:pPr>
                  <w:r>
                    <w:rPr>
                      <w:b w:val="0"/>
                      <w:bCs w:val="0"/>
                    </w:rPr>
                    <w:t>采取</w:t>
                  </w:r>
                  <w:r>
                    <w:rPr>
                      <w:rFonts w:hint="eastAsia"/>
                      <w:b w:val="0"/>
                      <w:bCs w:val="0"/>
                    </w:rPr>
                    <w:t>2</w:t>
                  </w:r>
                  <w:r>
                    <w:rPr>
                      <w:b w:val="0"/>
                      <w:bCs w:val="0"/>
                    </w:rPr>
                    <w:t>0</w:t>
                  </w:r>
                  <w:r>
                    <w:rPr>
                      <w:rFonts w:hint="eastAsia"/>
                      <w:b w:val="0"/>
                      <w:bCs w:val="0"/>
                    </w:rPr>
                    <w:t>mm</w:t>
                  </w:r>
                  <w:r>
                    <w:rPr>
                      <w:b w:val="0"/>
                      <w:bCs w:val="0"/>
                    </w:rPr>
                    <w:t>HDPE膜</w:t>
                  </w:r>
                  <w:r>
                    <w:rPr>
                      <w:rFonts w:hint="eastAsia"/>
                      <w:b w:val="0"/>
                      <w:bCs w:val="0"/>
                    </w:rPr>
                    <w:t>+</w:t>
                  </w:r>
                  <w:r>
                    <w:rPr>
                      <w:b w:val="0"/>
                      <w:bCs w:val="0"/>
                    </w:rPr>
                    <w:t>P8</w:t>
                  </w:r>
                  <w:r>
                    <w:rPr>
                      <w:rFonts w:hint="eastAsia"/>
                      <w:b w:val="0"/>
                      <w:bCs w:val="0"/>
                    </w:rPr>
                    <w:t>防渗混凝土硬化</w:t>
                  </w:r>
                  <w:r>
                    <w:rPr>
                      <w:b w:val="0"/>
                      <w:bCs w:val="0"/>
                    </w:rPr>
                    <w:t>，设置托盘托底，确保渗透系数K≤1×10</w:t>
                  </w:r>
                  <w:r>
                    <w:rPr>
                      <w:b w:val="0"/>
                      <w:bCs w:val="0"/>
                      <w:vertAlign w:val="superscript"/>
                    </w:rPr>
                    <w:t>-10</w:t>
                  </w:r>
                  <w:r>
                    <w:rPr>
                      <w:b w:val="0"/>
                      <w:bCs w:val="0"/>
                    </w:rPr>
                    <w:t>cm/s，等效黏土防渗层Mb≥6m</w:t>
                  </w:r>
                </w:p>
              </w:tc>
              <w:tc>
                <w:tcPr>
                  <w:tcW w:w="649" w:type="pct"/>
                  <w:tcMar>
                    <w:left w:w="28" w:type="dxa"/>
                    <w:right w:w="28" w:type="dxa"/>
                  </w:tcMar>
                  <w:vAlign w:val="center"/>
                </w:tcPr>
                <w:p w14:paraId="66BE8C81">
                  <w:pPr>
                    <w:pStyle w:val="58"/>
                    <w:jc w:val="center"/>
                    <w:rPr>
                      <w:b w:val="0"/>
                      <w:bCs w:val="0"/>
                    </w:rPr>
                  </w:pPr>
                  <w:r>
                    <w:rPr>
                      <w:b w:val="0"/>
                      <w:bCs w:val="0"/>
                    </w:rPr>
                    <w:t>环氧树脂防渗膜</w:t>
                  </w:r>
                  <w:r>
                    <w:rPr>
                      <w:rFonts w:hint="eastAsia"/>
                      <w:b w:val="0"/>
                      <w:bCs w:val="0"/>
                    </w:rPr>
                    <w:t>+</w:t>
                  </w:r>
                  <w:r>
                    <w:rPr>
                      <w:b w:val="0"/>
                      <w:bCs w:val="0"/>
                    </w:rPr>
                    <w:t>防渗混凝土</w:t>
                  </w:r>
                </w:p>
              </w:tc>
            </w:tr>
            <w:tr w14:paraId="4964E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8" w:hRule="atLeast"/>
                <w:jc w:val="center"/>
              </w:trPr>
              <w:tc>
                <w:tcPr>
                  <w:tcW w:w="210" w:type="pct"/>
                  <w:tcMar>
                    <w:left w:w="28" w:type="dxa"/>
                    <w:right w:w="28" w:type="dxa"/>
                  </w:tcMar>
                  <w:vAlign w:val="center"/>
                </w:tcPr>
                <w:p w14:paraId="0B76181D">
                  <w:pPr>
                    <w:pStyle w:val="58"/>
                    <w:jc w:val="center"/>
                    <w:rPr>
                      <w:b w:val="0"/>
                      <w:bCs w:val="0"/>
                    </w:rPr>
                  </w:pPr>
                  <w:r>
                    <w:rPr>
                      <w:rFonts w:hint="eastAsia"/>
                      <w:b w:val="0"/>
                      <w:bCs w:val="0"/>
                    </w:rPr>
                    <w:t>2</w:t>
                  </w:r>
                </w:p>
              </w:tc>
              <w:tc>
                <w:tcPr>
                  <w:tcW w:w="1299" w:type="pct"/>
                  <w:tcMar>
                    <w:left w:w="28" w:type="dxa"/>
                    <w:right w:w="28" w:type="dxa"/>
                  </w:tcMar>
                  <w:vAlign w:val="center"/>
                </w:tcPr>
                <w:p w14:paraId="4C87DA7D">
                  <w:pPr>
                    <w:pStyle w:val="58"/>
                    <w:jc w:val="center"/>
                    <w:rPr>
                      <w:b w:val="0"/>
                      <w:bCs w:val="0"/>
                    </w:rPr>
                  </w:pPr>
                  <w:r>
                    <w:rPr>
                      <w:rFonts w:hint="eastAsia"/>
                      <w:b w:val="0"/>
                      <w:bCs w:val="0"/>
                    </w:rPr>
                    <w:t>沉淀池、冷却循环水池、预处理池、雨水收集池、消防水池</w:t>
                  </w:r>
                </w:p>
              </w:tc>
              <w:tc>
                <w:tcPr>
                  <w:tcW w:w="334" w:type="pct"/>
                  <w:tcMar>
                    <w:left w:w="28" w:type="dxa"/>
                    <w:right w:w="28" w:type="dxa"/>
                  </w:tcMar>
                  <w:vAlign w:val="center"/>
                </w:tcPr>
                <w:p w14:paraId="12D5D1F8">
                  <w:pPr>
                    <w:pStyle w:val="58"/>
                    <w:jc w:val="center"/>
                    <w:rPr>
                      <w:b w:val="0"/>
                      <w:bCs w:val="0"/>
                    </w:rPr>
                  </w:pPr>
                  <w:r>
                    <w:rPr>
                      <w:rFonts w:hint="eastAsia"/>
                      <w:b w:val="0"/>
                      <w:bCs w:val="0"/>
                    </w:rPr>
                    <w:t>一般防渗区</w:t>
                  </w:r>
                </w:p>
              </w:tc>
              <w:tc>
                <w:tcPr>
                  <w:tcW w:w="2507" w:type="pct"/>
                  <w:tcMar>
                    <w:left w:w="28" w:type="dxa"/>
                    <w:right w:w="28" w:type="dxa"/>
                  </w:tcMar>
                  <w:vAlign w:val="center"/>
                </w:tcPr>
                <w:p w14:paraId="2FE4C16E">
                  <w:pPr>
                    <w:pStyle w:val="58"/>
                    <w:jc w:val="center"/>
                    <w:rPr>
                      <w:b w:val="0"/>
                      <w:bCs w:val="0"/>
                    </w:rPr>
                  </w:pPr>
                  <w:r>
                    <w:rPr>
                      <w:rFonts w:hint="eastAsia"/>
                      <w:b w:val="0"/>
                      <w:bCs w:val="0"/>
                    </w:rPr>
                    <w:t>等效黏土防渗层Mb≥1.5m，K≤1</w:t>
                  </w:r>
                  <w:r>
                    <w:rPr>
                      <w:b w:val="0"/>
                      <w:bCs w:val="0"/>
                    </w:rPr>
                    <w:t>×</w:t>
                  </w:r>
                  <w:r>
                    <w:rPr>
                      <w:rFonts w:hint="eastAsia"/>
                      <w:b w:val="0"/>
                      <w:bCs w:val="0"/>
                    </w:rPr>
                    <w:t>10</w:t>
                  </w:r>
                  <w:r>
                    <w:rPr>
                      <w:rFonts w:hint="eastAsia"/>
                      <w:b w:val="0"/>
                      <w:bCs w:val="0"/>
                      <w:vertAlign w:val="superscript"/>
                    </w:rPr>
                    <w:t>-7</w:t>
                  </w:r>
                  <w:r>
                    <w:rPr>
                      <w:rFonts w:hint="eastAsia"/>
                      <w:b w:val="0"/>
                      <w:bCs w:val="0"/>
                    </w:rPr>
                    <w:t>cm/s，或者参照执行GB16889</w:t>
                  </w:r>
                </w:p>
              </w:tc>
              <w:tc>
                <w:tcPr>
                  <w:tcW w:w="649" w:type="pct"/>
                  <w:tcMar>
                    <w:left w:w="28" w:type="dxa"/>
                    <w:right w:w="28" w:type="dxa"/>
                  </w:tcMar>
                  <w:vAlign w:val="center"/>
                </w:tcPr>
                <w:p w14:paraId="75DD647C">
                  <w:pPr>
                    <w:pStyle w:val="58"/>
                    <w:jc w:val="center"/>
                    <w:rPr>
                      <w:b w:val="0"/>
                      <w:bCs w:val="0"/>
                    </w:rPr>
                  </w:pPr>
                  <w:r>
                    <w:rPr>
                      <w:b w:val="0"/>
                      <w:bCs w:val="0"/>
                    </w:rPr>
                    <w:t>防渗混凝土</w:t>
                  </w:r>
                </w:p>
              </w:tc>
            </w:tr>
            <w:tr w14:paraId="5EBC19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10" w:type="pct"/>
                  <w:tcMar>
                    <w:left w:w="28" w:type="dxa"/>
                    <w:right w:w="28" w:type="dxa"/>
                  </w:tcMar>
                  <w:vAlign w:val="center"/>
                </w:tcPr>
                <w:p w14:paraId="3FDF07CA">
                  <w:pPr>
                    <w:pStyle w:val="58"/>
                    <w:jc w:val="center"/>
                    <w:rPr>
                      <w:b w:val="0"/>
                      <w:bCs w:val="0"/>
                    </w:rPr>
                  </w:pPr>
                  <w:r>
                    <w:rPr>
                      <w:rFonts w:hint="eastAsia"/>
                      <w:b w:val="0"/>
                      <w:bCs w:val="0"/>
                    </w:rPr>
                    <w:t>3</w:t>
                  </w:r>
                </w:p>
              </w:tc>
              <w:tc>
                <w:tcPr>
                  <w:tcW w:w="1299" w:type="pct"/>
                  <w:tcMar>
                    <w:left w:w="28" w:type="dxa"/>
                    <w:right w:w="28" w:type="dxa"/>
                  </w:tcMar>
                  <w:vAlign w:val="center"/>
                </w:tcPr>
                <w:p w14:paraId="6A3AAABE">
                  <w:pPr>
                    <w:pStyle w:val="58"/>
                    <w:jc w:val="center"/>
                    <w:rPr>
                      <w:b w:val="0"/>
                      <w:bCs w:val="0"/>
                    </w:rPr>
                  </w:pPr>
                  <w:r>
                    <w:rPr>
                      <w:b w:val="0"/>
                      <w:bCs w:val="0"/>
                    </w:rPr>
                    <w:t>除</w:t>
                  </w:r>
                  <w:r>
                    <w:rPr>
                      <w:rFonts w:hint="eastAsia"/>
                      <w:b w:val="0"/>
                      <w:bCs w:val="0"/>
                    </w:rPr>
                    <w:t>上述</w:t>
                  </w:r>
                  <w:r>
                    <w:rPr>
                      <w:b w:val="0"/>
                      <w:bCs w:val="0"/>
                    </w:rPr>
                    <w:t>以外的其他区域</w:t>
                  </w:r>
                </w:p>
              </w:tc>
              <w:tc>
                <w:tcPr>
                  <w:tcW w:w="334" w:type="pct"/>
                  <w:tcMar>
                    <w:left w:w="28" w:type="dxa"/>
                    <w:right w:w="28" w:type="dxa"/>
                  </w:tcMar>
                  <w:vAlign w:val="center"/>
                </w:tcPr>
                <w:p w14:paraId="67B53D79">
                  <w:pPr>
                    <w:pStyle w:val="58"/>
                    <w:jc w:val="center"/>
                    <w:rPr>
                      <w:b w:val="0"/>
                      <w:bCs w:val="0"/>
                    </w:rPr>
                  </w:pPr>
                  <w:r>
                    <w:rPr>
                      <w:b w:val="0"/>
                      <w:bCs w:val="0"/>
                    </w:rPr>
                    <w:t>简单防渗区</w:t>
                  </w:r>
                </w:p>
              </w:tc>
              <w:tc>
                <w:tcPr>
                  <w:tcW w:w="2507" w:type="pct"/>
                  <w:tcMar>
                    <w:left w:w="28" w:type="dxa"/>
                    <w:right w:w="28" w:type="dxa"/>
                  </w:tcMar>
                  <w:vAlign w:val="center"/>
                </w:tcPr>
                <w:p w14:paraId="2F042DDD">
                  <w:pPr>
                    <w:pStyle w:val="58"/>
                    <w:jc w:val="center"/>
                    <w:rPr>
                      <w:b w:val="0"/>
                      <w:bCs w:val="0"/>
                    </w:rPr>
                  </w:pPr>
                  <w:r>
                    <w:rPr>
                      <w:b w:val="0"/>
                      <w:bCs w:val="0"/>
                    </w:rPr>
                    <w:t>一般地面硬化</w:t>
                  </w:r>
                </w:p>
              </w:tc>
              <w:tc>
                <w:tcPr>
                  <w:tcW w:w="649" w:type="pct"/>
                  <w:tcMar>
                    <w:left w:w="28" w:type="dxa"/>
                    <w:right w:w="28" w:type="dxa"/>
                  </w:tcMar>
                  <w:vAlign w:val="center"/>
                </w:tcPr>
                <w:p w14:paraId="4E604822">
                  <w:pPr>
                    <w:pStyle w:val="58"/>
                    <w:jc w:val="center"/>
                    <w:rPr>
                      <w:b w:val="0"/>
                      <w:bCs w:val="0"/>
                    </w:rPr>
                  </w:pPr>
                  <w:r>
                    <w:rPr>
                      <w:rFonts w:hint="eastAsia"/>
                      <w:b w:val="0"/>
                      <w:bCs w:val="0"/>
                    </w:rPr>
                    <w:t>水泥地面</w:t>
                  </w:r>
                </w:p>
              </w:tc>
            </w:tr>
          </w:tbl>
          <w:p w14:paraId="71373C1E">
            <w:pPr>
              <w:ind w:firstLine="480"/>
            </w:pPr>
            <w:r>
              <w:rPr>
                <w:rFonts w:hint="eastAsia"/>
              </w:rPr>
              <w:t>综上，在采取上述防渗措施后，本项目的建设不会对项目所在地地下水和土壤造成明显影响。</w:t>
            </w:r>
          </w:p>
          <w:p w14:paraId="6F0A38E4">
            <w:pPr>
              <w:ind w:firstLine="482"/>
              <w:rPr>
                <w:b/>
                <w:bCs/>
              </w:rPr>
            </w:pPr>
            <w:r>
              <w:rPr>
                <w:rFonts w:hint="eastAsia"/>
                <w:b/>
                <w:bCs/>
              </w:rPr>
              <w:t>1</w:t>
            </w:r>
            <w:r>
              <w:rPr>
                <w:b/>
                <w:bCs/>
              </w:rPr>
              <w:t>.6</w:t>
            </w:r>
            <w:r>
              <w:rPr>
                <w:rFonts w:hint="eastAsia"/>
                <w:b/>
                <w:bCs/>
              </w:rPr>
              <w:t>环境风险</w:t>
            </w:r>
          </w:p>
          <w:p w14:paraId="7635758A">
            <w:pPr>
              <w:ind w:firstLine="480"/>
            </w:pPr>
            <w:r>
              <w:rPr>
                <w:rFonts w:hint="eastAsia"/>
              </w:rPr>
              <w:t>（</w:t>
            </w:r>
            <w:r>
              <w:t>1</w:t>
            </w:r>
            <w:r>
              <w:rPr>
                <w:rFonts w:hint="eastAsia"/>
              </w:rPr>
              <w:t>）环境风险评价等级</w:t>
            </w:r>
          </w:p>
          <w:p w14:paraId="7BEB32EE">
            <w:pPr>
              <w:ind w:firstLine="480"/>
            </w:pPr>
            <w:r>
              <w:rPr>
                <w:lang w:bidi="ar"/>
              </w:rPr>
              <w:t>根据项目营运过程中使用的各种原辅材料情况，并参照《危险化学品重大危险源辨识》（GB18218-2018）中相关规定可知，项目使用的各种原辅材料均未构成重大危险源。</w:t>
            </w:r>
          </w:p>
          <w:p w14:paraId="090DC1C9">
            <w:pPr>
              <w:ind w:firstLine="480"/>
            </w:pPr>
            <w:bookmarkStart w:id="13" w:name="_Hlk193377174"/>
            <w:r>
              <w:t>本项目生物质气化得到的生物质气化燃气为混合物，主要成分为氮气、氧化碳、氢气、二氧化碳、甲烷、乙烷、乙烯、硫化氢</w:t>
            </w:r>
            <w:r>
              <w:rPr>
                <w:rFonts w:hint="eastAsia"/>
              </w:rPr>
              <w:t>、氨水</w:t>
            </w:r>
            <w:r>
              <w:t>等，对照《建设项目环境风险评价技术导则》</w:t>
            </w:r>
            <w:r>
              <w:rPr>
                <w:rFonts w:hint="eastAsia"/>
              </w:rPr>
              <w:t>（</w:t>
            </w:r>
            <w:r>
              <w:t>HJ169-2018</w:t>
            </w:r>
            <w:r>
              <w:rPr>
                <w:rFonts w:hint="eastAsia"/>
              </w:rPr>
              <w:t>）</w:t>
            </w:r>
            <w:r>
              <w:t>附录B，生物质气化燃气成分中氧化碳、甲烷、乙烷、乙烯、丙烷、丙烯、硫化氢</w:t>
            </w:r>
            <w:r>
              <w:rPr>
                <w:rFonts w:hint="eastAsia"/>
              </w:rPr>
              <w:t>、氨水</w:t>
            </w:r>
            <w:r>
              <w:t>属于《建设项目环境风险评价技术导则》</w:t>
            </w:r>
            <w:r>
              <w:rPr>
                <w:rFonts w:hint="eastAsia"/>
              </w:rPr>
              <w:t>（</w:t>
            </w:r>
            <w:r>
              <w:t>HJ169-2018</w:t>
            </w:r>
            <w:r>
              <w:rPr>
                <w:rFonts w:hint="eastAsia"/>
              </w:rPr>
              <w:t>）</w:t>
            </w:r>
            <w:r>
              <w:t>附录B中环境风险物质</w:t>
            </w:r>
            <w:r>
              <w:rPr>
                <w:rFonts w:hint="eastAsia"/>
              </w:rPr>
              <w:t>。同时，本项目涉及的风险物质还有废机油。</w:t>
            </w:r>
          </w:p>
          <w:bookmarkEnd w:id="13"/>
          <w:p w14:paraId="6FCFF018">
            <w:pPr>
              <w:ind w:firstLine="480"/>
            </w:pPr>
            <w:r>
              <w:rPr>
                <w:rFonts w:hint="eastAsia"/>
                <w:bCs/>
                <w:szCs w:val="24"/>
              </w:rPr>
              <w:t>根据同类型企业检测数据（见附件），</w:t>
            </w:r>
            <w:r>
              <w:rPr>
                <w:rFonts w:hint="eastAsia" w:cs="Times New Roman"/>
              </w:rPr>
              <w:t>本</w:t>
            </w:r>
            <w:r>
              <w:rPr>
                <w:rFonts w:cs="Times New Roman"/>
              </w:rPr>
              <w:t>项目厂内设备管道中存在可燃气体密度约为1.</w:t>
            </w:r>
            <w:r>
              <w:rPr>
                <w:rFonts w:hint="eastAsia" w:cs="Times New Roman"/>
              </w:rPr>
              <w:t>05</w:t>
            </w:r>
            <w:r>
              <w:rPr>
                <w:rFonts w:cs="Times New Roman"/>
              </w:rPr>
              <w:t>kg</w:t>
            </w:r>
            <w:r>
              <w:rPr>
                <w:rFonts w:hint="eastAsia" w:cs="Times New Roman"/>
              </w:rPr>
              <w:t>/</w:t>
            </w:r>
            <w:r>
              <w:rPr>
                <w:rFonts w:cs="Times New Roman"/>
              </w:rPr>
              <w:t>m</w:t>
            </w:r>
            <w:r>
              <w:rPr>
                <w:rFonts w:cs="Times New Roman"/>
                <w:vertAlign w:val="superscript"/>
              </w:rPr>
              <w:t>3</w:t>
            </w:r>
            <w:r>
              <w:rPr>
                <w:rFonts w:cs="Times New Roman"/>
              </w:rPr>
              <w:t>，</w:t>
            </w:r>
            <w:r>
              <w:rPr>
                <w:rFonts w:hint="eastAsia" w:cs="Times New Roman"/>
              </w:rPr>
              <w:t>单套设备</w:t>
            </w:r>
            <w:r>
              <w:rPr>
                <w:rFonts w:cs="Times New Roman"/>
              </w:rPr>
              <w:t>管道气体</w:t>
            </w:r>
            <w:r>
              <w:rPr>
                <w:rFonts w:hint="eastAsia" w:cs="Times New Roman"/>
              </w:rPr>
              <w:t>体积</w:t>
            </w:r>
            <w:r>
              <w:rPr>
                <w:rFonts w:cs="Times New Roman"/>
              </w:rPr>
              <w:t>约</w:t>
            </w:r>
            <w:r>
              <w:rPr>
                <w:rFonts w:hint="eastAsia" w:cs="Times New Roman"/>
              </w:rPr>
              <w:t>2</w:t>
            </w:r>
            <w:r>
              <w:rPr>
                <w:rFonts w:cs="Times New Roman"/>
              </w:rPr>
              <w:t>m</w:t>
            </w:r>
            <w:r>
              <w:rPr>
                <w:rFonts w:cs="Times New Roman"/>
                <w:vertAlign w:val="superscript"/>
              </w:rPr>
              <w:t>3</w:t>
            </w:r>
            <w:r>
              <w:rPr>
                <w:rFonts w:hint="eastAsia" w:cs="Times New Roman"/>
              </w:rPr>
              <w:t>，本项目共4套设备，则管道内气体体积为8m</w:t>
            </w:r>
            <w:r>
              <w:rPr>
                <w:rFonts w:hint="eastAsia" w:cs="Times New Roman"/>
                <w:vertAlign w:val="superscript"/>
              </w:rPr>
              <w:t>3</w:t>
            </w:r>
            <w:r>
              <w:rPr>
                <w:rFonts w:hint="eastAsia" w:cs="Times New Roman"/>
              </w:rPr>
              <w:t>，管道里气体质量为0.0084t。根据生物质气化燃气成分（见表2-3），</w:t>
            </w:r>
            <w:r>
              <w:rPr>
                <w:rFonts w:hint="eastAsia"/>
              </w:rPr>
              <w:t>本项目风险物质存储情况及危险特性见下表。</w:t>
            </w:r>
          </w:p>
          <w:p w14:paraId="173AABC7">
            <w:pPr>
              <w:pStyle w:val="43"/>
            </w:pPr>
            <w:r>
              <w:rPr>
                <w:rFonts w:hint="eastAsia"/>
              </w:rPr>
              <w:t xml:space="preserve">  风险物质贮存情况</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31"/>
              <w:gridCol w:w="1499"/>
              <w:gridCol w:w="2355"/>
              <w:gridCol w:w="1546"/>
              <w:gridCol w:w="2194"/>
            </w:tblGrid>
            <w:tr w14:paraId="1EF75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40DCA9DD">
                  <w:pPr>
                    <w:pStyle w:val="31"/>
                    <w:rPr>
                      <w:b/>
                      <w:bCs/>
                    </w:rPr>
                  </w:pPr>
                  <w:r>
                    <w:rPr>
                      <w:rFonts w:hint="eastAsia"/>
                      <w:b/>
                      <w:bCs/>
                    </w:rPr>
                    <w:t>序号</w:t>
                  </w:r>
                </w:p>
              </w:tc>
              <w:tc>
                <w:tcPr>
                  <w:tcW w:w="934" w:type="pct"/>
                  <w:vAlign w:val="center"/>
                </w:tcPr>
                <w:p w14:paraId="6C6D6271">
                  <w:pPr>
                    <w:pStyle w:val="31"/>
                    <w:rPr>
                      <w:b/>
                      <w:bCs/>
                    </w:rPr>
                  </w:pPr>
                  <w:r>
                    <w:rPr>
                      <w:rFonts w:hint="eastAsia"/>
                      <w:b/>
                      <w:bCs/>
                    </w:rPr>
                    <w:t>物质类别</w:t>
                  </w:r>
                </w:p>
              </w:tc>
              <w:tc>
                <w:tcPr>
                  <w:tcW w:w="1467" w:type="pct"/>
                  <w:vAlign w:val="center"/>
                </w:tcPr>
                <w:p w14:paraId="3B667D1E">
                  <w:pPr>
                    <w:pStyle w:val="31"/>
                    <w:rPr>
                      <w:b/>
                      <w:bCs/>
                    </w:rPr>
                  </w:pPr>
                  <w:r>
                    <w:rPr>
                      <w:rFonts w:hint="eastAsia"/>
                      <w:b/>
                      <w:bCs/>
                    </w:rPr>
                    <w:t>危险特性</w:t>
                  </w:r>
                </w:p>
              </w:tc>
              <w:tc>
                <w:tcPr>
                  <w:tcW w:w="963" w:type="pct"/>
                  <w:vAlign w:val="center"/>
                </w:tcPr>
                <w:p w14:paraId="65DAA94F">
                  <w:pPr>
                    <w:pStyle w:val="31"/>
                    <w:rPr>
                      <w:b/>
                      <w:bCs/>
                    </w:rPr>
                  </w:pPr>
                  <w:r>
                    <w:rPr>
                      <w:rFonts w:hint="eastAsia"/>
                      <w:b/>
                      <w:bCs/>
                    </w:rPr>
                    <w:t>最大存在总量qn</w:t>
                  </w:r>
                  <w:r>
                    <w:rPr>
                      <w:b/>
                      <w:bCs/>
                    </w:rPr>
                    <w:t>/</w:t>
                  </w:r>
                  <w:r>
                    <w:rPr>
                      <w:rFonts w:hint="eastAsia"/>
                      <w:b/>
                      <w:bCs/>
                    </w:rPr>
                    <w:t>t</w:t>
                  </w:r>
                </w:p>
              </w:tc>
              <w:tc>
                <w:tcPr>
                  <w:tcW w:w="1367" w:type="pct"/>
                  <w:vAlign w:val="center"/>
                </w:tcPr>
                <w:p w14:paraId="109E2B7F">
                  <w:pPr>
                    <w:pStyle w:val="31"/>
                    <w:rPr>
                      <w:b/>
                      <w:bCs/>
                    </w:rPr>
                  </w:pPr>
                  <w:r>
                    <w:rPr>
                      <w:rFonts w:hint="eastAsia"/>
                      <w:b/>
                      <w:bCs/>
                    </w:rPr>
                    <w:t>风险源分布</w:t>
                  </w:r>
                </w:p>
              </w:tc>
            </w:tr>
            <w:tr w14:paraId="477E7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12678A31">
                  <w:pPr>
                    <w:pStyle w:val="31"/>
                  </w:pPr>
                  <w:r>
                    <w:rPr>
                      <w:rFonts w:hint="eastAsia"/>
                    </w:rPr>
                    <w:t>1</w:t>
                  </w:r>
                </w:p>
              </w:tc>
              <w:tc>
                <w:tcPr>
                  <w:tcW w:w="934" w:type="pct"/>
                  <w:vAlign w:val="center"/>
                </w:tcPr>
                <w:p w14:paraId="292D42B5">
                  <w:pPr>
                    <w:pStyle w:val="31"/>
                  </w:pPr>
                  <w:r>
                    <w:rPr>
                      <w:rFonts w:hint="eastAsia"/>
                    </w:rPr>
                    <w:t>废机油</w:t>
                  </w:r>
                </w:p>
              </w:tc>
              <w:tc>
                <w:tcPr>
                  <w:tcW w:w="1467" w:type="pct"/>
                  <w:vAlign w:val="center"/>
                </w:tcPr>
                <w:p w14:paraId="4864E97A">
                  <w:pPr>
                    <w:pStyle w:val="31"/>
                  </w:pPr>
                  <w:r>
                    <w:rPr>
                      <w:rFonts w:hint="eastAsia"/>
                    </w:rPr>
                    <w:t>易燃</w:t>
                  </w:r>
                </w:p>
              </w:tc>
              <w:tc>
                <w:tcPr>
                  <w:tcW w:w="963" w:type="pct"/>
                  <w:vAlign w:val="center"/>
                </w:tcPr>
                <w:p w14:paraId="625DD159">
                  <w:pPr>
                    <w:pStyle w:val="31"/>
                  </w:pPr>
                  <w:r>
                    <w:rPr>
                      <w:rFonts w:hint="eastAsia"/>
                    </w:rPr>
                    <w:t>0.05</w:t>
                  </w:r>
                </w:p>
              </w:tc>
              <w:tc>
                <w:tcPr>
                  <w:tcW w:w="1367" w:type="pct"/>
                  <w:vAlign w:val="center"/>
                </w:tcPr>
                <w:p w14:paraId="44352FFA">
                  <w:pPr>
                    <w:pStyle w:val="31"/>
                  </w:pPr>
                  <w:r>
                    <w:rPr>
                      <w:rFonts w:hint="eastAsia"/>
                    </w:rPr>
                    <w:t>危废暂存间</w:t>
                  </w:r>
                </w:p>
              </w:tc>
            </w:tr>
            <w:tr w14:paraId="1263ED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58EFC2FA">
                  <w:pPr>
                    <w:pStyle w:val="31"/>
                  </w:pPr>
                  <w:r>
                    <w:rPr>
                      <w:rFonts w:hint="eastAsia"/>
                    </w:rPr>
                    <w:t>2</w:t>
                  </w:r>
                </w:p>
              </w:tc>
              <w:tc>
                <w:tcPr>
                  <w:tcW w:w="934" w:type="pct"/>
                  <w:vAlign w:val="center"/>
                </w:tcPr>
                <w:p w14:paraId="0117D05C">
                  <w:pPr>
                    <w:pStyle w:val="31"/>
                  </w:pPr>
                  <w:r>
                    <w:rPr>
                      <w:rFonts w:hint="eastAsia"/>
                    </w:rPr>
                    <w:t>一氧化碳</w:t>
                  </w:r>
                </w:p>
              </w:tc>
              <w:tc>
                <w:tcPr>
                  <w:tcW w:w="1467" w:type="pct"/>
                  <w:vAlign w:val="center"/>
                </w:tcPr>
                <w:p w14:paraId="09A0FD3E">
                  <w:pPr>
                    <w:pStyle w:val="31"/>
                  </w:pPr>
                  <w:r>
                    <w:rPr>
                      <w:rFonts w:hint="eastAsia"/>
                    </w:rPr>
                    <w:t>易燃</w:t>
                  </w:r>
                </w:p>
              </w:tc>
              <w:tc>
                <w:tcPr>
                  <w:tcW w:w="963" w:type="pct"/>
                  <w:vAlign w:val="center"/>
                </w:tcPr>
                <w:p w14:paraId="001FE043">
                  <w:pPr>
                    <w:pStyle w:val="31"/>
                  </w:pPr>
                  <w:r>
                    <w:rPr>
                      <w:rFonts w:eastAsia="等线" w:cs="Times New Roman"/>
                      <w:szCs w:val="21"/>
                    </w:rPr>
                    <w:t>1.90</w:t>
                  </w:r>
                  <w:r>
                    <w:rPr>
                      <w:rFonts w:hint="eastAsia" w:eastAsia="等线" w:cs="Times New Roman"/>
                      <w:szCs w:val="21"/>
                    </w:rPr>
                    <w:t>×10</w:t>
                  </w:r>
                  <w:r>
                    <w:rPr>
                      <w:rFonts w:hint="eastAsia" w:eastAsia="等线" w:cs="Times New Roman"/>
                      <w:szCs w:val="21"/>
                      <w:vertAlign w:val="superscript"/>
                    </w:rPr>
                    <w:t>-3</w:t>
                  </w:r>
                </w:p>
              </w:tc>
              <w:tc>
                <w:tcPr>
                  <w:tcW w:w="1367" w:type="pct"/>
                  <w:vMerge w:val="restart"/>
                  <w:vAlign w:val="center"/>
                </w:tcPr>
                <w:p w14:paraId="61EB13D0">
                  <w:pPr>
                    <w:pStyle w:val="31"/>
                  </w:pPr>
                  <w:r>
                    <w:rPr>
                      <w:rFonts w:hint="eastAsia"/>
                    </w:rPr>
                    <w:t>生物质汽化炉到锅炉段管道内</w:t>
                  </w:r>
                </w:p>
              </w:tc>
            </w:tr>
            <w:tr w14:paraId="15BF7D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1EA918EB">
                  <w:pPr>
                    <w:pStyle w:val="31"/>
                  </w:pPr>
                  <w:r>
                    <w:rPr>
                      <w:rFonts w:hint="eastAsia"/>
                    </w:rPr>
                    <w:t>3</w:t>
                  </w:r>
                </w:p>
              </w:tc>
              <w:tc>
                <w:tcPr>
                  <w:tcW w:w="934" w:type="pct"/>
                  <w:vAlign w:val="center"/>
                </w:tcPr>
                <w:p w14:paraId="582DBCD9">
                  <w:pPr>
                    <w:pStyle w:val="31"/>
                  </w:pPr>
                  <w:r>
                    <w:rPr>
                      <w:rFonts w:hint="eastAsia"/>
                    </w:rPr>
                    <w:t>甲烷</w:t>
                  </w:r>
                </w:p>
              </w:tc>
              <w:tc>
                <w:tcPr>
                  <w:tcW w:w="1467" w:type="pct"/>
                  <w:vAlign w:val="center"/>
                </w:tcPr>
                <w:p w14:paraId="6DB2A3A0">
                  <w:pPr>
                    <w:pStyle w:val="31"/>
                  </w:pPr>
                  <w:r>
                    <w:rPr>
                      <w:rFonts w:hint="eastAsia"/>
                    </w:rPr>
                    <w:t>易燃</w:t>
                  </w:r>
                </w:p>
              </w:tc>
              <w:tc>
                <w:tcPr>
                  <w:tcW w:w="963" w:type="pct"/>
                  <w:vAlign w:val="center"/>
                </w:tcPr>
                <w:p w14:paraId="793C264F">
                  <w:pPr>
                    <w:pStyle w:val="31"/>
                  </w:pPr>
                  <w:r>
                    <w:rPr>
                      <w:rFonts w:eastAsia="等线" w:cs="Times New Roman"/>
                      <w:szCs w:val="21"/>
                    </w:rPr>
                    <w:t>2.48</w:t>
                  </w:r>
                  <w:r>
                    <w:rPr>
                      <w:rFonts w:hint="eastAsia" w:eastAsia="等线" w:cs="Times New Roman"/>
                      <w:szCs w:val="21"/>
                    </w:rPr>
                    <w:t>×10</w:t>
                  </w:r>
                  <w:r>
                    <w:rPr>
                      <w:rFonts w:hint="eastAsia" w:eastAsia="等线" w:cs="Times New Roman"/>
                      <w:szCs w:val="21"/>
                      <w:vertAlign w:val="superscript"/>
                    </w:rPr>
                    <w:t>-4</w:t>
                  </w:r>
                </w:p>
              </w:tc>
              <w:tc>
                <w:tcPr>
                  <w:tcW w:w="1367" w:type="pct"/>
                  <w:vMerge w:val="continue"/>
                  <w:vAlign w:val="center"/>
                </w:tcPr>
                <w:p w14:paraId="1396A834">
                  <w:pPr>
                    <w:pStyle w:val="31"/>
                  </w:pPr>
                </w:p>
              </w:tc>
            </w:tr>
            <w:tr w14:paraId="49C1C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6E50A44D">
                  <w:pPr>
                    <w:pStyle w:val="31"/>
                  </w:pPr>
                  <w:r>
                    <w:rPr>
                      <w:rFonts w:hint="eastAsia"/>
                    </w:rPr>
                    <w:t>4</w:t>
                  </w:r>
                </w:p>
              </w:tc>
              <w:tc>
                <w:tcPr>
                  <w:tcW w:w="934" w:type="pct"/>
                  <w:vAlign w:val="center"/>
                </w:tcPr>
                <w:p w14:paraId="26BC1EED">
                  <w:pPr>
                    <w:pStyle w:val="31"/>
                  </w:pPr>
                  <w:r>
                    <w:rPr>
                      <w:rFonts w:hint="eastAsia"/>
                    </w:rPr>
                    <w:t>乙烷</w:t>
                  </w:r>
                </w:p>
              </w:tc>
              <w:tc>
                <w:tcPr>
                  <w:tcW w:w="1467" w:type="pct"/>
                  <w:vAlign w:val="center"/>
                </w:tcPr>
                <w:p w14:paraId="19FB34CE">
                  <w:pPr>
                    <w:pStyle w:val="31"/>
                  </w:pPr>
                  <w:r>
                    <w:rPr>
                      <w:rFonts w:hint="eastAsia"/>
                    </w:rPr>
                    <w:t>易燃</w:t>
                  </w:r>
                </w:p>
              </w:tc>
              <w:tc>
                <w:tcPr>
                  <w:tcW w:w="963" w:type="pct"/>
                  <w:vAlign w:val="center"/>
                </w:tcPr>
                <w:p w14:paraId="552579FB">
                  <w:pPr>
                    <w:pStyle w:val="31"/>
                  </w:pPr>
                  <w:r>
                    <w:rPr>
                      <w:rFonts w:eastAsia="等线" w:cs="Times New Roman"/>
                      <w:szCs w:val="21"/>
                    </w:rPr>
                    <w:t>1.68</w:t>
                  </w:r>
                  <w:r>
                    <w:rPr>
                      <w:rFonts w:hint="eastAsia" w:eastAsia="等线" w:cs="Times New Roman"/>
                      <w:szCs w:val="21"/>
                    </w:rPr>
                    <w:t>×10</w:t>
                  </w:r>
                  <w:r>
                    <w:rPr>
                      <w:rFonts w:hint="eastAsia" w:eastAsia="等线" w:cs="Times New Roman"/>
                      <w:szCs w:val="21"/>
                      <w:vertAlign w:val="superscript"/>
                    </w:rPr>
                    <w:t>-5</w:t>
                  </w:r>
                </w:p>
              </w:tc>
              <w:tc>
                <w:tcPr>
                  <w:tcW w:w="1367" w:type="pct"/>
                  <w:vMerge w:val="continue"/>
                  <w:vAlign w:val="center"/>
                </w:tcPr>
                <w:p w14:paraId="19C58666">
                  <w:pPr>
                    <w:pStyle w:val="31"/>
                  </w:pPr>
                </w:p>
              </w:tc>
            </w:tr>
            <w:tr w14:paraId="004C12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29E2651A">
                  <w:pPr>
                    <w:pStyle w:val="31"/>
                  </w:pPr>
                  <w:r>
                    <w:rPr>
                      <w:rFonts w:hint="eastAsia"/>
                    </w:rPr>
                    <w:t>5</w:t>
                  </w:r>
                </w:p>
              </w:tc>
              <w:tc>
                <w:tcPr>
                  <w:tcW w:w="934" w:type="pct"/>
                  <w:vAlign w:val="center"/>
                </w:tcPr>
                <w:p w14:paraId="6D4D4F17">
                  <w:pPr>
                    <w:pStyle w:val="31"/>
                  </w:pPr>
                  <w:r>
                    <w:rPr>
                      <w:rFonts w:hint="eastAsia"/>
                    </w:rPr>
                    <w:t>乙烯</w:t>
                  </w:r>
                </w:p>
              </w:tc>
              <w:tc>
                <w:tcPr>
                  <w:tcW w:w="1467" w:type="pct"/>
                  <w:vAlign w:val="center"/>
                </w:tcPr>
                <w:p w14:paraId="49E00B7C">
                  <w:pPr>
                    <w:pStyle w:val="31"/>
                  </w:pPr>
                  <w:r>
                    <w:rPr>
                      <w:rFonts w:hint="eastAsia"/>
                    </w:rPr>
                    <w:t>易燃</w:t>
                  </w:r>
                </w:p>
              </w:tc>
              <w:tc>
                <w:tcPr>
                  <w:tcW w:w="963" w:type="pct"/>
                  <w:vAlign w:val="center"/>
                </w:tcPr>
                <w:p w14:paraId="33255DB4">
                  <w:pPr>
                    <w:pStyle w:val="31"/>
                  </w:pPr>
                  <w:r>
                    <w:rPr>
                      <w:rFonts w:eastAsia="等线" w:cs="Times New Roman"/>
                      <w:szCs w:val="21"/>
                    </w:rPr>
                    <w:t>8.40</w:t>
                  </w:r>
                  <w:r>
                    <w:rPr>
                      <w:rFonts w:hint="eastAsia" w:eastAsia="等线" w:cs="Times New Roman"/>
                      <w:szCs w:val="21"/>
                    </w:rPr>
                    <w:t>×10</w:t>
                  </w:r>
                  <w:r>
                    <w:rPr>
                      <w:rFonts w:hint="eastAsia" w:eastAsia="等线" w:cs="Times New Roman"/>
                      <w:szCs w:val="21"/>
                      <w:vertAlign w:val="superscript"/>
                    </w:rPr>
                    <w:t>-6</w:t>
                  </w:r>
                </w:p>
              </w:tc>
              <w:tc>
                <w:tcPr>
                  <w:tcW w:w="1367" w:type="pct"/>
                  <w:vMerge w:val="continue"/>
                  <w:vAlign w:val="center"/>
                </w:tcPr>
                <w:p w14:paraId="3B888B12">
                  <w:pPr>
                    <w:pStyle w:val="31"/>
                  </w:pPr>
                </w:p>
              </w:tc>
            </w:tr>
            <w:tr w14:paraId="28CA53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01770D3E">
                  <w:pPr>
                    <w:pStyle w:val="31"/>
                  </w:pPr>
                  <w:r>
                    <w:rPr>
                      <w:rFonts w:hint="eastAsia"/>
                    </w:rPr>
                    <w:t>6</w:t>
                  </w:r>
                </w:p>
              </w:tc>
              <w:tc>
                <w:tcPr>
                  <w:tcW w:w="934" w:type="pct"/>
                  <w:vAlign w:val="center"/>
                </w:tcPr>
                <w:p w14:paraId="4F43A252">
                  <w:pPr>
                    <w:pStyle w:val="31"/>
                  </w:pPr>
                  <w:r>
                    <w:rPr>
                      <w:rFonts w:hint="eastAsia"/>
                    </w:rPr>
                    <w:t>丙烷</w:t>
                  </w:r>
                </w:p>
              </w:tc>
              <w:tc>
                <w:tcPr>
                  <w:tcW w:w="1467" w:type="pct"/>
                  <w:vAlign w:val="center"/>
                </w:tcPr>
                <w:p w14:paraId="70B6FEBD">
                  <w:pPr>
                    <w:pStyle w:val="31"/>
                  </w:pPr>
                  <w:r>
                    <w:rPr>
                      <w:rFonts w:hint="eastAsia"/>
                    </w:rPr>
                    <w:t>易燃</w:t>
                  </w:r>
                </w:p>
              </w:tc>
              <w:tc>
                <w:tcPr>
                  <w:tcW w:w="963" w:type="pct"/>
                  <w:vAlign w:val="center"/>
                </w:tcPr>
                <w:p w14:paraId="37577ABE">
                  <w:pPr>
                    <w:pStyle w:val="31"/>
                  </w:pPr>
                  <w:r>
                    <w:rPr>
                      <w:rFonts w:eastAsia="等线" w:cs="Times New Roman"/>
                      <w:szCs w:val="21"/>
                    </w:rPr>
                    <w:t>3.36</w:t>
                  </w:r>
                  <w:r>
                    <w:rPr>
                      <w:rFonts w:hint="eastAsia" w:eastAsia="等线" w:cs="Times New Roman"/>
                      <w:szCs w:val="21"/>
                    </w:rPr>
                    <w:t>×10</w:t>
                  </w:r>
                  <w:r>
                    <w:rPr>
                      <w:rFonts w:hint="eastAsia" w:eastAsia="等线" w:cs="Times New Roman"/>
                      <w:szCs w:val="21"/>
                      <w:vertAlign w:val="superscript"/>
                    </w:rPr>
                    <w:t>-6</w:t>
                  </w:r>
                </w:p>
              </w:tc>
              <w:tc>
                <w:tcPr>
                  <w:tcW w:w="1367" w:type="pct"/>
                  <w:vMerge w:val="continue"/>
                  <w:vAlign w:val="center"/>
                </w:tcPr>
                <w:p w14:paraId="320C9C06">
                  <w:pPr>
                    <w:pStyle w:val="31"/>
                  </w:pPr>
                </w:p>
              </w:tc>
            </w:tr>
            <w:tr w14:paraId="1CB8D2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74E7584B">
                  <w:pPr>
                    <w:pStyle w:val="31"/>
                  </w:pPr>
                  <w:r>
                    <w:rPr>
                      <w:rFonts w:hint="eastAsia"/>
                    </w:rPr>
                    <w:t>7</w:t>
                  </w:r>
                </w:p>
              </w:tc>
              <w:tc>
                <w:tcPr>
                  <w:tcW w:w="934" w:type="pct"/>
                  <w:vAlign w:val="center"/>
                </w:tcPr>
                <w:p w14:paraId="6A3323FD">
                  <w:pPr>
                    <w:pStyle w:val="31"/>
                  </w:pPr>
                  <w:r>
                    <w:rPr>
                      <w:rFonts w:hint="eastAsia"/>
                    </w:rPr>
                    <w:t>丙烯</w:t>
                  </w:r>
                </w:p>
              </w:tc>
              <w:tc>
                <w:tcPr>
                  <w:tcW w:w="1467" w:type="pct"/>
                  <w:vAlign w:val="center"/>
                </w:tcPr>
                <w:p w14:paraId="46F88CBB">
                  <w:pPr>
                    <w:pStyle w:val="31"/>
                  </w:pPr>
                  <w:r>
                    <w:rPr>
                      <w:rFonts w:hint="eastAsia"/>
                    </w:rPr>
                    <w:t>易燃</w:t>
                  </w:r>
                </w:p>
              </w:tc>
              <w:tc>
                <w:tcPr>
                  <w:tcW w:w="963" w:type="pct"/>
                  <w:vAlign w:val="center"/>
                </w:tcPr>
                <w:p w14:paraId="483BCA62">
                  <w:pPr>
                    <w:pStyle w:val="31"/>
                  </w:pPr>
                  <w:r>
                    <w:rPr>
                      <w:rFonts w:eastAsia="等线" w:cs="Times New Roman"/>
                      <w:szCs w:val="21"/>
                    </w:rPr>
                    <w:t>5.04</w:t>
                  </w:r>
                  <w:r>
                    <w:rPr>
                      <w:rFonts w:hint="eastAsia" w:eastAsia="等线" w:cs="Times New Roman"/>
                      <w:szCs w:val="21"/>
                    </w:rPr>
                    <w:t>×10</w:t>
                  </w:r>
                  <w:r>
                    <w:rPr>
                      <w:rFonts w:hint="eastAsia" w:eastAsia="等线" w:cs="Times New Roman"/>
                      <w:szCs w:val="21"/>
                      <w:vertAlign w:val="superscript"/>
                    </w:rPr>
                    <w:t>-6</w:t>
                  </w:r>
                </w:p>
              </w:tc>
              <w:tc>
                <w:tcPr>
                  <w:tcW w:w="1367" w:type="pct"/>
                  <w:vMerge w:val="continue"/>
                  <w:vAlign w:val="center"/>
                </w:tcPr>
                <w:p w14:paraId="38CFF362">
                  <w:pPr>
                    <w:pStyle w:val="31"/>
                  </w:pPr>
                </w:p>
              </w:tc>
            </w:tr>
            <w:tr w14:paraId="193C9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795DAE01">
                  <w:pPr>
                    <w:pStyle w:val="31"/>
                  </w:pPr>
                  <w:r>
                    <w:rPr>
                      <w:rFonts w:hint="eastAsia"/>
                    </w:rPr>
                    <w:t>8</w:t>
                  </w:r>
                </w:p>
              </w:tc>
              <w:tc>
                <w:tcPr>
                  <w:tcW w:w="934" w:type="pct"/>
                  <w:vAlign w:val="center"/>
                </w:tcPr>
                <w:p w14:paraId="19E9524E">
                  <w:pPr>
                    <w:pStyle w:val="31"/>
                  </w:pPr>
                  <w:r>
                    <w:rPr>
                      <w:rFonts w:cs="Times New Roman"/>
                      <w:szCs w:val="21"/>
                    </w:rPr>
                    <w:t>硫化氢</w:t>
                  </w:r>
                </w:p>
              </w:tc>
              <w:tc>
                <w:tcPr>
                  <w:tcW w:w="1467" w:type="pct"/>
                  <w:vAlign w:val="center"/>
                </w:tcPr>
                <w:p w14:paraId="27072A38">
                  <w:pPr>
                    <w:pStyle w:val="31"/>
                  </w:pPr>
                  <w:r>
                    <w:rPr>
                      <w:rFonts w:hint="eastAsia"/>
                    </w:rPr>
                    <w:t>易燃</w:t>
                  </w:r>
                </w:p>
              </w:tc>
              <w:tc>
                <w:tcPr>
                  <w:tcW w:w="963" w:type="pct"/>
                  <w:vAlign w:val="center"/>
                </w:tcPr>
                <w:p w14:paraId="58EB5C71">
                  <w:pPr>
                    <w:pStyle w:val="31"/>
                  </w:pPr>
                  <w:r>
                    <w:rPr>
                      <w:rFonts w:eastAsia="等线" w:cs="Times New Roman"/>
                      <w:szCs w:val="21"/>
                    </w:rPr>
                    <w:t>2.44</w:t>
                  </w:r>
                  <w:r>
                    <w:rPr>
                      <w:rFonts w:hint="eastAsia" w:eastAsia="等线" w:cs="Times New Roman"/>
                      <w:szCs w:val="21"/>
                    </w:rPr>
                    <w:t>×10</w:t>
                  </w:r>
                  <w:r>
                    <w:rPr>
                      <w:rFonts w:hint="eastAsia" w:eastAsia="等线" w:cs="Times New Roman"/>
                      <w:szCs w:val="21"/>
                      <w:vertAlign w:val="superscript"/>
                    </w:rPr>
                    <w:t>-5</w:t>
                  </w:r>
                </w:p>
              </w:tc>
              <w:tc>
                <w:tcPr>
                  <w:tcW w:w="1367" w:type="pct"/>
                  <w:vMerge w:val="continue"/>
                  <w:vAlign w:val="center"/>
                </w:tcPr>
                <w:p w14:paraId="58463A6F">
                  <w:pPr>
                    <w:pStyle w:val="31"/>
                  </w:pPr>
                </w:p>
              </w:tc>
            </w:tr>
            <w:tr w14:paraId="6A8CDC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269" w:type="pct"/>
                  <w:vAlign w:val="center"/>
                </w:tcPr>
                <w:p w14:paraId="447703CC">
                  <w:pPr>
                    <w:pStyle w:val="31"/>
                  </w:pPr>
                  <w:r>
                    <w:rPr>
                      <w:rFonts w:hint="eastAsia"/>
                    </w:rPr>
                    <w:t>9</w:t>
                  </w:r>
                </w:p>
              </w:tc>
              <w:tc>
                <w:tcPr>
                  <w:tcW w:w="934" w:type="pct"/>
                  <w:vAlign w:val="center"/>
                </w:tcPr>
                <w:p w14:paraId="24D9930F">
                  <w:pPr>
                    <w:pStyle w:val="31"/>
                    <w:rPr>
                      <w:rFonts w:cs="Times New Roman"/>
                      <w:szCs w:val="21"/>
                    </w:rPr>
                  </w:pPr>
                  <w:r>
                    <w:rPr>
                      <w:rFonts w:hint="eastAsia" w:cs="Times New Roman"/>
                      <w:szCs w:val="21"/>
                    </w:rPr>
                    <w:t>氨水（浓度20%）</w:t>
                  </w:r>
                </w:p>
              </w:tc>
              <w:tc>
                <w:tcPr>
                  <w:tcW w:w="1467" w:type="pct"/>
                  <w:vAlign w:val="center"/>
                </w:tcPr>
                <w:p w14:paraId="49EB7A25">
                  <w:pPr>
                    <w:pStyle w:val="31"/>
                  </w:pPr>
                  <w:r>
                    <w:rPr>
                      <w:rFonts w:hint="eastAsia"/>
                    </w:rPr>
                    <w:t>逃逸的氨气具有燃烧和爆炸危险</w:t>
                  </w:r>
                </w:p>
              </w:tc>
              <w:tc>
                <w:tcPr>
                  <w:tcW w:w="963" w:type="pct"/>
                  <w:vAlign w:val="center"/>
                </w:tcPr>
                <w:p w14:paraId="69B9B328">
                  <w:pPr>
                    <w:pStyle w:val="31"/>
                    <w:rPr>
                      <w:rFonts w:eastAsia="等线" w:cs="Times New Roman"/>
                      <w:szCs w:val="21"/>
                    </w:rPr>
                  </w:pPr>
                  <w:r>
                    <w:rPr>
                      <w:rFonts w:hint="eastAsia" w:eastAsia="等线" w:cs="Times New Roman"/>
                      <w:szCs w:val="21"/>
                    </w:rPr>
                    <w:t>65.53</w:t>
                  </w:r>
                </w:p>
              </w:tc>
              <w:tc>
                <w:tcPr>
                  <w:tcW w:w="1367" w:type="pct"/>
                  <w:vAlign w:val="center"/>
                </w:tcPr>
                <w:p w14:paraId="141AFDF2">
                  <w:pPr>
                    <w:pStyle w:val="31"/>
                  </w:pPr>
                  <w:r>
                    <w:rPr>
                      <w:rFonts w:hint="eastAsia"/>
                    </w:rPr>
                    <w:t>脱硝设备+氨水储罐</w:t>
                  </w:r>
                </w:p>
              </w:tc>
            </w:tr>
          </w:tbl>
          <w:p w14:paraId="38F0D4DB">
            <w:pPr>
              <w:ind w:firstLine="480"/>
              <w:rPr>
                <w:szCs w:val="24"/>
              </w:rPr>
            </w:pPr>
            <w:r>
              <w:rPr>
                <w:rFonts w:hint="eastAsia"/>
                <w:szCs w:val="24"/>
              </w:rPr>
              <w:t>根据《建设项目环境风险评价技术导则》（</w:t>
            </w:r>
            <w:r>
              <w:rPr>
                <w:rFonts w:cs="Times New Roman"/>
                <w:szCs w:val="24"/>
              </w:rPr>
              <w:t>HJ169-2018</w:t>
            </w:r>
            <w:r>
              <w:rPr>
                <w:rFonts w:hint="eastAsia"/>
                <w:szCs w:val="24"/>
              </w:rPr>
              <w:t>）附录</w:t>
            </w:r>
            <w:r>
              <w:rPr>
                <w:rFonts w:cs="Times New Roman"/>
                <w:szCs w:val="24"/>
              </w:rPr>
              <w:t>B.1</w:t>
            </w:r>
            <w:r>
              <w:rPr>
                <w:rFonts w:hint="eastAsia"/>
                <w:szCs w:val="24"/>
              </w:rPr>
              <w:t>，计算所涉及的每种危险物质在场界内的最大存在总量与其在附录</w:t>
            </w:r>
            <w:r>
              <w:rPr>
                <w:rFonts w:cs="Times New Roman"/>
                <w:szCs w:val="24"/>
              </w:rPr>
              <w:t>B</w:t>
            </w:r>
            <w:r>
              <w:rPr>
                <w:rFonts w:hint="eastAsia"/>
                <w:szCs w:val="24"/>
              </w:rPr>
              <w:t>中对应临界量的比值</w:t>
            </w:r>
            <w:r>
              <w:rPr>
                <w:rFonts w:cs="Times New Roman"/>
                <w:szCs w:val="24"/>
              </w:rPr>
              <w:t>Q</w:t>
            </w:r>
            <w:r>
              <w:rPr>
                <w:rFonts w:hint="eastAsia"/>
                <w:szCs w:val="24"/>
              </w:rPr>
              <w:t>。</w:t>
            </w:r>
          </w:p>
          <w:p w14:paraId="0A22A330">
            <w:pPr>
              <w:ind w:firstLine="480"/>
              <w:rPr>
                <w:szCs w:val="24"/>
              </w:rPr>
            </w:pPr>
            <w:r>
              <w:rPr>
                <w:rFonts w:hint="eastAsia"/>
                <w:szCs w:val="24"/>
              </w:rPr>
              <w:t>当企业只涉及一种风险物质时，该物质的数量与其临界量比值，即为</w:t>
            </w:r>
            <w:r>
              <w:rPr>
                <w:rFonts w:cs="Times New Roman"/>
                <w:szCs w:val="24"/>
              </w:rPr>
              <w:t>Q</w:t>
            </w:r>
            <w:r>
              <w:rPr>
                <w:rFonts w:hint="eastAsia"/>
                <w:szCs w:val="24"/>
              </w:rPr>
              <w:t>当企业存在多种风险物质时，则按下式计算：</w:t>
            </w:r>
          </w:p>
          <w:p w14:paraId="6DDB22CE">
            <w:pPr>
              <w:ind w:firstLine="480"/>
            </w:pPr>
            <m:oMathPara>
              <m:oMath>
                <m:r>
                  <m:rPr/>
                  <w:rPr>
                    <w:rFonts w:ascii="Cambria Math" w:hAnsi="Cambria Math"/>
                  </w:rPr>
                  <m:t>Q=</m:t>
                </m:r>
                <m:f>
                  <m:fPr>
                    <m:ctrlPr>
                      <w:rPr>
                        <w:rFonts w:ascii="Cambria Math" w:hAnsi="Cambria Math"/>
                        <w:i/>
                      </w:rPr>
                    </m:ctrlPr>
                  </m:fPr>
                  <m:num>
                    <m:sSub>
                      <m:sSubPr>
                        <m:ctrlPr>
                          <w:rPr>
                            <w:rFonts w:ascii="Cambria Math" w:hAnsi="Cambria Math"/>
                            <w:i/>
                          </w:rPr>
                        </m:ctrlPr>
                      </m:sSubPr>
                      <m:e>
                        <m:r>
                          <m:rPr/>
                          <w:rPr>
                            <w:rFonts w:hint="eastAsia" w:ascii="Cambria Math" w:hAnsi="Cambria Math"/>
                          </w:rPr>
                          <m:t>q</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1</m:t>
                        </m:r>
                        <m:ctrlPr>
                          <w:rPr>
                            <w:rFonts w:ascii="Cambria Math" w:hAnsi="Cambria Math"/>
                            <w:i/>
                          </w:rPr>
                        </m:ctrlPr>
                      </m:sub>
                    </m:sSub>
                    <m:ctrlPr>
                      <w:rPr>
                        <w:rFonts w:ascii="Cambria Math" w:hAnsi="Cambria Math"/>
                        <w:i/>
                      </w:rPr>
                    </m:ctrlPr>
                  </m:den>
                </m:f>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hint="eastAsia" w:ascii="Cambria Math" w:hAnsi="Cambria Math"/>
                          </w:rPr>
                          <m:t>q</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Q</m:t>
                        </m:r>
                        <m:ctrlPr>
                          <w:rPr>
                            <w:rFonts w:ascii="Cambria Math" w:hAnsi="Cambria Math"/>
                            <w:i/>
                          </w:rPr>
                        </m:ctrlPr>
                      </m:e>
                      <m:sub>
                        <m:r>
                          <m:rPr/>
                          <w:rPr>
                            <w:rFonts w:ascii="Cambria Math" w:hAnsi="Cambria Math"/>
                          </w:rPr>
                          <m:t>2</m:t>
                        </m:r>
                        <m:ctrlPr>
                          <w:rPr>
                            <w:rFonts w:ascii="Cambria Math" w:hAnsi="Cambria Math"/>
                            <w:i/>
                          </w:rPr>
                        </m:ctrlPr>
                      </m:sub>
                    </m:sSub>
                    <m:ctrlPr>
                      <w:rPr>
                        <w:rFonts w:ascii="Cambria Math" w:hAnsi="Cambria Math"/>
                        <w:i/>
                      </w:rPr>
                    </m:ctrlPr>
                  </m:den>
                </m:f>
                <m:r>
                  <m:rPr/>
                  <w:rPr>
                    <w:rFonts w:ascii="Cambria Math" w:hAnsi="Cambria Math"/>
                  </w:rPr>
                  <m:t>+…+</m:t>
                </m:r>
                <m:f>
                  <m:fPr>
                    <m:ctrlPr>
                      <w:rPr>
                        <w:rFonts w:ascii="Cambria Math" w:hAnsi="Cambria Math"/>
                        <w:i/>
                      </w:rPr>
                    </m:ctrlPr>
                  </m:fPr>
                  <m:num>
                    <m:sSub>
                      <m:sSubPr>
                        <m:ctrlPr>
                          <w:rPr>
                            <w:rFonts w:ascii="Cambria Math" w:hAnsi="Cambria Math"/>
                            <w:i/>
                          </w:rPr>
                        </m:ctrlPr>
                      </m:sSubPr>
                      <m:e>
                        <m:r>
                          <m:rPr/>
                          <w:rPr>
                            <w:rFonts w:hint="eastAsia" w:ascii="Cambria Math" w:hAnsi="Cambria Math"/>
                          </w:rPr>
                          <m:t>q</m:t>
                        </m:r>
                        <m:ctrlPr>
                          <w:rPr>
                            <w:rFonts w:ascii="Cambria Math" w:hAnsi="Cambria Math"/>
                            <w:i/>
                          </w:rPr>
                        </m:ctrlPr>
                      </m:e>
                      <m:sub>
                        <m:r>
                          <m:rPr/>
                          <w:rPr>
                            <w:rFonts w:hint="eastAsia" w:ascii="Cambria Math" w:hAnsi="Cambria Math"/>
                          </w:rPr>
                          <m:t>n</m:t>
                        </m:r>
                        <m:ctrlPr>
                          <w:rPr>
                            <w:rFonts w:ascii="Cambria Math" w:hAnsi="Cambria Math"/>
                            <w:i/>
                          </w:rPr>
                        </m:ctrlPr>
                      </m:sub>
                    </m:sSub>
                    <m:ctrlPr>
                      <w:rPr>
                        <w:rFonts w:ascii="Cambria Math" w:hAnsi="Cambria Math"/>
                        <w:i/>
                      </w:rPr>
                    </m:ctrlPr>
                  </m:num>
                  <m:den>
                    <m:sSub>
                      <m:sSubPr>
                        <m:ctrlPr>
                          <w:rPr>
                            <w:rFonts w:ascii="Cambria Math" w:hAnsi="Cambria Math"/>
                            <w:i/>
                          </w:rPr>
                        </m:ctrlPr>
                      </m:sSubPr>
                      <m:e>
                        <m:r>
                          <m:rPr/>
                          <w:rPr>
                            <w:rFonts w:ascii="Cambria Math" w:hAnsi="Cambria Math"/>
                          </w:rPr>
                          <m:t>Q</m:t>
                        </m:r>
                        <m:ctrlPr>
                          <w:rPr>
                            <w:rFonts w:ascii="Cambria Math" w:hAnsi="Cambria Math"/>
                            <w:i/>
                          </w:rPr>
                        </m:ctrlPr>
                      </m:e>
                      <m:sub>
                        <m:r>
                          <m:rPr/>
                          <w:rPr>
                            <w:rFonts w:hint="eastAsia" w:ascii="Cambria Math" w:hAnsi="Cambria Math"/>
                          </w:rPr>
                          <m:t>n</m:t>
                        </m:r>
                        <m:ctrlPr>
                          <w:rPr>
                            <w:rFonts w:ascii="Cambria Math" w:hAnsi="Cambria Math"/>
                            <w:i/>
                          </w:rPr>
                        </m:ctrlPr>
                      </m:sub>
                    </m:sSub>
                    <m:ctrlPr>
                      <w:rPr>
                        <w:rFonts w:ascii="Cambria Math" w:hAnsi="Cambria Math"/>
                        <w:i/>
                      </w:rPr>
                    </m:ctrlPr>
                  </m:den>
                </m:f>
              </m:oMath>
            </m:oMathPara>
          </w:p>
          <w:p w14:paraId="0AD325C9">
            <w:pPr>
              <w:ind w:firstLine="480"/>
            </w:pPr>
            <w:r>
              <w:rPr>
                <w:rFonts w:hint="eastAsia"/>
              </w:rPr>
              <w:t>式中：</w:t>
            </w:r>
            <w:r>
              <w:rPr>
                <w:rFonts w:cs="Times New Roman"/>
              </w:rPr>
              <w:t>q</w:t>
            </w:r>
            <w:r>
              <w:rPr>
                <w:rFonts w:cs="Times New Roman"/>
                <w:sz w:val="16"/>
                <w:szCs w:val="16"/>
              </w:rPr>
              <w:t>1</w:t>
            </w:r>
            <w:r>
              <w:rPr>
                <w:rFonts w:hint="eastAsia"/>
              </w:rPr>
              <w:t>，</w:t>
            </w:r>
            <w:r>
              <w:rPr>
                <w:rFonts w:cs="Times New Roman"/>
              </w:rPr>
              <w:t>q</w:t>
            </w:r>
            <w:r>
              <w:rPr>
                <w:rFonts w:cs="Times New Roman"/>
                <w:sz w:val="16"/>
                <w:szCs w:val="16"/>
              </w:rPr>
              <w:t>2</w:t>
            </w:r>
            <w:r>
              <w:rPr>
                <w:rFonts w:hint="eastAsia"/>
              </w:rPr>
              <w:t>，</w:t>
            </w:r>
            <w:r>
              <w:rPr>
                <w:rFonts w:cs="Times New Roman"/>
              </w:rPr>
              <w:t>...</w:t>
            </w:r>
            <w:r>
              <w:rPr>
                <w:rFonts w:hint="eastAsia"/>
              </w:rPr>
              <w:t>，</w:t>
            </w:r>
            <w:r>
              <w:rPr>
                <w:rFonts w:cs="Times New Roman"/>
              </w:rPr>
              <w:t>q</w:t>
            </w:r>
            <w:r>
              <w:rPr>
                <w:rFonts w:cs="Times New Roman"/>
                <w:sz w:val="16"/>
                <w:szCs w:val="16"/>
              </w:rPr>
              <w:t>n</w:t>
            </w:r>
            <w:r>
              <w:rPr>
                <w:rFonts w:ascii="TimesNewRomanPSMT" w:hAnsi="TimesNewRomanPSMT" w:cs="TimesNewRomanPSMT"/>
              </w:rPr>
              <w:t>——</w:t>
            </w:r>
            <w:r>
              <w:rPr>
                <w:rFonts w:hint="eastAsia"/>
              </w:rPr>
              <w:t>每种危险物质的最大存在总量，</w:t>
            </w:r>
            <w:r>
              <w:rPr>
                <w:rFonts w:cs="Times New Roman"/>
              </w:rPr>
              <w:t>t</w:t>
            </w:r>
            <w:r>
              <w:rPr>
                <w:rFonts w:hint="eastAsia"/>
              </w:rPr>
              <w:t>；</w:t>
            </w:r>
          </w:p>
          <w:p w14:paraId="615D47B1">
            <w:pPr>
              <w:ind w:firstLine="1200" w:firstLineChars="500"/>
            </w:pPr>
            <w:r>
              <w:rPr>
                <w:rFonts w:cs="Times New Roman"/>
              </w:rPr>
              <w:t>Q</w:t>
            </w:r>
            <w:r>
              <w:rPr>
                <w:rFonts w:cs="Times New Roman"/>
                <w:sz w:val="16"/>
                <w:szCs w:val="16"/>
              </w:rPr>
              <w:t>1</w:t>
            </w:r>
            <w:r>
              <w:rPr>
                <w:rFonts w:hint="eastAsia"/>
              </w:rPr>
              <w:t>，</w:t>
            </w:r>
            <w:r>
              <w:rPr>
                <w:rFonts w:cs="Times New Roman"/>
              </w:rPr>
              <w:t>Q</w:t>
            </w:r>
            <w:r>
              <w:rPr>
                <w:rFonts w:cs="Times New Roman"/>
                <w:sz w:val="16"/>
                <w:szCs w:val="16"/>
              </w:rPr>
              <w:t>2</w:t>
            </w:r>
            <w:r>
              <w:rPr>
                <w:rFonts w:hint="eastAsia"/>
              </w:rPr>
              <w:t>，</w:t>
            </w:r>
            <w:r>
              <w:rPr>
                <w:rFonts w:cs="Times New Roman"/>
              </w:rPr>
              <w:t>...</w:t>
            </w:r>
            <w:r>
              <w:rPr>
                <w:rFonts w:hint="eastAsia"/>
              </w:rPr>
              <w:t>，</w:t>
            </w:r>
            <w:r>
              <w:rPr>
                <w:rFonts w:cs="Times New Roman"/>
              </w:rPr>
              <w:t>Q</w:t>
            </w:r>
            <w:r>
              <w:rPr>
                <w:rFonts w:cs="Times New Roman"/>
                <w:sz w:val="16"/>
                <w:szCs w:val="16"/>
              </w:rPr>
              <w:t>n</w:t>
            </w:r>
            <w:r>
              <w:rPr>
                <w:rFonts w:ascii="TimesNewRomanPSMT" w:hAnsi="TimesNewRomanPSMT" w:cs="TimesNewRomanPSMT"/>
              </w:rPr>
              <w:t>——</w:t>
            </w:r>
            <w:r>
              <w:rPr>
                <w:rFonts w:hint="eastAsia"/>
              </w:rPr>
              <w:t>每种危险物质的临界量，</w:t>
            </w:r>
            <w:r>
              <w:rPr>
                <w:rFonts w:cs="Times New Roman"/>
              </w:rPr>
              <w:t>t</w:t>
            </w:r>
            <w:r>
              <w:rPr>
                <w:rFonts w:hint="eastAsia"/>
              </w:rPr>
              <w:t>；</w:t>
            </w:r>
          </w:p>
          <w:p w14:paraId="52942991">
            <w:pPr>
              <w:ind w:firstLine="1200" w:firstLineChars="500"/>
            </w:pPr>
            <w:r>
              <w:rPr>
                <w:rFonts w:hint="eastAsia"/>
              </w:rPr>
              <w:t>当</w:t>
            </w:r>
            <w:r>
              <w:rPr>
                <w:rFonts w:cs="Times New Roman"/>
              </w:rPr>
              <w:t>Q</w:t>
            </w:r>
            <w:r>
              <w:rPr>
                <w:rFonts w:hint="eastAsia"/>
              </w:rPr>
              <w:t>＜</w:t>
            </w:r>
            <w:r>
              <w:rPr>
                <w:rFonts w:cs="Times New Roman"/>
              </w:rPr>
              <w:t>1</w:t>
            </w:r>
            <w:r>
              <w:rPr>
                <w:rFonts w:hint="eastAsia"/>
              </w:rPr>
              <w:t>时，该项目环境风险潜势为</w:t>
            </w:r>
            <w:r>
              <w:rPr>
                <w:rFonts w:cs="Times New Roman"/>
              </w:rPr>
              <w:t>Ⅰ</w:t>
            </w:r>
            <w:r>
              <w:rPr>
                <w:rFonts w:hint="eastAsia"/>
              </w:rPr>
              <w:t>；</w:t>
            </w:r>
          </w:p>
          <w:p w14:paraId="190B7878">
            <w:pPr>
              <w:ind w:firstLine="1200" w:firstLineChars="500"/>
            </w:pPr>
            <w:r>
              <w:rPr>
                <w:rFonts w:hint="eastAsia"/>
              </w:rPr>
              <w:t>当</w:t>
            </w:r>
            <w:r>
              <w:t>Q≥1</w:t>
            </w:r>
            <w:r>
              <w:rPr>
                <w:rFonts w:hint="eastAsia"/>
              </w:rPr>
              <w:t>时，将</w:t>
            </w:r>
            <w:r>
              <w:t>Q</w:t>
            </w:r>
            <w:r>
              <w:rPr>
                <w:rFonts w:hint="eastAsia"/>
              </w:rPr>
              <w:t>值划分为：（</w:t>
            </w:r>
            <w:r>
              <w:rPr>
                <w:rFonts w:cs="Times New Roman"/>
              </w:rPr>
              <w:t>1</w:t>
            </w:r>
            <w:r>
              <w:rPr>
                <w:rFonts w:hint="eastAsia"/>
              </w:rPr>
              <w:t>）</w:t>
            </w:r>
            <w:r>
              <w:t>1≤Q</w:t>
            </w:r>
            <w:r>
              <w:rPr>
                <w:rFonts w:hint="eastAsia"/>
              </w:rPr>
              <w:t>＜</w:t>
            </w:r>
            <w:r>
              <w:t>10</w:t>
            </w:r>
            <w:r>
              <w:rPr>
                <w:rFonts w:hint="eastAsia"/>
              </w:rPr>
              <w:t>；（</w:t>
            </w:r>
            <w:r>
              <w:t>2</w:t>
            </w:r>
            <w:r>
              <w:rPr>
                <w:rFonts w:hint="eastAsia"/>
              </w:rPr>
              <w:t>）</w:t>
            </w:r>
            <w:r>
              <w:t>10≤Q</w:t>
            </w:r>
            <w:r>
              <w:rPr>
                <w:rFonts w:hint="eastAsia"/>
              </w:rPr>
              <w:t>＜</w:t>
            </w:r>
            <w:r>
              <w:t>100</w:t>
            </w:r>
            <w:r>
              <w:rPr>
                <w:rFonts w:hint="eastAsia"/>
              </w:rPr>
              <w:t>；（</w:t>
            </w:r>
            <w:r>
              <w:rPr>
                <w:rFonts w:cs="Times New Roman"/>
              </w:rPr>
              <w:t>3</w:t>
            </w:r>
            <w:r>
              <w:rPr>
                <w:rFonts w:hint="eastAsia"/>
              </w:rPr>
              <w:t>）</w:t>
            </w:r>
            <w:r>
              <w:t>Q≥100</w:t>
            </w:r>
            <w:r>
              <w:rPr>
                <w:rFonts w:hint="eastAsia"/>
              </w:rPr>
              <w:t>。</w:t>
            </w:r>
          </w:p>
          <w:p w14:paraId="6819506F">
            <w:pPr>
              <w:ind w:firstLine="480"/>
            </w:pPr>
            <w:r>
              <w:rPr>
                <w:rFonts w:hint="eastAsia"/>
              </w:rPr>
              <w:t>本项目涉及的危险物质临界存储量见表</w:t>
            </w:r>
            <w:r>
              <w:rPr>
                <w:rFonts w:cs="Times New Roman"/>
              </w:rPr>
              <w:t>4-</w:t>
            </w:r>
            <w:r>
              <w:rPr>
                <w:rFonts w:hint="eastAsia" w:cs="Times New Roman"/>
              </w:rPr>
              <w:t>21。</w:t>
            </w:r>
          </w:p>
          <w:p w14:paraId="2E2F9F0C">
            <w:pPr>
              <w:pStyle w:val="43"/>
            </w:pPr>
            <w:r>
              <w:rPr>
                <w:rFonts w:hint="eastAsia"/>
              </w:rPr>
              <w:t xml:space="preserve">  本项目</w:t>
            </w:r>
            <w:r>
              <w:rPr>
                <w:rFonts w:cs="Times New Roman"/>
              </w:rPr>
              <w:t>Q</w:t>
            </w:r>
            <w:r>
              <w:rPr>
                <w:rFonts w:hint="eastAsia"/>
              </w:rPr>
              <w:t>值确定表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537"/>
              <w:gridCol w:w="2147"/>
              <w:gridCol w:w="1164"/>
              <w:gridCol w:w="1700"/>
              <w:gridCol w:w="1477"/>
              <w:gridCol w:w="1000"/>
            </w:tblGrid>
            <w:tr w14:paraId="0926B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73F55856">
                  <w:pPr>
                    <w:pStyle w:val="31"/>
                    <w:rPr>
                      <w:b/>
                      <w:bCs/>
                    </w:rPr>
                  </w:pPr>
                  <w:r>
                    <w:rPr>
                      <w:b/>
                      <w:bCs/>
                    </w:rPr>
                    <w:t>序号</w:t>
                  </w:r>
                </w:p>
              </w:tc>
              <w:tc>
                <w:tcPr>
                  <w:tcW w:w="1338" w:type="pct"/>
                  <w:vAlign w:val="center"/>
                </w:tcPr>
                <w:p w14:paraId="264AD84D">
                  <w:pPr>
                    <w:pStyle w:val="31"/>
                    <w:rPr>
                      <w:b/>
                      <w:bCs/>
                    </w:rPr>
                  </w:pPr>
                  <w:r>
                    <w:rPr>
                      <w:b/>
                      <w:bCs/>
                    </w:rPr>
                    <w:t>危险物质</w:t>
                  </w:r>
                </w:p>
              </w:tc>
              <w:tc>
                <w:tcPr>
                  <w:tcW w:w="725" w:type="pct"/>
                  <w:vAlign w:val="center"/>
                </w:tcPr>
                <w:p w14:paraId="2058BB98">
                  <w:pPr>
                    <w:pStyle w:val="31"/>
                    <w:rPr>
                      <w:b/>
                      <w:bCs/>
                    </w:rPr>
                  </w:pPr>
                  <w:r>
                    <w:rPr>
                      <w:rFonts w:hint="eastAsia"/>
                      <w:b/>
                      <w:bCs/>
                    </w:rPr>
                    <w:t>C</w:t>
                  </w:r>
                  <w:r>
                    <w:rPr>
                      <w:b/>
                      <w:bCs/>
                    </w:rPr>
                    <w:t>AS</w:t>
                  </w:r>
                  <w:r>
                    <w:rPr>
                      <w:rFonts w:hint="eastAsia"/>
                      <w:b/>
                      <w:bCs/>
                    </w:rPr>
                    <w:t>号</w:t>
                  </w:r>
                </w:p>
              </w:tc>
              <w:tc>
                <w:tcPr>
                  <w:tcW w:w="1059" w:type="pct"/>
                  <w:vAlign w:val="center"/>
                </w:tcPr>
                <w:p w14:paraId="072183D9">
                  <w:pPr>
                    <w:pStyle w:val="31"/>
                    <w:rPr>
                      <w:b/>
                      <w:bCs/>
                    </w:rPr>
                  </w:pPr>
                  <w:r>
                    <w:rPr>
                      <w:rFonts w:hint="eastAsia"/>
                      <w:b/>
                      <w:bCs/>
                    </w:rPr>
                    <w:t>临界量Qn（t）</w:t>
                  </w:r>
                </w:p>
              </w:tc>
              <w:tc>
                <w:tcPr>
                  <w:tcW w:w="920" w:type="pct"/>
                  <w:vAlign w:val="center"/>
                </w:tcPr>
                <w:p w14:paraId="2BCBD634">
                  <w:pPr>
                    <w:pStyle w:val="31"/>
                    <w:rPr>
                      <w:b/>
                      <w:bCs/>
                    </w:rPr>
                  </w:pPr>
                  <w:r>
                    <w:rPr>
                      <w:rFonts w:hint="eastAsia"/>
                      <w:b/>
                      <w:bCs/>
                    </w:rPr>
                    <w:t>最大储量qn/t</w:t>
                  </w:r>
                </w:p>
              </w:tc>
              <w:tc>
                <w:tcPr>
                  <w:tcW w:w="624" w:type="pct"/>
                  <w:vAlign w:val="center"/>
                </w:tcPr>
                <w:p w14:paraId="45E54F79">
                  <w:pPr>
                    <w:pStyle w:val="31"/>
                    <w:rPr>
                      <w:b/>
                      <w:bCs/>
                    </w:rPr>
                  </w:pPr>
                  <w:r>
                    <w:rPr>
                      <w:rFonts w:hint="eastAsia"/>
                      <w:b/>
                      <w:bCs/>
                    </w:rPr>
                    <w:t>qi</w:t>
                  </w:r>
                  <w:r>
                    <w:rPr>
                      <w:b/>
                      <w:bCs/>
                    </w:rPr>
                    <w:t>/</w:t>
                  </w:r>
                  <w:r>
                    <w:rPr>
                      <w:rFonts w:hint="eastAsia"/>
                      <w:b/>
                      <w:bCs/>
                    </w:rPr>
                    <w:t>Qi</w:t>
                  </w:r>
                </w:p>
              </w:tc>
            </w:tr>
            <w:tr w14:paraId="715BF1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2CA7D2CD">
                  <w:pPr>
                    <w:pStyle w:val="31"/>
                  </w:pPr>
                  <w:r>
                    <w:rPr>
                      <w:rFonts w:hint="eastAsia"/>
                    </w:rPr>
                    <w:t>1</w:t>
                  </w:r>
                </w:p>
              </w:tc>
              <w:tc>
                <w:tcPr>
                  <w:tcW w:w="1338" w:type="pct"/>
                  <w:vAlign w:val="center"/>
                </w:tcPr>
                <w:p w14:paraId="3D4EBD24">
                  <w:pPr>
                    <w:pStyle w:val="31"/>
                  </w:pPr>
                  <w:r>
                    <w:rPr>
                      <w:rFonts w:hint="eastAsia"/>
                    </w:rPr>
                    <w:t>废机油</w:t>
                  </w:r>
                </w:p>
              </w:tc>
              <w:tc>
                <w:tcPr>
                  <w:tcW w:w="725" w:type="pct"/>
                  <w:vAlign w:val="center"/>
                </w:tcPr>
                <w:p w14:paraId="10BAF08A">
                  <w:pPr>
                    <w:pStyle w:val="31"/>
                  </w:pPr>
                  <w:r>
                    <w:t>900-</w:t>
                  </w:r>
                  <w:r>
                    <w:rPr>
                      <w:rFonts w:hint="eastAsia"/>
                    </w:rPr>
                    <w:t>214</w:t>
                  </w:r>
                  <w:r>
                    <w:t>-</w:t>
                  </w:r>
                  <w:r>
                    <w:rPr>
                      <w:rFonts w:hint="eastAsia"/>
                    </w:rPr>
                    <w:t>08</w:t>
                  </w:r>
                </w:p>
              </w:tc>
              <w:tc>
                <w:tcPr>
                  <w:tcW w:w="1059" w:type="pct"/>
                  <w:vAlign w:val="center"/>
                </w:tcPr>
                <w:p w14:paraId="6EAA852B">
                  <w:pPr>
                    <w:pStyle w:val="31"/>
                  </w:pPr>
                  <w:r>
                    <w:rPr>
                      <w:rFonts w:hint="eastAsia"/>
                    </w:rPr>
                    <w:t>2</w:t>
                  </w:r>
                  <w:r>
                    <w:t>500</w:t>
                  </w:r>
                </w:p>
              </w:tc>
              <w:tc>
                <w:tcPr>
                  <w:tcW w:w="920" w:type="pct"/>
                  <w:vAlign w:val="center"/>
                </w:tcPr>
                <w:p w14:paraId="1EC3B4D0">
                  <w:pPr>
                    <w:pStyle w:val="31"/>
                  </w:pPr>
                  <w:r>
                    <w:rPr>
                      <w:rFonts w:hint="eastAsia"/>
                    </w:rPr>
                    <w:t>0.05</w:t>
                  </w:r>
                </w:p>
              </w:tc>
              <w:tc>
                <w:tcPr>
                  <w:tcW w:w="624" w:type="pct"/>
                  <w:vAlign w:val="center"/>
                </w:tcPr>
                <w:p w14:paraId="54FC6282">
                  <w:pPr>
                    <w:pStyle w:val="31"/>
                  </w:pPr>
                  <w:r>
                    <w:t>4.00</w:t>
                  </w:r>
                  <w:r>
                    <w:rPr>
                      <w:rFonts w:hint="eastAsia" w:eastAsia="等线" w:cs="Times New Roman"/>
                      <w:szCs w:val="21"/>
                    </w:rPr>
                    <w:t>×10</w:t>
                  </w:r>
                  <w:r>
                    <w:rPr>
                      <w:rFonts w:hint="eastAsia" w:eastAsia="等线" w:cs="Times New Roman"/>
                      <w:szCs w:val="21"/>
                      <w:vertAlign w:val="superscript"/>
                    </w:rPr>
                    <w:t>-6</w:t>
                  </w:r>
                </w:p>
              </w:tc>
            </w:tr>
            <w:tr w14:paraId="052B7B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6F5F4BCD">
                  <w:pPr>
                    <w:pStyle w:val="31"/>
                  </w:pPr>
                  <w:r>
                    <w:rPr>
                      <w:rFonts w:hint="eastAsia"/>
                    </w:rPr>
                    <w:t>2</w:t>
                  </w:r>
                </w:p>
              </w:tc>
              <w:tc>
                <w:tcPr>
                  <w:tcW w:w="1338" w:type="pct"/>
                  <w:vAlign w:val="center"/>
                </w:tcPr>
                <w:p w14:paraId="35EBF009">
                  <w:pPr>
                    <w:pStyle w:val="31"/>
                  </w:pPr>
                  <w:r>
                    <w:rPr>
                      <w:rFonts w:hint="eastAsia"/>
                    </w:rPr>
                    <w:t>一氧化碳</w:t>
                  </w:r>
                </w:p>
              </w:tc>
              <w:tc>
                <w:tcPr>
                  <w:tcW w:w="725" w:type="pct"/>
                  <w:vAlign w:val="center"/>
                </w:tcPr>
                <w:p w14:paraId="376446C9">
                  <w:pPr>
                    <w:pStyle w:val="31"/>
                  </w:pPr>
                  <w:r>
                    <w:rPr>
                      <w:rFonts w:hint="eastAsia"/>
                    </w:rPr>
                    <w:t>630-08-0</w:t>
                  </w:r>
                </w:p>
              </w:tc>
              <w:tc>
                <w:tcPr>
                  <w:tcW w:w="1059" w:type="pct"/>
                  <w:vAlign w:val="center"/>
                </w:tcPr>
                <w:p w14:paraId="1CFC6BBB">
                  <w:pPr>
                    <w:pStyle w:val="31"/>
                  </w:pPr>
                  <w:r>
                    <w:rPr>
                      <w:rFonts w:hint="eastAsia" w:cs="Times New Roman"/>
                      <w:szCs w:val="21"/>
                    </w:rPr>
                    <w:t>7.5</w:t>
                  </w:r>
                </w:p>
              </w:tc>
              <w:tc>
                <w:tcPr>
                  <w:tcW w:w="920" w:type="pct"/>
                  <w:vAlign w:val="center"/>
                </w:tcPr>
                <w:p w14:paraId="1ABDAF31">
                  <w:pPr>
                    <w:pStyle w:val="31"/>
                  </w:pPr>
                  <w:r>
                    <w:rPr>
                      <w:rFonts w:eastAsia="等线" w:cs="Times New Roman"/>
                      <w:szCs w:val="21"/>
                    </w:rPr>
                    <w:t>1.90</w:t>
                  </w:r>
                  <w:r>
                    <w:rPr>
                      <w:rFonts w:hint="eastAsia" w:eastAsia="等线" w:cs="Times New Roman"/>
                      <w:szCs w:val="21"/>
                    </w:rPr>
                    <w:t>×10</w:t>
                  </w:r>
                  <w:r>
                    <w:rPr>
                      <w:rFonts w:hint="eastAsia" w:eastAsia="等线" w:cs="Times New Roman"/>
                      <w:szCs w:val="21"/>
                      <w:vertAlign w:val="superscript"/>
                    </w:rPr>
                    <w:t>-3</w:t>
                  </w:r>
                </w:p>
              </w:tc>
              <w:tc>
                <w:tcPr>
                  <w:tcW w:w="624" w:type="pct"/>
                  <w:vAlign w:val="center"/>
                </w:tcPr>
                <w:p w14:paraId="79F69E80">
                  <w:pPr>
                    <w:pStyle w:val="31"/>
                  </w:pPr>
                  <w:r>
                    <w:t>2.54</w:t>
                  </w:r>
                  <w:r>
                    <w:rPr>
                      <w:rFonts w:hint="eastAsia" w:eastAsia="等线" w:cs="Times New Roman"/>
                      <w:szCs w:val="21"/>
                    </w:rPr>
                    <w:t>×10</w:t>
                  </w:r>
                  <w:r>
                    <w:rPr>
                      <w:rFonts w:hint="eastAsia" w:eastAsia="等线" w:cs="Times New Roman"/>
                      <w:szCs w:val="21"/>
                      <w:vertAlign w:val="superscript"/>
                    </w:rPr>
                    <w:t>-4</w:t>
                  </w:r>
                </w:p>
              </w:tc>
            </w:tr>
            <w:tr w14:paraId="1EFD2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701D7B5D">
                  <w:pPr>
                    <w:pStyle w:val="31"/>
                  </w:pPr>
                  <w:r>
                    <w:rPr>
                      <w:rFonts w:hint="eastAsia"/>
                    </w:rPr>
                    <w:t>3</w:t>
                  </w:r>
                </w:p>
              </w:tc>
              <w:tc>
                <w:tcPr>
                  <w:tcW w:w="1338" w:type="pct"/>
                  <w:vAlign w:val="center"/>
                </w:tcPr>
                <w:p w14:paraId="36129B77">
                  <w:pPr>
                    <w:pStyle w:val="31"/>
                  </w:pPr>
                  <w:r>
                    <w:rPr>
                      <w:rFonts w:hint="eastAsia"/>
                    </w:rPr>
                    <w:t>甲烷</w:t>
                  </w:r>
                </w:p>
              </w:tc>
              <w:tc>
                <w:tcPr>
                  <w:tcW w:w="725" w:type="pct"/>
                  <w:vAlign w:val="center"/>
                </w:tcPr>
                <w:p w14:paraId="02E307AA">
                  <w:pPr>
                    <w:pStyle w:val="31"/>
                  </w:pPr>
                  <w:r>
                    <w:rPr>
                      <w:rFonts w:hint="eastAsia"/>
                    </w:rPr>
                    <w:t>74-82-8</w:t>
                  </w:r>
                </w:p>
              </w:tc>
              <w:tc>
                <w:tcPr>
                  <w:tcW w:w="1059" w:type="pct"/>
                  <w:vAlign w:val="center"/>
                </w:tcPr>
                <w:p w14:paraId="5AA9B9A8">
                  <w:pPr>
                    <w:pStyle w:val="31"/>
                  </w:pPr>
                  <w:r>
                    <w:rPr>
                      <w:rFonts w:cs="Times New Roman"/>
                      <w:szCs w:val="21"/>
                    </w:rPr>
                    <w:t>10</w:t>
                  </w:r>
                </w:p>
              </w:tc>
              <w:tc>
                <w:tcPr>
                  <w:tcW w:w="920" w:type="pct"/>
                  <w:vAlign w:val="center"/>
                </w:tcPr>
                <w:p w14:paraId="3C444504">
                  <w:pPr>
                    <w:pStyle w:val="31"/>
                  </w:pPr>
                  <w:r>
                    <w:rPr>
                      <w:rFonts w:eastAsia="等线" w:cs="Times New Roman"/>
                      <w:szCs w:val="21"/>
                    </w:rPr>
                    <w:t>2.48</w:t>
                  </w:r>
                  <w:r>
                    <w:rPr>
                      <w:rFonts w:hint="eastAsia" w:eastAsia="等线" w:cs="Times New Roman"/>
                      <w:szCs w:val="21"/>
                    </w:rPr>
                    <w:t>×10</w:t>
                  </w:r>
                  <w:r>
                    <w:rPr>
                      <w:rFonts w:hint="eastAsia" w:eastAsia="等线" w:cs="Times New Roman"/>
                      <w:szCs w:val="21"/>
                      <w:vertAlign w:val="superscript"/>
                    </w:rPr>
                    <w:t>-4</w:t>
                  </w:r>
                </w:p>
              </w:tc>
              <w:tc>
                <w:tcPr>
                  <w:tcW w:w="624" w:type="pct"/>
                  <w:vAlign w:val="center"/>
                </w:tcPr>
                <w:p w14:paraId="221872E9">
                  <w:pPr>
                    <w:pStyle w:val="31"/>
                  </w:pPr>
                  <w:r>
                    <w:t>2.48</w:t>
                  </w:r>
                  <w:r>
                    <w:rPr>
                      <w:rFonts w:hint="eastAsia" w:eastAsia="等线" w:cs="Times New Roman"/>
                      <w:szCs w:val="21"/>
                    </w:rPr>
                    <w:t>×10</w:t>
                  </w:r>
                  <w:r>
                    <w:rPr>
                      <w:rFonts w:hint="eastAsia" w:eastAsia="等线" w:cs="Times New Roman"/>
                      <w:szCs w:val="21"/>
                      <w:vertAlign w:val="superscript"/>
                    </w:rPr>
                    <w:t>-5</w:t>
                  </w:r>
                </w:p>
              </w:tc>
            </w:tr>
            <w:tr w14:paraId="0DF7FE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6FE4D420">
                  <w:pPr>
                    <w:pStyle w:val="31"/>
                  </w:pPr>
                  <w:r>
                    <w:rPr>
                      <w:rFonts w:hint="eastAsia"/>
                    </w:rPr>
                    <w:t>4</w:t>
                  </w:r>
                </w:p>
              </w:tc>
              <w:tc>
                <w:tcPr>
                  <w:tcW w:w="1338" w:type="pct"/>
                  <w:vAlign w:val="center"/>
                </w:tcPr>
                <w:p w14:paraId="38AABA06">
                  <w:pPr>
                    <w:pStyle w:val="31"/>
                  </w:pPr>
                  <w:r>
                    <w:rPr>
                      <w:rFonts w:hint="eastAsia"/>
                    </w:rPr>
                    <w:t>乙烷</w:t>
                  </w:r>
                </w:p>
              </w:tc>
              <w:tc>
                <w:tcPr>
                  <w:tcW w:w="725" w:type="pct"/>
                  <w:vAlign w:val="center"/>
                </w:tcPr>
                <w:p w14:paraId="08AF4F53">
                  <w:pPr>
                    <w:pStyle w:val="31"/>
                  </w:pPr>
                  <w:r>
                    <w:rPr>
                      <w:rFonts w:hint="eastAsia"/>
                    </w:rPr>
                    <w:t>74-84-0</w:t>
                  </w:r>
                </w:p>
              </w:tc>
              <w:tc>
                <w:tcPr>
                  <w:tcW w:w="1059" w:type="pct"/>
                  <w:vAlign w:val="center"/>
                </w:tcPr>
                <w:p w14:paraId="4882E025">
                  <w:pPr>
                    <w:pStyle w:val="31"/>
                  </w:pPr>
                  <w:r>
                    <w:rPr>
                      <w:rFonts w:cs="Times New Roman"/>
                      <w:szCs w:val="21"/>
                    </w:rPr>
                    <w:t>10</w:t>
                  </w:r>
                </w:p>
              </w:tc>
              <w:tc>
                <w:tcPr>
                  <w:tcW w:w="920" w:type="pct"/>
                  <w:vAlign w:val="center"/>
                </w:tcPr>
                <w:p w14:paraId="5FDDBFBC">
                  <w:pPr>
                    <w:pStyle w:val="31"/>
                  </w:pPr>
                  <w:r>
                    <w:rPr>
                      <w:rFonts w:eastAsia="等线" w:cs="Times New Roman"/>
                      <w:szCs w:val="21"/>
                    </w:rPr>
                    <w:t>1.68</w:t>
                  </w:r>
                  <w:r>
                    <w:rPr>
                      <w:rFonts w:hint="eastAsia" w:eastAsia="等线" w:cs="Times New Roman"/>
                      <w:szCs w:val="21"/>
                    </w:rPr>
                    <w:t>×10</w:t>
                  </w:r>
                  <w:r>
                    <w:rPr>
                      <w:rFonts w:hint="eastAsia" w:eastAsia="等线" w:cs="Times New Roman"/>
                      <w:szCs w:val="21"/>
                      <w:vertAlign w:val="superscript"/>
                    </w:rPr>
                    <w:t>-5</w:t>
                  </w:r>
                </w:p>
              </w:tc>
              <w:tc>
                <w:tcPr>
                  <w:tcW w:w="624" w:type="pct"/>
                  <w:vAlign w:val="center"/>
                </w:tcPr>
                <w:p w14:paraId="59117666">
                  <w:pPr>
                    <w:pStyle w:val="31"/>
                  </w:pPr>
                  <w:r>
                    <w:t>1.68</w:t>
                  </w:r>
                  <w:r>
                    <w:rPr>
                      <w:rFonts w:hint="eastAsia" w:eastAsia="等线" w:cs="Times New Roman"/>
                      <w:szCs w:val="21"/>
                    </w:rPr>
                    <w:t>×10</w:t>
                  </w:r>
                  <w:r>
                    <w:rPr>
                      <w:rFonts w:hint="eastAsia" w:eastAsia="等线" w:cs="Times New Roman"/>
                      <w:szCs w:val="21"/>
                      <w:vertAlign w:val="superscript"/>
                    </w:rPr>
                    <w:t>-6</w:t>
                  </w:r>
                </w:p>
              </w:tc>
            </w:tr>
            <w:tr w14:paraId="4BBA3C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7DEB2700">
                  <w:pPr>
                    <w:pStyle w:val="31"/>
                  </w:pPr>
                  <w:r>
                    <w:rPr>
                      <w:rFonts w:hint="eastAsia"/>
                    </w:rPr>
                    <w:t>5</w:t>
                  </w:r>
                </w:p>
              </w:tc>
              <w:tc>
                <w:tcPr>
                  <w:tcW w:w="1338" w:type="pct"/>
                  <w:vAlign w:val="center"/>
                </w:tcPr>
                <w:p w14:paraId="4144152C">
                  <w:pPr>
                    <w:pStyle w:val="31"/>
                  </w:pPr>
                  <w:r>
                    <w:rPr>
                      <w:rFonts w:hint="eastAsia"/>
                    </w:rPr>
                    <w:t>乙烯</w:t>
                  </w:r>
                </w:p>
              </w:tc>
              <w:tc>
                <w:tcPr>
                  <w:tcW w:w="725" w:type="pct"/>
                  <w:vAlign w:val="center"/>
                </w:tcPr>
                <w:p w14:paraId="6BED21A8">
                  <w:pPr>
                    <w:pStyle w:val="31"/>
                  </w:pPr>
                  <w:r>
                    <w:rPr>
                      <w:rFonts w:hint="eastAsia"/>
                    </w:rPr>
                    <w:t>74-85-1</w:t>
                  </w:r>
                </w:p>
              </w:tc>
              <w:tc>
                <w:tcPr>
                  <w:tcW w:w="1059" w:type="pct"/>
                  <w:vAlign w:val="center"/>
                </w:tcPr>
                <w:p w14:paraId="033120B9">
                  <w:pPr>
                    <w:pStyle w:val="31"/>
                  </w:pPr>
                  <w:r>
                    <w:rPr>
                      <w:rFonts w:cs="Times New Roman"/>
                      <w:szCs w:val="21"/>
                    </w:rPr>
                    <w:t>10</w:t>
                  </w:r>
                </w:p>
              </w:tc>
              <w:tc>
                <w:tcPr>
                  <w:tcW w:w="920" w:type="pct"/>
                  <w:vAlign w:val="center"/>
                </w:tcPr>
                <w:p w14:paraId="0EC101E5">
                  <w:pPr>
                    <w:pStyle w:val="31"/>
                  </w:pPr>
                  <w:r>
                    <w:rPr>
                      <w:rFonts w:eastAsia="等线" w:cs="Times New Roman"/>
                      <w:szCs w:val="21"/>
                    </w:rPr>
                    <w:t>8.40</w:t>
                  </w:r>
                  <w:r>
                    <w:rPr>
                      <w:rFonts w:hint="eastAsia" w:eastAsia="等线" w:cs="Times New Roman"/>
                      <w:szCs w:val="21"/>
                    </w:rPr>
                    <w:t>×10</w:t>
                  </w:r>
                  <w:r>
                    <w:rPr>
                      <w:rFonts w:hint="eastAsia" w:eastAsia="等线" w:cs="Times New Roman"/>
                      <w:szCs w:val="21"/>
                      <w:vertAlign w:val="superscript"/>
                    </w:rPr>
                    <w:t>-6</w:t>
                  </w:r>
                </w:p>
              </w:tc>
              <w:tc>
                <w:tcPr>
                  <w:tcW w:w="624" w:type="pct"/>
                  <w:vAlign w:val="center"/>
                </w:tcPr>
                <w:p w14:paraId="1D7279E0">
                  <w:pPr>
                    <w:pStyle w:val="31"/>
                  </w:pPr>
                  <w:r>
                    <w:t>8.40</w:t>
                  </w:r>
                  <w:r>
                    <w:rPr>
                      <w:rFonts w:hint="eastAsia" w:eastAsia="等线" w:cs="Times New Roman"/>
                      <w:szCs w:val="21"/>
                    </w:rPr>
                    <w:t>×10</w:t>
                  </w:r>
                  <w:r>
                    <w:rPr>
                      <w:rFonts w:hint="eastAsia" w:eastAsia="等线" w:cs="Times New Roman"/>
                      <w:szCs w:val="21"/>
                      <w:vertAlign w:val="superscript"/>
                    </w:rPr>
                    <w:t>-7</w:t>
                  </w:r>
                </w:p>
              </w:tc>
            </w:tr>
            <w:tr w14:paraId="5FD7C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429D8E1E">
                  <w:pPr>
                    <w:pStyle w:val="31"/>
                  </w:pPr>
                  <w:r>
                    <w:rPr>
                      <w:rFonts w:hint="eastAsia"/>
                    </w:rPr>
                    <w:t>6</w:t>
                  </w:r>
                </w:p>
              </w:tc>
              <w:tc>
                <w:tcPr>
                  <w:tcW w:w="1338" w:type="pct"/>
                  <w:vAlign w:val="center"/>
                </w:tcPr>
                <w:p w14:paraId="3161E9DE">
                  <w:pPr>
                    <w:pStyle w:val="31"/>
                  </w:pPr>
                  <w:r>
                    <w:rPr>
                      <w:rFonts w:hint="eastAsia"/>
                    </w:rPr>
                    <w:t>丙烷</w:t>
                  </w:r>
                </w:p>
              </w:tc>
              <w:tc>
                <w:tcPr>
                  <w:tcW w:w="725" w:type="pct"/>
                  <w:vAlign w:val="center"/>
                </w:tcPr>
                <w:p w14:paraId="1455C2BE">
                  <w:pPr>
                    <w:pStyle w:val="31"/>
                  </w:pPr>
                  <w:r>
                    <w:rPr>
                      <w:rFonts w:hint="eastAsia"/>
                    </w:rPr>
                    <w:t>74-98-6</w:t>
                  </w:r>
                </w:p>
              </w:tc>
              <w:tc>
                <w:tcPr>
                  <w:tcW w:w="1059" w:type="pct"/>
                  <w:vAlign w:val="center"/>
                </w:tcPr>
                <w:p w14:paraId="391CA560">
                  <w:pPr>
                    <w:pStyle w:val="31"/>
                  </w:pPr>
                  <w:r>
                    <w:rPr>
                      <w:rFonts w:cs="Times New Roman"/>
                      <w:szCs w:val="21"/>
                    </w:rPr>
                    <w:t>10</w:t>
                  </w:r>
                </w:p>
              </w:tc>
              <w:tc>
                <w:tcPr>
                  <w:tcW w:w="920" w:type="pct"/>
                  <w:vAlign w:val="center"/>
                </w:tcPr>
                <w:p w14:paraId="1B01301D">
                  <w:pPr>
                    <w:pStyle w:val="31"/>
                  </w:pPr>
                  <w:r>
                    <w:rPr>
                      <w:rFonts w:eastAsia="等线" w:cs="Times New Roman"/>
                      <w:szCs w:val="21"/>
                    </w:rPr>
                    <w:t>3.36</w:t>
                  </w:r>
                  <w:r>
                    <w:rPr>
                      <w:rFonts w:hint="eastAsia" w:eastAsia="等线" w:cs="Times New Roman"/>
                      <w:szCs w:val="21"/>
                    </w:rPr>
                    <w:t>×10</w:t>
                  </w:r>
                  <w:r>
                    <w:rPr>
                      <w:rFonts w:hint="eastAsia" w:eastAsia="等线" w:cs="Times New Roman"/>
                      <w:szCs w:val="21"/>
                      <w:vertAlign w:val="superscript"/>
                    </w:rPr>
                    <w:t>-6</w:t>
                  </w:r>
                </w:p>
              </w:tc>
              <w:tc>
                <w:tcPr>
                  <w:tcW w:w="624" w:type="pct"/>
                  <w:vAlign w:val="center"/>
                </w:tcPr>
                <w:p w14:paraId="179F9304">
                  <w:pPr>
                    <w:pStyle w:val="31"/>
                  </w:pPr>
                  <w:r>
                    <w:t>3.36</w:t>
                  </w:r>
                  <w:r>
                    <w:rPr>
                      <w:rFonts w:hint="eastAsia" w:eastAsia="等线" w:cs="Times New Roman"/>
                      <w:szCs w:val="21"/>
                    </w:rPr>
                    <w:t>×10</w:t>
                  </w:r>
                  <w:r>
                    <w:rPr>
                      <w:rFonts w:hint="eastAsia" w:eastAsia="等线" w:cs="Times New Roman"/>
                      <w:szCs w:val="21"/>
                      <w:vertAlign w:val="superscript"/>
                    </w:rPr>
                    <w:t>-7</w:t>
                  </w:r>
                </w:p>
              </w:tc>
            </w:tr>
            <w:tr w14:paraId="120DB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74491EA9">
                  <w:pPr>
                    <w:pStyle w:val="31"/>
                  </w:pPr>
                  <w:r>
                    <w:rPr>
                      <w:rFonts w:hint="eastAsia"/>
                    </w:rPr>
                    <w:t>7</w:t>
                  </w:r>
                </w:p>
              </w:tc>
              <w:tc>
                <w:tcPr>
                  <w:tcW w:w="1338" w:type="pct"/>
                  <w:vAlign w:val="center"/>
                </w:tcPr>
                <w:p w14:paraId="342A2DE9">
                  <w:pPr>
                    <w:pStyle w:val="31"/>
                  </w:pPr>
                  <w:r>
                    <w:rPr>
                      <w:rFonts w:hint="eastAsia"/>
                    </w:rPr>
                    <w:t>丙烯</w:t>
                  </w:r>
                </w:p>
              </w:tc>
              <w:tc>
                <w:tcPr>
                  <w:tcW w:w="725" w:type="pct"/>
                  <w:vAlign w:val="center"/>
                </w:tcPr>
                <w:p w14:paraId="51300881">
                  <w:pPr>
                    <w:pStyle w:val="31"/>
                  </w:pPr>
                  <w:r>
                    <w:rPr>
                      <w:rFonts w:hint="eastAsia"/>
                    </w:rPr>
                    <w:t>115-07-1</w:t>
                  </w:r>
                </w:p>
              </w:tc>
              <w:tc>
                <w:tcPr>
                  <w:tcW w:w="1059" w:type="pct"/>
                  <w:vAlign w:val="center"/>
                </w:tcPr>
                <w:p w14:paraId="3AC313EE">
                  <w:pPr>
                    <w:pStyle w:val="31"/>
                  </w:pPr>
                  <w:r>
                    <w:rPr>
                      <w:rFonts w:hint="eastAsia" w:cs="Times New Roman"/>
                      <w:szCs w:val="21"/>
                    </w:rPr>
                    <w:t>10</w:t>
                  </w:r>
                </w:p>
              </w:tc>
              <w:tc>
                <w:tcPr>
                  <w:tcW w:w="920" w:type="pct"/>
                  <w:vAlign w:val="center"/>
                </w:tcPr>
                <w:p w14:paraId="68E06DD8">
                  <w:pPr>
                    <w:pStyle w:val="31"/>
                  </w:pPr>
                  <w:r>
                    <w:rPr>
                      <w:rFonts w:eastAsia="等线" w:cs="Times New Roman"/>
                      <w:szCs w:val="21"/>
                    </w:rPr>
                    <w:t>5.04</w:t>
                  </w:r>
                  <w:r>
                    <w:rPr>
                      <w:rFonts w:hint="eastAsia" w:eastAsia="等线" w:cs="Times New Roman"/>
                      <w:szCs w:val="21"/>
                    </w:rPr>
                    <w:t>×10</w:t>
                  </w:r>
                  <w:r>
                    <w:rPr>
                      <w:rFonts w:hint="eastAsia" w:eastAsia="等线" w:cs="Times New Roman"/>
                      <w:szCs w:val="21"/>
                      <w:vertAlign w:val="superscript"/>
                    </w:rPr>
                    <w:t>-6</w:t>
                  </w:r>
                </w:p>
              </w:tc>
              <w:tc>
                <w:tcPr>
                  <w:tcW w:w="624" w:type="pct"/>
                  <w:vAlign w:val="center"/>
                </w:tcPr>
                <w:p w14:paraId="04E2F640">
                  <w:pPr>
                    <w:pStyle w:val="31"/>
                  </w:pPr>
                  <w:r>
                    <w:t>5.04</w:t>
                  </w:r>
                  <w:r>
                    <w:rPr>
                      <w:rFonts w:hint="eastAsia" w:eastAsia="等线" w:cs="Times New Roman"/>
                      <w:szCs w:val="21"/>
                    </w:rPr>
                    <w:t>×10</w:t>
                  </w:r>
                  <w:r>
                    <w:rPr>
                      <w:rFonts w:hint="eastAsia" w:eastAsia="等线" w:cs="Times New Roman"/>
                      <w:szCs w:val="21"/>
                      <w:vertAlign w:val="superscript"/>
                    </w:rPr>
                    <w:t>-7</w:t>
                  </w:r>
                </w:p>
              </w:tc>
            </w:tr>
            <w:tr w14:paraId="21A899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32FD2300">
                  <w:pPr>
                    <w:pStyle w:val="31"/>
                  </w:pPr>
                  <w:r>
                    <w:rPr>
                      <w:rFonts w:hint="eastAsia"/>
                    </w:rPr>
                    <w:t>8</w:t>
                  </w:r>
                </w:p>
              </w:tc>
              <w:tc>
                <w:tcPr>
                  <w:tcW w:w="1338" w:type="pct"/>
                  <w:vAlign w:val="center"/>
                </w:tcPr>
                <w:p w14:paraId="34347E1C">
                  <w:pPr>
                    <w:pStyle w:val="31"/>
                  </w:pPr>
                  <w:r>
                    <w:rPr>
                      <w:rFonts w:cs="Times New Roman"/>
                      <w:szCs w:val="21"/>
                    </w:rPr>
                    <w:t>硫化氢</w:t>
                  </w:r>
                </w:p>
              </w:tc>
              <w:tc>
                <w:tcPr>
                  <w:tcW w:w="725" w:type="pct"/>
                  <w:vAlign w:val="center"/>
                </w:tcPr>
                <w:p w14:paraId="5CD6BA1B">
                  <w:pPr>
                    <w:pStyle w:val="31"/>
                  </w:pPr>
                  <w:r>
                    <w:rPr>
                      <w:rFonts w:hint="eastAsia"/>
                    </w:rPr>
                    <w:t>7783-06-4</w:t>
                  </w:r>
                </w:p>
              </w:tc>
              <w:tc>
                <w:tcPr>
                  <w:tcW w:w="1059" w:type="pct"/>
                  <w:vAlign w:val="center"/>
                </w:tcPr>
                <w:p w14:paraId="34AE9805">
                  <w:pPr>
                    <w:pStyle w:val="31"/>
                  </w:pPr>
                  <w:r>
                    <w:rPr>
                      <w:rFonts w:cs="Times New Roman"/>
                      <w:szCs w:val="21"/>
                    </w:rPr>
                    <w:t>2.5</w:t>
                  </w:r>
                </w:p>
              </w:tc>
              <w:tc>
                <w:tcPr>
                  <w:tcW w:w="920" w:type="pct"/>
                  <w:vAlign w:val="center"/>
                </w:tcPr>
                <w:p w14:paraId="290AB51C">
                  <w:pPr>
                    <w:pStyle w:val="31"/>
                  </w:pPr>
                  <w:r>
                    <w:rPr>
                      <w:rFonts w:eastAsia="等线" w:cs="Times New Roman"/>
                      <w:szCs w:val="21"/>
                    </w:rPr>
                    <w:t>2.44</w:t>
                  </w:r>
                  <w:r>
                    <w:rPr>
                      <w:rFonts w:hint="eastAsia" w:eastAsia="等线" w:cs="Times New Roman"/>
                      <w:szCs w:val="21"/>
                    </w:rPr>
                    <w:t>×10</w:t>
                  </w:r>
                  <w:r>
                    <w:rPr>
                      <w:rFonts w:hint="eastAsia" w:eastAsia="等线" w:cs="Times New Roman"/>
                      <w:szCs w:val="21"/>
                      <w:vertAlign w:val="superscript"/>
                    </w:rPr>
                    <w:t>-5</w:t>
                  </w:r>
                </w:p>
              </w:tc>
              <w:tc>
                <w:tcPr>
                  <w:tcW w:w="624" w:type="pct"/>
                  <w:vAlign w:val="center"/>
                </w:tcPr>
                <w:p w14:paraId="1AD2BCFB">
                  <w:pPr>
                    <w:pStyle w:val="31"/>
                  </w:pPr>
                  <w:r>
                    <w:t>9.74</w:t>
                  </w:r>
                  <w:r>
                    <w:rPr>
                      <w:rFonts w:hint="eastAsia" w:eastAsia="等线" w:cs="Times New Roman"/>
                      <w:szCs w:val="21"/>
                    </w:rPr>
                    <w:t>×10</w:t>
                  </w:r>
                  <w:r>
                    <w:rPr>
                      <w:rFonts w:hint="eastAsia" w:eastAsia="等线" w:cs="Times New Roman"/>
                      <w:szCs w:val="21"/>
                      <w:vertAlign w:val="superscript"/>
                    </w:rPr>
                    <w:t>-6</w:t>
                  </w:r>
                </w:p>
              </w:tc>
            </w:tr>
            <w:tr w14:paraId="6EFB22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5C1336A0">
                  <w:pPr>
                    <w:pStyle w:val="31"/>
                  </w:pPr>
                  <w:r>
                    <w:rPr>
                      <w:rFonts w:hint="eastAsia"/>
                    </w:rPr>
                    <w:t>9</w:t>
                  </w:r>
                </w:p>
              </w:tc>
              <w:tc>
                <w:tcPr>
                  <w:tcW w:w="1338" w:type="pct"/>
                  <w:vAlign w:val="center"/>
                </w:tcPr>
                <w:p w14:paraId="68238944">
                  <w:pPr>
                    <w:pStyle w:val="31"/>
                    <w:rPr>
                      <w:rFonts w:cs="Times New Roman"/>
                      <w:szCs w:val="21"/>
                    </w:rPr>
                  </w:pPr>
                  <w:r>
                    <w:rPr>
                      <w:rFonts w:hint="eastAsia" w:cs="Times New Roman"/>
                      <w:szCs w:val="21"/>
                    </w:rPr>
                    <w:t>氨水（浓度≥20%）</w:t>
                  </w:r>
                </w:p>
              </w:tc>
              <w:tc>
                <w:tcPr>
                  <w:tcW w:w="725" w:type="pct"/>
                  <w:vAlign w:val="center"/>
                </w:tcPr>
                <w:p w14:paraId="3655DA2F">
                  <w:pPr>
                    <w:pStyle w:val="31"/>
                  </w:pPr>
                  <w:r>
                    <w:rPr>
                      <w:rFonts w:hint="eastAsia"/>
                    </w:rPr>
                    <w:t>1336-21-6</w:t>
                  </w:r>
                </w:p>
              </w:tc>
              <w:tc>
                <w:tcPr>
                  <w:tcW w:w="1059" w:type="pct"/>
                  <w:vAlign w:val="center"/>
                </w:tcPr>
                <w:p w14:paraId="16A006CE">
                  <w:pPr>
                    <w:pStyle w:val="31"/>
                    <w:rPr>
                      <w:rFonts w:cs="Times New Roman"/>
                      <w:szCs w:val="21"/>
                    </w:rPr>
                  </w:pPr>
                  <w:r>
                    <w:rPr>
                      <w:rFonts w:hint="eastAsia" w:cs="Times New Roman"/>
                      <w:szCs w:val="21"/>
                    </w:rPr>
                    <w:t>10</w:t>
                  </w:r>
                </w:p>
              </w:tc>
              <w:tc>
                <w:tcPr>
                  <w:tcW w:w="920" w:type="pct"/>
                  <w:vAlign w:val="center"/>
                </w:tcPr>
                <w:p w14:paraId="1431DC7D">
                  <w:pPr>
                    <w:pStyle w:val="31"/>
                    <w:rPr>
                      <w:rFonts w:eastAsia="等线" w:cs="Times New Roman"/>
                      <w:szCs w:val="21"/>
                    </w:rPr>
                  </w:pPr>
                  <w:r>
                    <w:rPr>
                      <w:rFonts w:eastAsia="等线" w:cs="Times New Roman"/>
                      <w:szCs w:val="21"/>
                    </w:rPr>
                    <w:t>65.53</w:t>
                  </w:r>
                </w:p>
              </w:tc>
              <w:tc>
                <w:tcPr>
                  <w:tcW w:w="624" w:type="pct"/>
                  <w:vAlign w:val="center"/>
                </w:tcPr>
                <w:p w14:paraId="57E45E1B">
                  <w:pPr>
                    <w:pStyle w:val="31"/>
                  </w:pPr>
                  <w:r>
                    <w:t>6.53</w:t>
                  </w:r>
                </w:p>
              </w:tc>
            </w:tr>
            <w:tr w14:paraId="00FA0A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335" w:type="pct"/>
                  <w:vAlign w:val="center"/>
                </w:tcPr>
                <w:p w14:paraId="336A4967">
                  <w:pPr>
                    <w:pStyle w:val="31"/>
                  </w:pPr>
                  <w:r>
                    <w:rPr>
                      <w:rFonts w:hint="eastAsia"/>
                    </w:rPr>
                    <w:t>10</w:t>
                  </w:r>
                </w:p>
              </w:tc>
              <w:tc>
                <w:tcPr>
                  <w:tcW w:w="4042" w:type="pct"/>
                  <w:gridSpan w:val="4"/>
                  <w:vAlign w:val="center"/>
                </w:tcPr>
                <w:p w14:paraId="0F8ED2C2">
                  <w:pPr>
                    <w:pStyle w:val="31"/>
                  </w:pPr>
                  <w:r>
                    <w:t>合计</w:t>
                  </w:r>
                </w:p>
              </w:tc>
              <w:tc>
                <w:tcPr>
                  <w:tcW w:w="624" w:type="pct"/>
                  <w:vAlign w:val="center"/>
                </w:tcPr>
                <w:p w14:paraId="753803E3">
                  <w:pPr>
                    <w:pStyle w:val="31"/>
                  </w:pPr>
                  <w:r>
                    <w:t>6.53</w:t>
                  </w:r>
                </w:p>
              </w:tc>
            </w:tr>
          </w:tbl>
          <w:p w14:paraId="13639F22">
            <w:pPr>
              <w:ind w:firstLine="480"/>
              <w:rPr>
                <w:b/>
                <w:bCs/>
                <w:highlight w:val="yellow"/>
              </w:rPr>
            </w:pPr>
            <w:r>
              <w:rPr>
                <w:rFonts w:hint="eastAsia"/>
              </w:rPr>
              <w:t>本项目氨水储存量超过临界量，根据</w:t>
            </w:r>
            <w:r>
              <w:t>《建设项目环境影响报告表编制技术指南（污染影响类）（试行）》</w:t>
            </w:r>
            <w:r>
              <w:rPr>
                <w:rFonts w:hint="eastAsia"/>
              </w:rPr>
              <w:t>需进行环境风险专项评价。</w:t>
            </w:r>
            <w:r>
              <w:rPr>
                <w:rFonts w:hint="eastAsia"/>
                <w:b/>
                <w:bCs/>
              </w:rPr>
              <w:t>具体内容见环境风险专项篇章。</w:t>
            </w:r>
          </w:p>
          <w:p w14:paraId="6FDC9A97">
            <w:pPr>
              <w:ind w:firstLine="480"/>
            </w:pPr>
            <w:r>
              <w:rPr>
                <w:rFonts w:hint="eastAsia"/>
              </w:rPr>
              <w:t>根据环境风险专章结论，本项目风险评价评价等级为二级评价，环境风险主要为风险废物泄漏污染大气，或遇明火、高热可能发生火灾、爆炸等潜在风险。企业在采取有针对性的环境风险防范措施后，环境风险可防控。</w:t>
            </w:r>
          </w:p>
          <w:p w14:paraId="7D2383E2">
            <w:pPr>
              <w:ind w:firstLine="482"/>
              <w:rPr>
                <w:b/>
                <w:bCs/>
              </w:rPr>
            </w:pPr>
            <w:r>
              <w:rPr>
                <w:rFonts w:hint="eastAsia"/>
                <w:b/>
                <w:bCs/>
              </w:rPr>
              <w:t>1.7</w:t>
            </w:r>
            <w:r>
              <w:rPr>
                <w:b/>
                <w:bCs/>
              </w:rPr>
              <w:t>环保措施汇总及投资估算</w:t>
            </w:r>
          </w:p>
          <w:p w14:paraId="5687626C">
            <w:pPr>
              <w:ind w:firstLine="480"/>
              <w:rPr>
                <w:rFonts w:eastAsia="黑体"/>
                <w:szCs w:val="21"/>
              </w:rPr>
            </w:pPr>
            <w:r>
              <w:t>本项目建设总投资</w:t>
            </w:r>
            <w:r>
              <w:rPr>
                <w:rFonts w:hint="eastAsia"/>
              </w:rPr>
              <w:t>15000</w:t>
            </w:r>
            <w:r>
              <w:t>万元，根据环保治理措施估算，其中用于环保设施建设投资约</w:t>
            </w:r>
            <w:r>
              <w:rPr>
                <w:rFonts w:hint="eastAsia"/>
              </w:rPr>
              <w:t>989</w:t>
            </w:r>
            <w:r>
              <w:t>万元，占项目总投资</w:t>
            </w:r>
            <w:r>
              <w:rPr>
                <w:rFonts w:hint="eastAsia"/>
              </w:rPr>
              <w:t>6.59</w:t>
            </w:r>
            <w:r>
              <w:t>%，基本上能满足本项目环保治理需求。环保投资估算详见表</w:t>
            </w:r>
            <w:r>
              <w:rPr>
                <w:rFonts w:hint="eastAsia"/>
              </w:rPr>
              <w:t>4</w:t>
            </w:r>
            <w:r>
              <w:t>-</w:t>
            </w:r>
            <w:r>
              <w:rPr>
                <w:rFonts w:hint="eastAsia"/>
              </w:rPr>
              <w:t>22</w:t>
            </w:r>
            <w:r>
              <w:t>。</w:t>
            </w:r>
          </w:p>
          <w:p w14:paraId="22D7A3AD">
            <w:pPr>
              <w:pStyle w:val="43"/>
            </w:pPr>
            <w:r>
              <w:rPr>
                <w:rFonts w:hint="eastAsia"/>
              </w:rPr>
              <w:t xml:space="preserve">  </w:t>
            </w:r>
            <w:r>
              <w:t>环境保护措施及投资一览表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332"/>
              <w:gridCol w:w="5136"/>
              <w:gridCol w:w="1122"/>
              <w:gridCol w:w="435"/>
            </w:tblGrid>
            <w:tr w14:paraId="67DBF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99" w:hRule="atLeast"/>
                <w:jc w:val="center"/>
              </w:trPr>
              <w:tc>
                <w:tcPr>
                  <w:tcW w:w="830" w:type="pct"/>
                  <w:vAlign w:val="center"/>
                </w:tcPr>
                <w:p w14:paraId="45AEE08A">
                  <w:pPr>
                    <w:spacing w:line="240" w:lineRule="auto"/>
                    <w:ind w:firstLine="0" w:firstLineChars="0"/>
                    <w:jc w:val="center"/>
                    <w:rPr>
                      <w:b/>
                      <w:bCs/>
                      <w:sz w:val="21"/>
                      <w:szCs w:val="21"/>
                    </w:rPr>
                  </w:pPr>
                  <w:bookmarkStart w:id="14" w:name="_Hlk175757447"/>
                  <w:r>
                    <w:rPr>
                      <w:b/>
                      <w:bCs/>
                      <w:sz w:val="21"/>
                      <w:szCs w:val="21"/>
                    </w:rPr>
                    <w:t>项目</w:t>
                  </w:r>
                </w:p>
              </w:tc>
              <w:tc>
                <w:tcPr>
                  <w:tcW w:w="3200" w:type="pct"/>
                  <w:vAlign w:val="center"/>
                </w:tcPr>
                <w:p w14:paraId="60E8ECEA">
                  <w:pPr>
                    <w:spacing w:line="240" w:lineRule="auto"/>
                    <w:ind w:firstLine="0" w:firstLineChars="0"/>
                    <w:jc w:val="center"/>
                    <w:rPr>
                      <w:b/>
                      <w:bCs/>
                      <w:sz w:val="21"/>
                      <w:szCs w:val="21"/>
                    </w:rPr>
                  </w:pPr>
                  <w:r>
                    <w:rPr>
                      <w:rFonts w:hint="eastAsia"/>
                      <w:b/>
                      <w:bCs/>
                      <w:sz w:val="21"/>
                      <w:szCs w:val="21"/>
                    </w:rPr>
                    <w:t>环保措施</w:t>
                  </w:r>
                </w:p>
              </w:tc>
              <w:tc>
                <w:tcPr>
                  <w:tcW w:w="699" w:type="pct"/>
                  <w:vAlign w:val="center"/>
                </w:tcPr>
                <w:p w14:paraId="62D5C497">
                  <w:pPr>
                    <w:spacing w:line="240" w:lineRule="auto"/>
                    <w:ind w:firstLine="0" w:firstLineChars="0"/>
                    <w:jc w:val="center"/>
                    <w:rPr>
                      <w:b/>
                      <w:bCs/>
                      <w:sz w:val="21"/>
                      <w:szCs w:val="21"/>
                    </w:rPr>
                  </w:pPr>
                  <w:r>
                    <w:rPr>
                      <w:b/>
                      <w:bCs/>
                      <w:sz w:val="21"/>
                      <w:szCs w:val="21"/>
                    </w:rPr>
                    <w:t>投资金额（万元）</w:t>
                  </w:r>
                </w:p>
              </w:tc>
              <w:tc>
                <w:tcPr>
                  <w:tcW w:w="271" w:type="pct"/>
                  <w:vAlign w:val="center"/>
                </w:tcPr>
                <w:p w14:paraId="3DE3D129">
                  <w:pPr>
                    <w:spacing w:line="240" w:lineRule="auto"/>
                    <w:ind w:firstLine="0" w:firstLineChars="0"/>
                    <w:jc w:val="center"/>
                    <w:rPr>
                      <w:b/>
                      <w:bCs/>
                      <w:sz w:val="21"/>
                      <w:szCs w:val="21"/>
                    </w:rPr>
                  </w:pPr>
                  <w:r>
                    <w:rPr>
                      <w:rFonts w:hint="eastAsia"/>
                      <w:b/>
                      <w:bCs/>
                      <w:sz w:val="21"/>
                      <w:szCs w:val="21"/>
                    </w:rPr>
                    <w:t>备注</w:t>
                  </w:r>
                </w:p>
              </w:tc>
            </w:tr>
            <w:tr w14:paraId="78C2FE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71" w:hRule="atLeast"/>
                <w:jc w:val="center"/>
              </w:trPr>
              <w:tc>
                <w:tcPr>
                  <w:tcW w:w="830" w:type="pct"/>
                  <w:vAlign w:val="center"/>
                </w:tcPr>
                <w:p w14:paraId="7CE66655">
                  <w:pPr>
                    <w:spacing w:line="240" w:lineRule="auto"/>
                    <w:ind w:firstLine="0" w:firstLineChars="0"/>
                    <w:jc w:val="center"/>
                    <w:rPr>
                      <w:b/>
                      <w:bCs/>
                      <w:sz w:val="21"/>
                      <w:szCs w:val="21"/>
                    </w:rPr>
                  </w:pPr>
                  <w:r>
                    <w:rPr>
                      <w:rFonts w:hint="eastAsia"/>
                      <w:b/>
                      <w:bCs/>
                      <w:sz w:val="21"/>
                      <w:szCs w:val="21"/>
                    </w:rPr>
                    <w:t>废气治理</w:t>
                  </w:r>
                </w:p>
              </w:tc>
              <w:tc>
                <w:tcPr>
                  <w:tcW w:w="3200" w:type="pct"/>
                  <w:vAlign w:val="center"/>
                </w:tcPr>
                <w:p w14:paraId="2DF0D25A">
                  <w:pPr>
                    <w:spacing w:line="240" w:lineRule="auto"/>
                    <w:ind w:firstLine="0" w:firstLineChars="0"/>
                    <w:rPr>
                      <w:sz w:val="21"/>
                      <w:szCs w:val="20"/>
                    </w:rPr>
                  </w:pPr>
                  <w:r>
                    <w:rPr>
                      <w:rFonts w:hint="eastAsia"/>
                      <w:sz w:val="21"/>
                      <w:szCs w:val="20"/>
                    </w:rPr>
                    <w:t>每台锅炉配套1套尾气处理装置（低氮燃烧+SCR脱硝+喷淋式水膜除尘器），全厂共4套尾气处理装置，每2套尾气处理装置共用1根26m高排气筒，全厂共2根排气筒（DA001和DA002）</w:t>
                  </w:r>
                </w:p>
              </w:tc>
              <w:tc>
                <w:tcPr>
                  <w:tcW w:w="699" w:type="pct"/>
                  <w:vAlign w:val="center"/>
                </w:tcPr>
                <w:p w14:paraId="0AC289C2">
                  <w:pPr>
                    <w:spacing w:line="240" w:lineRule="auto"/>
                    <w:ind w:firstLine="0" w:firstLineChars="0"/>
                    <w:jc w:val="center"/>
                    <w:rPr>
                      <w:sz w:val="21"/>
                      <w:szCs w:val="21"/>
                    </w:rPr>
                  </w:pPr>
                  <w:r>
                    <w:rPr>
                      <w:rFonts w:hint="eastAsia"/>
                      <w:sz w:val="21"/>
                      <w:szCs w:val="21"/>
                    </w:rPr>
                    <w:t>920</w:t>
                  </w:r>
                </w:p>
              </w:tc>
              <w:tc>
                <w:tcPr>
                  <w:tcW w:w="271" w:type="pct"/>
                  <w:vAlign w:val="center"/>
                </w:tcPr>
                <w:p w14:paraId="642BA0C1">
                  <w:pPr>
                    <w:spacing w:line="240" w:lineRule="auto"/>
                    <w:ind w:firstLine="0" w:firstLineChars="0"/>
                    <w:jc w:val="center"/>
                    <w:rPr>
                      <w:sz w:val="21"/>
                      <w:szCs w:val="21"/>
                    </w:rPr>
                  </w:pPr>
                  <w:r>
                    <w:rPr>
                      <w:rFonts w:hint="eastAsia"/>
                      <w:sz w:val="21"/>
                      <w:szCs w:val="21"/>
                    </w:rPr>
                    <w:t>/</w:t>
                  </w:r>
                </w:p>
              </w:tc>
            </w:tr>
            <w:tr w14:paraId="3EB7D1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30" w:type="pct"/>
                  <w:vAlign w:val="center"/>
                </w:tcPr>
                <w:p w14:paraId="6BB128A2">
                  <w:pPr>
                    <w:spacing w:line="240" w:lineRule="auto"/>
                    <w:ind w:firstLine="0" w:firstLineChars="0"/>
                    <w:jc w:val="center"/>
                    <w:rPr>
                      <w:b/>
                      <w:bCs/>
                      <w:sz w:val="21"/>
                      <w:szCs w:val="21"/>
                    </w:rPr>
                  </w:pPr>
                  <w:r>
                    <w:rPr>
                      <w:rFonts w:hint="eastAsia"/>
                      <w:b/>
                      <w:bCs/>
                      <w:sz w:val="21"/>
                      <w:szCs w:val="21"/>
                    </w:rPr>
                    <w:t>废水治理</w:t>
                  </w:r>
                </w:p>
              </w:tc>
              <w:tc>
                <w:tcPr>
                  <w:tcW w:w="3200" w:type="pct"/>
                  <w:vAlign w:val="center"/>
                </w:tcPr>
                <w:p w14:paraId="0670BD60">
                  <w:pPr>
                    <w:spacing w:line="240" w:lineRule="auto"/>
                    <w:ind w:firstLine="0" w:firstLineChars="0"/>
                    <w:rPr>
                      <w:sz w:val="21"/>
                      <w:szCs w:val="20"/>
                    </w:rPr>
                  </w:pPr>
                  <w:r>
                    <w:rPr>
                      <w:rFonts w:hint="eastAsia"/>
                      <w:sz w:val="21"/>
                      <w:szCs w:val="20"/>
                    </w:rPr>
                    <w:t>①生活污水经预处理池（6m</w:t>
                  </w:r>
                  <w:r>
                    <w:rPr>
                      <w:rFonts w:hint="eastAsia"/>
                      <w:sz w:val="21"/>
                      <w:szCs w:val="20"/>
                      <w:vertAlign w:val="superscript"/>
                    </w:rPr>
                    <w:t>3</w:t>
                  </w:r>
                  <w:r>
                    <w:rPr>
                      <w:rFonts w:hint="eastAsia"/>
                      <w:sz w:val="21"/>
                      <w:szCs w:val="20"/>
                    </w:rPr>
                    <w:t>）处理后进入市政污水管网，再进入大英经济开发区污水处理厂，最终排入郪江。</w:t>
                  </w:r>
                </w:p>
                <w:p w14:paraId="2E1DBC5B">
                  <w:pPr>
                    <w:spacing w:line="240" w:lineRule="auto"/>
                    <w:ind w:firstLine="0" w:firstLineChars="0"/>
                    <w:rPr>
                      <w:sz w:val="21"/>
                      <w:szCs w:val="20"/>
                    </w:rPr>
                  </w:pPr>
                  <w:r>
                    <w:rPr>
                      <w:rFonts w:hint="eastAsia"/>
                      <w:sz w:val="21"/>
                      <w:szCs w:val="20"/>
                    </w:rPr>
                    <w:t>②建设单位拟建一个沉淀池（240m</w:t>
                  </w:r>
                  <w:r>
                    <w:rPr>
                      <w:rFonts w:hint="eastAsia"/>
                      <w:sz w:val="21"/>
                      <w:szCs w:val="20"/>
                      <w:vertAlign w:val="superscript"/>
                    </w:rPr>
                    <w:t>3</w:t>
                  </w:r>
                  <w:r>
                    <w:rPr>
                      <w:rFonts w:hint="eastAsia"/>
                      <w:sz w:val="21"/>
                      <w:szCs w:val="20"/>
                    </w:rPr>
                    <w:t>）用于收集锅炉排污水和气化炉排水。收集的水优先用于厂区绿化和降尘用水，剩余的进入市政污水管网，再进入大英经济开发区污水处理厂，最终排入郪江。</w:t>
                  </w:r>
                </w:p>
                <w:p w14:paraId="45CFB68A">
                  <w:pPr>
                    <w:spacing w:line="240" w:lineRule="auto"/>
                    <w:ind w:firstLine="0" w:firstLineChars="0"/>
                    <w:rPr>
                      <w:sz w:val="21"/>
                      <w:szCs w:val="20"/>
                    </w:rPr>
                  </w:pPr>
                  <w:r>
                    <w:rPr>
                      <w:rFonts w:hint="eastAsia"/>
                      <w:sz w:val="21"/>
                      <w:szCs w:val="20"/>
                    </w:rPr>
                    <w:t>③除尘设备用水循环使用，不外排。</w:t>
                  </w:r>
                </w:p>
                <w:p w14:paraId="4C9AB0E9">
                  <w:pPr>
                    <w:spacing w:line="240" w:lineRule="auto"/>
                    <w:ind w:firstLine="0" w:firstLineChars="0"/>
                    <w:rPr>
                      <w:sz w:val="21"/>
                      <w:szCs w:val="20"/>
                    </w:rPr>
                  </w:pPr>
                  <w:r>
                    <w:rPr>
                      <w:rFonts w:hint="eastAsia"/>
                      <w:sz w:val="21"/>
                      <w:szCs w:val="20"/>
                    </w:rPr>
                    <w:t>④绿化用水全部蒸发损耗，不外排。</w:t>
                  </w:r>
                </w:p>
                <w:p w14:paraId="6581C03F">
                  <w:pPr>
                    <w:spacing w:line="240" w:lineRule="auto"/>
                    <w:ind w:firstLine="0" w:firstLineChars="0"/>
                    <w:rPr>
                      <w:sz w:val="21"/>
                      <w:szCs w:val="20"/>
                    </w:rPr>
                  </w:pPr>
                  <w:r>
                    <w:rPr>
                      <w:rFonts w:hint="eastAsia"/>
                      <w:sz w:val="21"/>
                      <w:szCs w:val="20"/>
                    </w:rPr>
                    <w:t>⑤建设单位拟建一个雨水收集池（780m</w:t>
                  </w:r>
                  <w:r>
                    <w:rPr>
                      <w:rFonts w:hint="eastAsia"/>
                      <w:sz w:val="21"/>
                      <w:szCs w:val="20"/>
                      <w:vertAlign w:val="superscript"/>
                    </w:rPr>
                    <w:t>3</w:t>
                  </w:r>
                  <w:r>
                    <w:rPr>
                      <w:rFonts w:hint="eastAsia"/>
                      <w:sz w:val="21"/>
                      <w:szCs w:val="20"/>
                    </w:rPr>
                    <w:t>），用于收集厂区初期雨水。</w:t>
                  </w:r>
                </w:p>
              </w:tc>
              <w:tc>
                <w:tcPr>
                  <w:tcW w:w="699" w:type="pct"/>
                  <w:vAlign w:val="center"/>
                </w:tcPr>
                <w:p w14:paraId="3DB9166A">
                  <w:pPr>
                    <w:spacing w:line="240" w:lineRule="auto"/>
                    <w:ind w:firstLine="0" w:firstLineChars="0"/>
                    <w:jc w:val="center"/>
                    <w:rPr>
                      <w:sz w:val="21"/>
                      <w:szCs w:val="21"/>
                    </w:rPr>
                  </w:pPr>
                  <w:r>
                    <w:rPr>
                      <w:rFonts w:hint="eastAsia"/>
                      <w:sz w:val="21"/>
                      <w:szCs w:val="21"/>
                    </w:rPr>
                    <w:t>35</w:t>
                  </w:r>
                </w:p>
              </w:tc>
              <w:tc>
                <w:tcPr>
                  <w:tcW w:w="271" w:type="pct"/>
                  <w:vAlign w:val="center"/>
                </w:tcPr>
                <w:p w14:paraId="009DBF12">
                  <w:pPr>
                    <w:spacing w:line="240" w:lineRule="auto"/>
                    <w:ind w:firstLine="0" w:firstLineChars="0"/>
                    <w:jc w:val="center"/>
                    <w:rPr>
                      <w:sz w:val="21"/>
                      <w:szCs w:val="21"/>
                    </w:rPr>
                  </w:pPr>
                  <w:r>
                    <w:rPr>
                      <w:rFonts w:hint="eastAsia"/>
                      <w:sz w:val="21"/>
                      <w:szCs w:val="21"/>
                    </w:rPr>
                    <w:t>/</w:t>
                  </w:r>
                </w:p>
              </w:tc>
            </w:tr>
            <w:tr w14:paraId="6196C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7" w:hRule="atLeast"/>
                <w:jc w:val="center"/>
              </w:trPr>
              <w:tc>
                <w:tcPr>
                  <w:tcW w:w="830" w:type="pct"/>
                  <w:vAlign w:val="center"/>
                </w:tcPr>
                <w:p w14:paraId="2CFAA0DE">
                  <w:pPr>
                    <w:spacing w:line="240" w:lineRule="auto"/>
                    <w:ind w:firstLine="0" w:firstLineChars="0"/>
                    <w:jc w:val="center"/>
                    <w:rPr>
                      <w:b/>
                      <w:bCs/>
                      <w:sz w:val="21"/>
                      <w:szCs w:val="21"/>
                    </w:rPr>
                  </w:pPr>
                  <w:r>
                    <w:rPr>
                      <w:rFonts w:hint="eastAsia"/>
                      <w:b/>
                      <w:bCs/>
                      <w:sz w:val="21"/>
                      <w:szCs w:val="21"/>
                    </w:rPr>
                    <w:t>噪声治理</w:t>
                  </w:r>
                </w:p>
              </w:tc>
              <w:tc>
                <w:tcPr>
                  <w:tcW w:w="3200" w:type="pct"/>
                  <w:vAlign w:val="center"/>
                </w:tcPr>
                <w:p w14:paraId="25FA2F94">
                  <w:pPr>
                    <w:spacing w:line="240" w:lineRule="auto"/>
                    <w:ind w:firstLine="0" w:firstLineChars="0"/>
                    <w:rPr>
                      <w:sz w:val="21"/>
                      <w:szCs w:val="21"/>
                    </w:rPr>
                  </w:pPr>
                  <w:r>
                    <w:rPr>
                      <w:rFonts w:hint="eastAsia"/>
                      <w:sz w:val="21"/>
                      <w:szCs w:val="21"/>
                    </w:rPr>
                    <w:t>选用低噪声设备，基础安装减震垫，厂房隔声。</w:t>
                  </w:r>
                </w:p>
              </w:tc>
              <w:tc>
                <w:tcPr>
                  <w:tcW w:w="699" w:type="pct"/>
                  <w:vAlign w:val="center"/>
                </w:tcPr>
                <w:p w14:paraId="0A000CD2">
                  <w:pPr>
                    <w:spacing w:line="240" w:lineRule="auto"/>
                    <w:ind w:firstLine="0" w:firstLineChars="0"/>
                    <w:jc w:val="center"/>
                    <w:rPr>
                      <w:sz w:val="21"/>
                      <w:szCs w:val="21"/>
                    </w:rPr>
                  </w:pPr>
                  <w:r>
                    <w:rPr>
                      <w:rFonts w:hint="eastAsia"/>
                      <w:sz w:val="21"/>
                      <w:szCs w:val="21"/>
                    </w:rPr>
                    <w:t>10</w:t>
                  </w:r>
                </w:p>
              </w:tc>
              <w:tc>
                <w:tcPr>
                  <w:tcW w:w="271" w:type="pct"/>
                  <w:vAlign w:val="center"/>
                </w:tcPr>
                <w:p w14:paraId="3EF895C7">
                  <w:pPr>
                    <w:spacing w:line="240" w:lineRule="auto"/>
                    <w:ind w:firstLine="0" w:firstLineChars="0"/>
                    <w:jc w:val="center"/>
                    <w:rPr>
                      <w:sz w:val="21"/>
                      <w:szCs w:val="21"/>
                    </w:rPr>
                  </w:pPr>
                  <w:r>
                    <w:rPr>
                      <w:rFonts w:hint="eastAsia"/>
                      <w:sz w:val="21"/>
                      <w:szCs w:val="21"/>
                    </w:rPr>
                    <w:t>/</w:t>
                  </w:r>
                </w:p>
              </w:tc>
            </w:tr>
            <w:tr w14:paraId="4FAA5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3" w:hRule="atLeast"/>
                <w:jc w:val="center"/>
              </w:trPr>
              <w:tc>
                <w:tcPr>
                  <w:tcW w:w="830" w:type="pct"/>
                  <w:vMerge w:val="restart"/>
                  <w:vAlign w:val="center"/>
                </w:tcPr>
                <w:p w14:paraId="6FDE3351">
                  <w:pPr>
                    <w:spacing w:line="240" w:lineRule="auto"/>
                    <w:ind w:firstLine="0" w:firstLineChars="0"/>
                    <w:jc w:val="center"/>
                    <w:rPr>
                      <w:b/>
                      <w:bCs/>
                      <w:sz w:val="21"/>
                      <w:szCs w:val="21"/>
                    </w:rPr>
                  </w:pPr>
                  <w:r>
                    <w:rPr>
                      <w:b/>
                      <w:bCs/>
                      <w:sz w:val="21"/>
                      <w:szCs w:val="21"/>
                    </w:rPr>
                    <w:t>固体废物处置</w:t>
                  </w:r>
                </w:p>
              </w:tc>
              <w:tc>
                <w:tcPr>
                  <w:tcW w:w="3200" w:type="pct"/>
                  <w:vAlign w:val="center"/>
                </w:tcPr>
                <w:p w14:paraId="3A639859">
                  <w:pPr>
                    <w:spacing w:line="240" w:lineRule="auto"/>
                    <w:ind w:firstLine="0" w:firstLineChars="0"/>
                    <w:rPr>
                      <w:sz w:val="21"/>
                      <w:szCs w:val="20"/>
                    </w:rPr>
                  </w:pPr>
                  <w:r>
                    <w:rPr>
                      <w:rFonts w:hint="eastAsia"/>
                      <w:sz w:val="21"/>
                      <w:szCs w:val="20"/>
                    </w:rPr>
                    <w:t>生活垃圾由环卫部门统一收集处理；气化炉灰渣外售；废机油、废机油沾染物和废催化剂交由资质单位处置；废离子交换树脂由更换单位带走处置。除尘器收尘交由环卫部门处理。</w:t>
                  </w:r>
                </w:p>
              </w:tc>
              <w:tc>
                <w:tcPr>
                  <w:tcW w:w="699" w:type="pct"/>
                  <w:vAlign w:val="center"/>
                </w:tcPr>
                <w:p w14:paraId="19D853CB">
                  <w:pPr>
                    <w:spacing w:line="240" w:lineRule="auto"/>
                    <w:ind w:firstLine="0" w:firstLineChars="0"/>
                    <w:jc w:val="center"/>
                    <w:rPr>
                      <w:sz w:val="21"/>
                      <w:szCs w:val="21"/>
                    </w:rPr>
                  </w:pPr>
                  <w:r>
                    <w:rPr>
                      <w:rFonts w:hint="eastAsia"/>
                      <w:sz w:val="21"/>
                      <w:szCs w:val="21"/>
                    </w:rPr>
                    <w:t>5</w:t>
                  </w:r>
                </w:p>
              </w:tc>
              <w:tc>
                <w:tcPr>
                  <w:tcW w:w="271" w:type="pct"/>
                  <w:vAlign w:val="center"/>
                </w:tcPr>
                <w:p w14:paraId="1B1354D6">
                  <w:pPr>
                    <w:widowControl/>
                    <w:snapToGrid w:val="0"/>
                    <w:spacing w:line="240" w:lineRule="auto"/>
                    <w:ind w:firstLine="0" w:firstLineChars="0"/>
                    <w:jc w:val="center"/>
                    <w:rPr>
                      <w:rFonts w:hint="eastAsia" w:ascii="宋体" w:hAnsi="宋体" w:cs="宋体"/>
                      <w:kern w:val="0"/>
                      <w:sz w:val="21"/>
                      <w:szCs w:val="21"/>
                    </w:rPr>
                  </w:pPr>
                  <w:r>
                    <w:rPr>
                      <w:rFonts w:hint="eastAsia" w:ascii="宋体" w:hAnsi="宋体" w:cs="宋体"/>
                      <w:kern w:val="0"/>
                      <w:sz w:val="21"/>
                      <w:szCs w:val="21"/>
                    </w:rPr>
                    <w:t>/</w:t>
                  </w:r>
                </w:p>
              </w:tc>
            </w:tr>
            <w:tr w14:paraId="223451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830" w:type="pct"/>
                  <w:vMerge w:val="continue"/>
                  <w:vAlign w:val="center"/>
                </w:tcPr>
                <w:p w14:paraId="53F86D4E">
                  <w:pPr>
                    <w:spacing w:line="240" w:lineRule="auto"/>
                    <w:ind w:firstLine="0" w:firstLineChars="0"/>
                    <w:jc w:val="center"/>
                    <w:rPr>
                      <w:b/>
                      <w:bCs/>
                      <w:sz w:val="21"/>
                      <w:szCs w:val="21"/>
                    </w:rPr>
                  </w:pPr>
                </w:p>
              </w:tc>
              <w:tc>
                <w:tcPr>
                  <w:tcW w:w="3200" w:type="pct"/>
                  <w:vAlign w:val="center"/>
                </w:tcPr>
                <w:p w14:paraId="7C863A40">
                  <w:pPr>
                    <w:spacing w:line="240" w:lineRule="auto"/>
                    <w:ind w:firstLine="0" w:firstLineChars="0"/>
                    <w:rPr>
                      <w:sz w:val="21"/>
                      <w:szCs w:val="20"/>
                    </w:rPr>
                  </w:pPr>
                  <w:r>
                    <w:rPr>
                      <w:rStyle w:val="65"/>
                      <w:rFonts w:hint="eastAsia"/>
                      <w:sz w:val="21"/>
                      <w:szCs w:val="20"/>
                    </w:rPr>
                    <w:t>设置危废暂存间1间5m</w:t>
                  </w:r>
                  <w:r>
                    <w:rPr>
                      <w:rStyle w:val="65"/>
                      <w:rFonts w:hint="eastAsia"/>
                      <w:sz w:val="21"/>
                      <w:szCs w:val="20"/>
                      <w:vertAlign w:val="superscript"/>
                    </w:rPr>
                    <w:t>2</w:t>
                  </w:r>
                  <w:r>
                    <w:rPr>
                      <w:rStyle w:val="65"/>
                      <w:rFonts w:hint="eastAsia"/>
                      <w:sz w:val="21"/>
                      <w:szCs w:val="20"/>
                    </w:rPr>
                    <w:t>，用于暂存收集的废机油、废机油沾染物和废催化剂。</w:t>
                  </w:r>
                </w:p>
              </w:tc>
              <w:tc>
                <w:tcPr>
                  <w:tcW w:w="699" w:type="pct"/>
                  <w:vAlign w:val="center"/>
                </w:tcPr>
                <w:p w14:paraId="44759F30">
                  <w:pPr>
                    <w:spacing w:line="240" w:lineRule="auto"/>
                    <w:ind w:firstLine="0" w:firstLineChars="0"/>
                    <w:jc w:val="center"/>
                    <w:rPr>
                      <w:sz w:val="21"/>
                      <w:szCs w:val="21"/>
                    </w:rPr>
                  </w:pPr>
                  <w:r>
                    <w:rPr>
                      <w:rFonts w:hint="eastAsia"/>
                      <w:sz w:val="21"/>
                      <w:szCs w:val="21"/>
                    </w:rPr>
                    <w:t>2</w:t>
                  </w:r>
                </w:p>
              </w:tc>
              <w:tc>
                <w:tcPr>
                  <w:tcW w:w="271" w:type="pct"/>
                  <w:vAlign w:val="center"/>
                </w:tcPr>
                <w:p w14:paraId="6F68CAAD">
                  <w:pPr>
                    <w:widowControl/>
                    <w:snapToGrid w:val="0"/>
                    <w:spacing w:line="240" w:lineRule="auto"/>
                    <w:ind w:firstLine="0" w:firstLineChars="0"/>
                    <w:jc w:val="center"/>
                    <w:rPr>
                      <w:rFonts w:hint="eastAsia" w:ascii="宋体" w:hAnsi="宋体" w:cs="宋体"/>
                      <w:kern w:val="0"/>
                      <w:sz w:val="21"/>
                      <w:szCs w:val="21"/>
                    </w:rPr>
                  </w:pPr>
                  <w:r>
                    <w:rPr>
                      <w:rFonts w:hint="eastAsia" w:ascii="宋体" w:hAnsi="宋体" w:cs="宋体"/>
                      <w:kern w:val="0"/>
                      <w:sz w:val="21"/>
                      <w:szCs w:val="21"/>
                    </w:rPr>
                    <w:t>/</w:t>
                  </w:r>
                </w:p>
              </w:tc>
            </w:tr>
            <w:tr w14:paraId="0D00F8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830" w:type="pct"/>
                  <w:vAlign w:val="center"/>
                </w:tcPr>
                <w:p w14:paraId="4C2E1304">
                  <w:pPr>
                    <w:spacing w:line="240" w:lineRule="auto"/>
                    <w:ind w:firstLine="0" w:firstLineChars="0"/>
                    <w:jc w:val="center"/>
                    <w:rPr>
                      <w:b/>
                      <w:bCs/>
                      <w:sz w:val="21"/>
                      <w:szCs w:val="21"/>
                    </w:rPr>
                  </w:pPr>
                  <w:r>
                    <w:rPr>
                      <w:b/>
                      <w:bCs/>
                      <w:sz w:val="21"/>
                      <w:szCs w:val="21"/>
                    </w:rPr>
                    <w:t>地下水防治</w:t>
                  </w:r>
                </w:p>
              </w:tc>
              <w:tc>
                <w:tcPr>
                  <w:tcW w:w="3200" w:type="pct"/>
                  <w:vAlign w:val="center"/>
                </w:tcPr>
                <w:p w14:paraId="1E9C70FF">
                  <w:pPr>
                    <w:spacing w:line="240" w:lineRule="auto"/>
                    <w:ind w:firstLine="0" w:firstLineChars="0"/>
                    <w:jc w:val="left"/>
                    <w:rPr>
                      <w:sz w:val="21"/>
                      <w:szCs w:val="21"/>
                    </w:rPr>
                  </w:pPr>
                  <w:r>
                    <w:rPr>
                      <w:rFonts w:hint="eastAsia"/>
                      <w:sz w:val="21"/>
                      <w:szCs w:val="21"/>
                    </w:rPr>
                    <w:t>实施分区防渗：</w:t>
                  </w:r>
                </w:p>
                <w:p w14:paraId="72A7B9BB">
                  <w:pPr>
                    <w:spacing w:line="240" w:lineRule="auto"/>
                    <w:ind w:firstLine="0" w:firstLineChars="0"/>
                    <w:jc w:val="left"/>
                    <w:rPr>
                      <w:sz w:val="21"/>
                      <w:szCs w:val="21"/>
                    </w:rPr>
                  </w:pPr>
                  <w:r>
                    <w:rPr>
                      <w:rFonts w:hint="eastAsia"/>
                      <w:sz w:val="21"/>
                      <w:szCs w:val="21"/>
                    </w:rPr>
                    <w:t>重点防渗区为危废暂存间和氨水储罐区，防渗措施为环氧树脂防渗膜+防渗混凝土；</w:t>
                  </w:r>
                </w:p>
                <w:p w14:paraId="278D25A2">
                  <w:pPr>
                    <w:spacing w:line="240" w:lineRule="auto"/>
                    <w:ind w:firstLine="0" w:firstLineChars="0"/>
                    <w:jc w:val="left"/>
                    <w:rPr>
                      <w:sz w:val="21"/>
                      <w:szCs w:val="21"/>
                    </w:rPr>
                  </w:pPr>
                  <w:r>
                    <w:rPr>
                      <w:rFonts w:hint="eastAsia"/>
                      <w:sz w:val="21"/>
                      <w:szCs w:val="21"/>
                    </w:rPr>
                    <w:t>一般防渗区为沉淀池、冷却循环水池、预处理池、雨水收集池、消防水池，防渗措施为防渗混凝土；</w:t>
                  </w:r>
                </w:p>
                <w:p w14:paraId="6CE98480">
                  <w:pPr>
                    <w:spacing w:line="240" w:lineRule="auto"/>
                    <w:ind w:firstLine="0" w:firstLineChars="0"/>
                    <w:rPr>
                      <w:sz w:val="21"/>
                      <w:szCs w:val="21"/>
                    </w:rPr>
                  </w:pPr>
                  <w:r>
                    <w:rPr>
                      <w:rFonts w:hint="eastAsia"/>
                      <w:sz w:val="21"/>
                      <w:szCs w:val="21"/>
                    </w:rPr>
                    <w:t>简单防渗区位除上述以外的其他区域，防渗措施为水泥地面。</w:t>
                  </w:r>
                </w:p>
              </w:tc>
              <w:tc>
                <w:tcPr>
                  <w:tcW w:w="699" w:type="pct"/>
                  <w:vAlign w:val="center"/>
                </w:tcPr>
                <w:p w14:paraId="558D1BBC">
                  <w:pPr>
                    <w:spacing w:line="240" w:lineRule="auto"/>
                    <w:ind w:firstLine="0" w:firstLineChars="0"/>
                    <w:jc w:val="center"/>
                    <w:rPr>
                      <w:sz w:val="21"/>
                      <w:szCs w:val="21"/>
                    </w:rPr>
                  </w:pPr>
                  <w:r>
                    <w:rPr>
                      <w:rFonts w:hint="eastAsia"/>
                      <w:sz w:val="21"/>
                      <w:szCs w:val="21"/>
                    </w:rPr>
                    <w:t>15</w:t>
                  </w:r>
                </w:p>
              </w:tc>
              <w:tc>
                <w:tcPr>
                  <w:tcW w:w="271" w:type="pct"/>
                  <w:vAlign w:val="center"/>
                </w:tcPr>
                <w:p w14:paraId="216DD13E">
                  <w:pPr>
                    <w:spacing w:line="240" w:lineRule="auto"/>
                    <w:ind w:firstLine="0" w:firstLineChars="0"/>
                    <w:jc w:val="center"/>
                    <w:rPr>
                      <w:sz w:val="21"/>
                      <w:szCs w:val="21"/>
                    </w:rPr>
                  </w:pPr>
                </w:p>
              </w:tc>
            </w:tr>
            <w:tr w14:paraId="584FC0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830" w:type="pct"/>
                  <w:vAlign w:val="center"/>
                </w:tcPr>
                <w:p w14:paraId="793B3A09">
                  <w:pPr>
                    <w:spacing w:line="240" w:lineRule="auto"/>
                    <w:ind w:firstLine="0" w:firstLineChars="0"/>
                    <w:jc w:val="center"/>
                    <w:rPr>
                      <w:b/>
                      <w:bCs/>
                      <w:sz w:val="21"/>
                      <w:szCs w:val="21"/>
                    </w:rPr>
                  </w:pPr>
                  <w:r>
                    <w:rPr>
                      <w:b/>
                      <w:bCs/>
                      <w:sz w:val="21"/>
                      <w:szCs w:val="21"/>
                    </w:rPr>
                    <w:t>风险防范措施</w:t>
                  </w:r>
                </w:p>
              </w:tc>
              <w:tc>
                <w:tcPr>
                  <w:tcW w:w="3200" w:type="pct"/>
                  <w:vAlign w:val="center"/>
                </w:tcPr>
                <w:p w14:paraId="702E72BD">
                  <w:pPr>
                    <w:spacing w:line="240" w:lineRule="auto"/>
                    <w:ind w:firstLine="0" w:firstLineChars="0"/>
                    <w:rPr>
                      <w:sz w:val="21"/>
                      <w:szCs w:val="21"/>
                    </w:rPr>
                  </w:pPr>
                  <w:r>
                    <w:rPr>
                      <w:rFonts w:hint="eastAsia"/>
                      <w:sz w:val="21"/>
                      <w:szCs w:val="21"/>
                    </w:rPr>
                    <w:t>立环保机构，安全设施、环保设施、消防器材等进行定期检查，制定环境风险应急预案；</w:t>
                  </w:r>
                </w:p>
                <w:p w14:paraId="40F4A616">
                  <w:pPr>
                    <w:spacing w:line="240" w:lineRule="auto"/>
                    <w:ind w:firstLine="0" w:firstLineChars="0"/>
                    <w:rPr>
                      <w:sz w:val="21"/>
                      <w:szCs w:val="21"/>
                      <w:highlight w:val="yellow"/>
                    </w:rPr>
                  </w:pPr>
                  <w:r>
                    <w:rPr>
                      <w:rFonts w:hint="eastAsia"/>
                      <w:sz w:val="21"/>
                      <w:szCs w:val="21"/>
                    </w:rPr>
                    <w:t>加强机油、柴油等原辅材料的运输、使用、暂存管理；氨水储罐区和危废暂存间将作为重点防渗区，达到相应防渗要求，同时设置围堰，设立标志标识等。</w:t>
                  </w:r>
                </w:p>
              </w:tc>
              <w:tc>
                <w:tcPr>
                  <w:tcW w:w="699" w:type="pct"/>
                  <w:vAlign w:val="center"/>
                </w:tcPr>
                <w:p w14:paraId="0494635A">
                  <w:pPr>
                    <w:spacing w:line="240" w:lineRule="auto"/>
                    <w:ind w:firstLine="0" w:firstLineChars="0"/>
                    <w:jc w:val="center"/>
                    <w:rPr>
                      <w:sz w:val="21"/>
                      <w:szCs w:val="21"/>
                    </w:rPr>
                  </w:pPr>
                  <w:r>
                    <w:rPr>
                      <w:rFonts w:hint="eastAsia"/>
                      <w:sz w:val="21"/>
                      <w:szCs w:val="21"/>
                    </w:rPr>
                    <w:t>2</w:t>
                  </w:r>
                </w:p>
              </w:tc>
              <w:tc>
                <w:tcPr>
                  <w:tcW w:w="271" w:type="pct"/>
                  <w:vAlign w:val="center"/>
                </w:tcPr>
                <w:p w14:paraId="4BB42081">
                  <w:pPr>
                    <w:spacing w:line="240" w:lineRule="auto"/>
                    <w:ind w:firstLine="0" w:firstLineChars="0"/>
                    <w:jc w:val="center"/>
                    <w:rPr>
                      <w:sz w:val="21"/>
                      <w:szCs w:val="21"/>
                    </w:rPr>
                  </w:pPr>
                  <w:r>
                    <w:rPr>
                      <w:rFonts w:hint="eastAsia"/>
                      <w:sz w:val="21"/>
                      <w:szCs w:val="21"/>
                    </w:rPr>
                    <w:t>/</w:t>
                  </w:r>
                </w:p>
              </w:tc>
            </w:tr>
            <w:tr w14:paraId="0FE3C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74" w:hRule="atLeast"/>
                <w:jc w:val="center"/>
              </w:trPr>
              <w:tc>
                <w:tcPr>
                  <w:tcW w:w="830" w:type="pct"/>
                  <w:vAlign w:val="center"/>
                </w:tcPr>
                <w:p w14:paraId="068BFA28">
                  <w:pPr>
                    <w:spacing w:line="240" w:lineRule="auto"/>
                    <w:ind w:firstLine="0" w:firstLineChars="0"/>
                    <w:jc w:val="center"/>
                    <w:rPr>
                      <w:b/>
                      <w:bCs/>
                      <w:sz w:val="21"/>
                      <w:szCs w:val="21"/>
                    </w:rPr>
                  </w:pPr>
                  <w:r>
                    <w:rPr>
                      <w:b/>
                      <w:bCs/>
                      <w:sz w:val="21"/>
                      <w:szCs w:val="21"/>
                    </w:rPr>
                    <w:t>合计</w:t>
                  </w:r>
                </w:p>
              </w:tc>
              <w:tc>
                <w:tcPr>
                  <w:tcW w:w="3200" w:type="pct"/>
                  <w:vAlign w:val="center"/>
                </w:tcPr>
                <w:p w14:paraId="43087D6A">
                  <w:pPr>
                    <w:spacing w:line="240" w:lineRule="auto"/>
                    <w:ind w:firstLine="0" w:firstLineChars="0"/>
                    <w:jc w:val="center"/>
                    <w:rPr>
                      <w:sz w:val="21"/>
                      <w:szCs w:val="21"/>
                    </w:rPr>
                  </w:pPr>
                  <w:r>
                    <w:rPr>
                      <w:sz w:val="21"/>
                      <w:szCs w:val="21"/>
                    </w:rPr>
                    <w:t>/</w:t>
                  </w:r>
                </w:p>
              </w:tc>
              <w:tc>
                <w:tcPr>
                  <w:tcW w:w="699" w:type="pct"/>
                  <w:vAlign w:val="center"/>
                </w:tcPr>
                <w:p w14:paraId="37C01DC8">
                  <w:pPr>
                    <w:spacing w:line="240" w:lineRule="auto"/>
                    <w:ind w:firstLine="0" w:firstLineChars="0"/>
                    <w:jc w:val="center"/>
                    <w:rPr>
                      <w:sz w:val="21"/>
                      <w:szCs w:val="21"/>
                    </w:rPr>
                  </w:pPr>
                  <w:r>
                    <w:rPr>
                      <w:rFonts w:hint="eastAsia"/>
                      <w:sz w:val="21"/>
                      <w:szCs w:val="21"/>
                    </w:rPr>
                    <w:t>989</w:t>
                  </w:r>
                </w:p>
              </w:tc>
              <w:tc>
                <w:tcPr>
                  <w:tcW w:w="271" w:type="pct"/>
                  <w:vAlign w:val="center"/>
                </w:tcPr>
                <w:p w14:paraId="60434610">
                  <w:pPr>
                    <w:spacing w:line="240" w:lineRule="auto"/>
                    <w:ind w:firstLine="0" w:firstLineChars="0"/>
                    <w:jc w:val="center"/>
                    <w:rPr>
                      <w:sz w:val="21"/>
                      <w:szCs w:val="21"/>
                    </w:rPr>
                  </w:pPr>
                  <w:r>
                    <w:rPr>
                      <w:rFonts w:hint="eastAsia"/>
                      <w:sz w:val="21"/>
                      <w:szCs w:val="21"/>
                    </w:rPr>
                    <w:t>/</w:t>
                  </w:r>
                </w:p>
              </w:tc>
            </w:tr>
            <w:bookmarkEnd w:id="14"/>
          </w:tbl>
          <w:p w14:paraId="315AD9DC">
            <w:pPr>
              <w:ind w:firstLine="480"/>
            </w:pPr>
          </w:p>
        </w:tc>
      </w:tr>
    </w:tbl>
    <w:p w14:paraId="00D17EDA">
      <w:pPr>
        <w:ind w:firstLine="480"/>
        <w:sectPr>
          <w:pgSz w:w="11906" w:h="16838"/>
          <w:pgMar w:top="1440" w:right="1800" w:bottom="1440" w:left="1800" w:header="851" w:footer="992" w:gutter="0"/>
          <w:cols w:space="425" w:num="1"/>
          <w:docGrid w:type="lines" w:linePitch="326" w:charSpace="0"/>
        </w:sectPr>
      </w:pPr>
    </w:p>
    <w:p w14:paraId="7FFC2E55">
      <w:pPr>
        <w:pStyle w:val="2"/>
        <w:rPr>
          <w:snapToGrid w:val="0"/>
        </w:rPr>
      </w:pPr>
      <w:r>
        <w:rPr>
          <w:snapToGrid w:val="0"/>
        </w:rPr>
        <w:t>五、</w:t>
      </w:r>
      <w:bookmarkStart w:id="15" w:name="_Hlk54167917"/>
      <w:r>
        <w:rPr>
          <w:snapToGrid w:val="0"/>
        </w:rPr>
        <w:t>环境保护措施监督检查清单</w:t>
      </w:r>
      <w:bookmarkEnd w:id="15"/>
    </w:p>
    <w:tbl>
      <w:tblPr>
        <w:tblStyle w:val="22"/>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408"/>
        <w:gridCol w:w="1134"/>
        <w:gridCol w:w="992"/>
        <w:gridCol w:w="2835"/>
        <w:gridCol w:w="2431"/>
      </w:tblGrid>
      <w:tr w14:paraId="6D1C95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08" w:type="dxa"/>
            <w:tcBorders>
              <w:tl2br w:val="single" w:color="auto" w:sz="4" w:space="0"/>
            </w:tcBorders>
            <w:vAlign w:val="center"/>
          </w:tcPr>
          <w:p w14:paraId="088A7B7A">
            <w:pPr>
              <w:pStyle w:val="58"/>
              <w:jc w:val="center"/>
            </w:pPr>
            <w:r>
              <w:t>内容</w:t>
            </w:r>
          </w:p>
          <w:p w14:paraId="43AFBB6E">
            <w:pPr>
              <w:pStyle w:val="58"/>
              <w:jc w:val="center"/>
            </w:pPr>
          </w:p>
          <w:p w14:paraId="47B64912">
            <w:pPr>
              <w:pStyle w:val="58"/>
              <w:jc w:val="center"/>
            </w:pPr>
          </w:p>
          <w:p w14:paraId="371E16C6">
            <w:pPr>
              <w:pStyle w:val="58"/>
              <w:jc w:val="center"/>
            </w:pPr>
          </w:p>
          <w:p w14:paraId="185C7E9A">
            <w:pPr>
              <w:pStyle w:val="58"/>
            </w:pPr>
            <w:r>
              <w:t>要素</w:t>
            </w:r>
          </w:p>
        </w:tc>
        <w:tc>
          <w:tcPr>
            <w:tcW w:w="1134" w:type="dxa"/>
            <w:vAlign w:val="center"/>
          </w:tcPr>
          <w:p w14:paraId="2F71972A">
            <w:pPr>
              <w:pStyle w:val="58"/>
              <w:jc w:val="center"/>
            </w:pPr>
            <w:r>
              <w:t>排放口（编号、名称）/污染源</w:t>
            </w:r>
          </w:p>
        </w:tc>
        <w:tc>
          <w:tcPr>
            <w:tcW w:w="992" w:type="dxa"/>
            <w:vAlign w:val="center"/>
          </w:tcPr>
          <w:p w14:paraId="33C0E918">
            <w:pPr>
              <w:pStyle w:val="58"/>
              <w:jc w:val="center"/>
            </w:pPr>
            <w:r>
              <w:t>污染物项目</w:t>
            </w:r>
          </w:p>
        </w:tc>
        <w:tc>
          <w:tcPr>
            <w:tcW w:w="2835" w:type="dxa"/>
            <w:vAlign w:val="center"/>
          </w:tcPr>
          <w:p w14:paraId="0ABB1876">
            <w:pPr>
              <w:pStyle w:val="58"/>
              <w:jc w:val="center"/>
            </w:pPr>
            <w:r>
              <w:t>环境保护措施</w:t>
            </w:r>
          </w:p>
        </w:tc>
        <w:tc>
          <w:tcPr>
            <w:tcW w:w="2431" w:type="dxa"/>
            <w:vAlign w:val="center"/>
          </w:tcPr>
          <w:p w14:paraId="46A61912">
            <w:pPr>
              <w:pStyle w:val="58"/>
              <w:jc w:val="center"/>
            </w:pPr>
            <w:r>
              <w:t>执行标准</w:t>
            </w:r>
          </w:p>
        </w:tc>
      </w:tr>
      <w:tr w14:paraId="32F353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0" w:hRule="atLeast"/>
          <w:jc w:val="center"/>
        </w:trPr>
        <w:tc>
          <w:tcPr>
            <w:tcW w:w="1408" w:type="dxa"/>
            <w:vMerge w:val="restart"/>
            <w:vAlign w:val="center"/>
          </w:tcPr>
          <w:p w14:paraId="7CAD2BD3">
            <w:pPr>
              <w:pStyle w:val="58"/>
              <w:rPr>
                <w:b w:val="0"/>
                <w:bCs w:val="0"/>
              </w:rPr>
            </w:pPr>
            <w:r>
              <w:rPr>
                <w:b w:val="0"/>
                <w:bCs w:val="0"/>
              </w:rPr>
              <w:t>大气环境</w:t>
            </w:r>
          </w:p>
        </w:tc>
        <w:tc>
          <w:tcPr>
            <w:tcW w:w="1134" w:type="dxa"/>
            <w:vAlign w:val="center"/>
          </w:tcPr>
          <w:p w14:paraId="1A772BE0">
            <w:pPr>
              <w:pStyle w:val="58"/>
              <w:rPr>
                <w:b w:val="0"/>
                <w:bCs w:val="0"/>
              </w:rPr>
            </w:pPr>
            <w:r>
              <w:rPr>
                <w:b w:val="0"/>
                <w:bCs w:val="0"/>
              </w:rPr>
              <w:t>DA00</w:t>
            </w:r>
            <w:r>
              <w:rPr>
                <w:rFonts w:hint="eastAsia"/>
                <w:b w:val="0"/>
                <w:bCs w:val="0"/>
              </w:rPr>
              <w:t>1</w:t>
            </w:r>
          </w:p>
        </w:tc>
        <w:tc>
          <w:tcPr>
            <w:tcW w:w="992" w:type="dxa"/>
            <w:vMerge w:val="restart"/>
            <w:vAlign w:val="center"/>
          </w:tcPr>
          <w:p w14:paraId="68DAEB57">
            <w:pPr>
              <w:pStyle w:val="58"/>
              <w:rPr>
                <w:b w:val="0"/>
                <w:bCs w:val="0"/>
              </w:rPr>
            </w:pPr>
            <w:r>
              <w:rPr>
                <w:rFonts w:hint="eastAsia"/>
                <w:b w:val="0"/>
                <w:bCs w:val="0"/>
              </w:rPr>
              <w:t>颗粒物、氮氧化物、二氧化硫</w:t>
            </w:r>
          </w:p>
        </w:tc>
        <w:tc>
          <w:tcPr>
            <w:tcW w:w="2835" w:type="dxa"/>
            <w:vMerge w:val="restart"/>
            <w:vAlign w:val="center"/>
          </w:tcPr>
          <w:p w14:paraId="318366F0">
            <w:pPr>
              <w:spacing w:line="240" w:lineRule="auto"/>
              <w:ind w:firstLine="0" w:firstLineChars="0"/>
              <w:rPr>
                <w:sz w:val="21"/>
                <w:szCs w:val="20"/>
              </w:rPr>
            </w:pPr>
            <w:r>
              <w:rPr>
                <w:rFonts w:hint="eastAsia"/>
                <w:sz w:val="21"/>
                <w:szCs w:val="20"/>
              </w:rPr>
              <w:t>每台锅炉配套1套尾气处理装置（低氮燃烧+SCR脱硝+喷淋式水膜除尘器），全厂共4套尾气处理装置，每2套尾气处理装置共用1根26m高排气筒，全厂共2根排气筒（DA001和DA002）</w:t>
            </w:r>
          </w:p>
        </w:tc>
        <w:tc>
          <w:tcPr>
            <w:tcW w:w="2431" w:type="dxa"/>
            <w:vMerge w:val="restart"/>
            <w:vAlign w:val="center"/>
          </w:tcPr>
          <w:p w14:paraId="1910C21B">
            <w:pPr>
              <w:pStyle w:val="58"/>
              <w:rPr>
                <w:b w:val="0"/>
                <w:bCs w:val="0"/>
              </w:rPr>
            </w:pPr>
            <w:r>
              <w:rPr>
                <w:b w:val="0"/>
                <w:bCs w:val="0"/>
              </w:rPr>
              <w:t>《锅炉大气污染物排放标准》</w:t>
            </w:r>
            <w:r>
              <w:rPr>
                <w:rFonts w:hint="eastAsia"/>
                <w:b w:val="0"/>
                <w:bCs w:val="0"/>
              </w:rPr>
              <w:t>（</w:t>
            </w:r>
            <w:r>
              <w:rPr>
                <w:b w:val="0"/>
                <w:bCs w:val="0"/>
              </w:rPr>
              <w:t>GB13271-2014</w:t>
            </w:r>
            <w:r>
              <w:rPr>
                <w:rFonts w:hint="eastAsia"/>
                <w:b w:val="0"/>
                <w:bCs w:val="0"/>
              </w:rPr>
              <w:t>）</w:t>
            </w:r>
          </w:p>
        </w:tc>
      </w:tr>
      <w:tr w14:paraId="1202E5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1408" w:type="dxa"/>
            <w:vMerge w:val="continue"/>
            <w:vAlign w:val="center"/>
          </w:tcPr>
          <w:p w14:paraId="3BC92A93">
            <w:pPr>
              <w:pStyle w:val="58"/>
              <w:rPr>
                <w:b w:val="0"/>
                <w:bCs w:val="0"/>
              </w:rPr>
            </w:pPr>
          </w:p>
        </w:tc>
        <w:tc>
          <w:tcPr>
            <w:tcW w:w="1134" w:type="dxa"/>
            <w:vAlign w:val="center"/>
          </w:tcPr>
          <w:p w14:paraId="2F732078">
            <w:pPr>
              <w:pStyle w:val="58"/>
              <w:rPr>
                <w:b w:val="0"/>
                <w:bCs w:val="0"/>
              </w:rPr>
            </w:pPr>
            <w:r>
              <w:rPr>
                <w:rFonts w:hint="eastAsia"/>
                <w:b w:val="0"/>
                <w:bCs w:val="0"/>
              </w:rPr>
              <w:t>DA002</w:t>
            </w:r>
          </w:p>
        </w:tc>
        <w:tc>
          <w:tcPr>
            <w:tcW w:w="992" w:type="dxa"/>
            <w:vMerge w:val="continue"/>
            <w:vAlign w:val="center"/>
          </w:tcPr>
          <w:p w14:paraId="6EB177FA">
            <w:pPr>
              <w:pStyle w:val="58"/>
              <w:rPr>
                <w:b w:val="0"/>
                <w:bCs w:val="0"/>
              </w:rPr>
            </w:pPr>
          </w:p>
        </w:tc>
        <w:tc>
          <w:tcPr>
            <w:tcW w:w="2835" w:type="dxa"/>
            <w:vMerge w:val="continue"/>
            <w:vAlign w:val="center"/>
          </w:tcPr>
          <w:p w14:paraId="2954B09A">
            <w:pPr>
              <w:pStyle w:val="58"/>
              <w:rPr>
                <w:b w:val="0"/>
                <w:bCs w:val="0"/>
              </w:rPr>
            </w:pPr>
          </w:p>
        </w:tc>
        <w:tc>
          <w:tcPr>
            <w:tcW w:w="2431" w:type="dxa"/>
            <w:vMerge w:val="continue"/>
            <w:vAlign w:val="center"/>
          </w:tcPr>
          <w:p w14:paraId="3107C44F">
            <w:pPr>
              <w:pStyle w:val="58"/>
              <w:rPr>
                <w:b w:val="0"/>
                <w:bCs w:val="0"/>
              </w:rPr>
            </w:pPr>
          </w:p>
        </w:tc>
      </w:tr>
      <w:tr w14:paraId="31BA7B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08" w:type="dxa"/>
            <w:vMerge w:val="continue"/>
            <w:vAlign w:val="center"/>
          </w:tcPr>
          <w:p w14:paraId="143171DE">
            <w:pPr>
              <w:pStyle w:val="58"/>
              <w:rPr>
                <w:b w:val="0"/>
                <w:bCs w:val="0"/>
              </w:rPr>
            </w:pPr>
          </w:p>
        </w:tc>
        <w:tc>
          <w:tcPr>
            <w:tcW w:w="1134" w:type="dxa"/>
            <w:vAlign w:val="center"/>
          </w:tcPr>
          <w:p w14:paraId="47EA1396">
            <w:pPr>
              <w:pStyle w:val="58"/>
              <w:rPr>
                <w:b w:val="0"/>
                <w:bCs w:val="0"/>
              </w:rPr>
            </w:pPr>
            <w:r>
              <w:rPr>
                <w:rFonts w:hint="eastAsia"/>
                <w:b w:val="0"/>
                <w:bCs w:val="0"/>
              </w:rPr>
              <w:t>厂界</w:t>
            </w:r>
          </w:p>
        </w:tc>
        <w:tc>
          <w:tcPr>
            <w:tcW w:w="992" w:type="dxa"/>
            <w:vMerge w:val="continue"/>
            <w:vAlign w:val="center"/>
          </w:tcPr>
          <w:p w14:paraId="79FE3555">
            <w:pPr>
              <w:pStyle w:val="58"/>
              <w:rPr>
                <w:b w:val="0"/>
                <w:bCs w:val="0"/>
              </w:rPr>
            </w:pPr>
          </w:p>
        </w:tc>
        <w:tc>
          <w:tcPr>
            <w:tcW w:w="2835" w:type="dxa"/>
            <w:vAlign w:val="center"/>
          </w:tcPr>
          <w:p w14:paraId="285107E6">
            <w:pPr>
              <w:pStyle w:val="58"/>
              <w:rPr>
                <w:b w:val="0"/>
                <w:bCs w:val="0"/>
              </w:rPr>
            </w:pPr>
            <w:r>
              <w:rPr>
                <w:rFonts w:hint="eastAsia"/>
                <w:b w:val="0"/>
                <w:bCs w:val="0"/>
              </w:rPr>
              <w:t>/</w:t>
            </w:r>
          </w:p>
        </w:tc>
        <w:tc>
          <w:tcPr>
            <w:tcW w:w="2431" w:type="dxa"/>
            <w:vMerge w:val="continue"/>
            <w:vAlign w:val="center"/>
          </w:tcPr>
          <w:p w14:paraId="47A8CC82">
            <w:pPr>
              <w:pStyle w:val="58"/>
              <w:rPr>
                <w:b w:val="0"/>
                <w:bCs w:val="0"/>
              </w:rPr>
            </w:pPr>
          </w:p>
        </w:tc>
      </w:tr>
      <w:tr w14:paraId="26614A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08" w:type="dxa"/>
            <w:vMerge w:val="restart"/>
            <w:vAlign w:val="center"/>
          </w:tcPr>
          <w:p w14:paraId="5A2B785A">
            <w:pPr>
              <w:pStyle w:val="58"/>
              <w:rPr>
                <w:b w:val="0"/>
                <w:bCs w:val="0"/>
              </w:rPr>
            </w:pPr>
            <w:r>
              <w:rPr>
                <w:b w:val="0"/>
                <w:bCs w:val="0"/>
              </w:rPr>
              <w:t>地表水环境</w:t>
            </w:r>
          </w:p>
        </w:tc>
        <w:tc>
          <w:tcPr>
            <w:tcW w:w="1134" w:type="dxa"/>
            <w:vAlign w:val="center"/>
          </w:tcPr>
          <w:p w14:paraId="50B50696">
            <w:pPr>
              <w:pStyle w:val="58"/>
              <w:rPr>
                <w:b w:val="0"/>
                <w:bCs w:val="0"/>
              </w:rPr>
            </w:pPr>
            <w:r>
              <w:rPr>
                <w:rFonts w:hint="eastAsia"/>
                <w:b w:val="0"/>
                <w:bCs w:val="0"/>
              </w:rPr>
              <w:t>生活污水</w:t>
            </w:r>
          </w:p>
        </w:tc>
        <w:tc>
          <w:tcPr>
            <w:tcW w:w="992" w:type="dxa"/>
            <w:vAlign w:val="center"/>
          </w:tcPr>
          <w:p w14:paraId="4BCA85ED">
            <w:pPr>
              <w:pStyle w:val="58"/>
              <w:rPr>
                <w:b w:val="0"/>
                <w:bCs w:val="0"/>
              </w:rPr>
            </w:pPr>
            <w:r>
              <w:rPr>
                <w:b w:val="0"/>
                <w:bCs w:val="0"/>
              </w:rPr>
              <w:t>COD、BOD</w:t>
            </w:r>
            <w:r>
              <w:rPr>
                <w:b w:val="0"/>
                <w:bCs w:val="0"/>
                <w:vertAlign w:val="subscript"/>
              </w:rPr>
              <w:t>5</w:t>
            </w:r>
            <w:r>
              <w:rPr>
                <w:b w:val="0"/>
                <w:bCs w:val="0"/>
              </w:rPr>
              <w:t>、SS、NH</w:t>
            </w:r>
            <w:r>
              <w:rPr>
                <w:b w:val="0"/>
                <w:bCs w:val="0"/>
                <w:vertAlign w:val="subscript"/>
              </w:rPr>
              <w:t>3</w:t>
            </w:r>
            <w:r>
              <w:rPr>
                <w:b w:val="0"/>
                <w:bCs w:val="0"/>
              </w:rPr>
              <w:t>-N等</w:t>
            </w:r>
          </w:p>
        </w:tc>
        <w:tc>
          <w:tcPr>
            <w:tcW w:w="2835" w:type="dxa"/>
            <w:vAlign w:val="center"/>
          </w:tcPr>
          <w:p w14:paraId="3380C258">
            <w:pPr>
              <w:pStyle w:val="58"/>
              <w:rPr>
                <w:b w:val="0"/>
                <w:bCs w:val="0"/>
              </w:rPr>
            </w:pPr>
            <w:r>
              <w:rPr>
                <w:rFonts w:hint="eastAsia"/>
                <w:b w:val="0"/>
                <w:bCs w:val="0"/>
              </w:rPr>
              <w:t>经预处理池（6m</w:t>
            </w:r>
            <w:r>
              <w:rPr>
                <w:rFonts w:hint="eastAsia"/>
                <w:b w:val="0"/>
                <w:bCs w:val="0"/>
                <w:vertAlign w:val="superscript"/>
              </w:rPr>
              <w:t>3</w:t>
            </w:r>
            <w:r>
              <w:rPr>
                <w:rFonts w:hint="eastAsia"/>
                <w:b w:val="0"/>
                <w:bCs w:val="0"/>
              </w:rPr>
              <w:t>）处理后进入市政污水管网，再进入大英经济开发区污水处理厂，最终排入郪江。</w:t>
            </w:r>
          </w:p>
        </w:tc>
        <w:tc>
          <w:tcPr>
            <w:tcW w:w="2431" w:type="dxa"/>
            <w:vMerge w:val="restart"/>
            <w:vAlign w:val="center"/>
          </w:tcPr>
          <w:p w14:paraId="6DAC7D5D">
            <w:pPr>
              <w:pStyle w:val="58"/>
              <w:rPr>
                <w:b w:val="0"/>
                <w:bCs w:val="0"/>
              </w:rPr>
            </w:pPr>
            <w:r>
              <w:rPr>
                <w:rFonts w:hint="eastAsia"/>
                <w:b w:val="0"/>
                <w:bCs w:val="0"/>
              </w:rPr>
              <w:t>《污水综合排放标准》（GB8978-1996）表</w:t>
            </w:r>
            <w:r>
              <w:rPr>
                <w:b w:val="0"/>
                <w:bCs w:val="0"/>
              </w:rPr>
              <w:t>4</w:t>
            </w:r>
            <w:r>
              <w:rPr>
                <w:rFonts w:hint="eastAsia"/>
                <w:b w:val="0"/>
                <w:bCs w:val="0"/>
              </w:rPr>
              <w:t>三级标准，氨氮参考《污水排入城镇下水道水质标准》（GB/T-31962-2015）表1中B级标准。</w:t>
            </w:r>
          </w:p>
          <w:p w14:paraId="0D5238FF">
            <w:pPr>
              <w:pStyle w:val="58"/>
              <w:rPr>
                <w:b w:val="0"/>
                <w:bCs w:val="0"/>
                <w:highlight w:val="yellow"/>
              </w:rPr>
            </w:pPr>
            <w:r>
              <w:rPr>
                <w:rFonts w:hint="eastAsia"/>
                <w:b w:val="0"/>
                <w:bCs w:val="0"/>
              </w:rPr>
              <w:t>用于绿化的水执行《城市污水再生利用 城市杂用水水质》（GB/T18920-2020）中表1城市绿化。</w:t>
            </w:r>
          </w:p>
        </w:tc>
      </w:tr>
      <w:tr w14:paraId="2ECE6F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08" w:type="dxa"/>
            <w:vMerge w:val="continue"/>
            <w:vAlign w:val="center"/>
          </w:tcPr>
          <w:p w14:paraId="7D7F9534">
            <w:pPr>
              <w:pStyle w:val="58"/>
              <w:rPr>
                <w:b w:val="0"/>
                <w:bCs w:val="0"/>
              </w:rPr>
            </w:pPr>
          </w:p>
        </w:tc>
        <w:tc>
          <w:tcPr>
            <w:tcW w:w="1134" w:type="dxa"/>
            <w:vAlign w:val="center"/>
          </w:tcPr>
          <w:p w14:paraId="228BD9F6">
            <w:pPr>
              <w:pStyle w:val="58"/>
              <w:rPr>
                <w:b w:val="0"/>
                <w:bCs w:val="0"/>
              </w:rPr>
            </w:pPr>
            <w:r>
              <w:rPr>
                <w:rFonts w:hint="eastAsia"/>
                <w:b w:val="0"/>
                <w:bCs w:val="0"/>
              </w:rPr>
              <w:t>锅炉排污水</w:t>
            </w:r>
          </w:p>
        </w:tc>
        <w:tc>
          <w:tcPr>
            <w:tcW w:w="992" w:type="dxa"/>
            <w:vAlign w:val="center"/>
          </w:tcPr>
          <w:p w14:paraId="6A3585C3">
            <w:pPr>
              <w:pStyle w:val="58"/>
              <w:rPr>
                <w:b w:val="0"/>
                <w:bCs w:val="0"/>
              </w:rPr>
            </w:pPr>
            <w:r>
              <w:rPr>
                <w:rFonts w:hint="eastAsia"/>
                <w:b w:val="0"/>
                <w:bCs w:val="0"/>
              </w:rPr>
              <w:t>/</w:t>
            </w:r>
          </w:p>
        </w:tc>
        <w:tc>
          <w:tcPr>
            <w:tcW w:w="2835" w:type="dxa"/>
            <w:vMerge w:val="restart"/>
            <w:vAlign w:val="center"/>
          </w:tcPr>
          <w:p w14:paraId="22596A0D">
            <w:pPr>
              <w:pStyle w:val="58"/>
              <w:rPr>
                <w:b w:val="0"/>
                <w:bCs w:val="0"/>
              </w:rPr>
            </w:pPr>
            <w:r>
              <w:rPr>
                <w:rFonts w:hint="eastAsia"/>
                <w:b w:val="0"/>
                <w:bCs w:val="0"/>
              </w:rPr>
              <w:t>建设单位拟建一个沉淀池（240m</w:t>
            </w:r>
            <w:r>
              <w:rPr>
                <w:rFonts w:hint="eastAsia"/>
                <w:b w:val="0"/>
                <w:bCs w:val="0"/>
                <w:vertAlign w:val="superscript"/>
              </w:rPr>
              <w:t>3</w:t>
            </w:r>
            <w:r>
              <w:rPr>
                <w:rFonts w:hint="eastAsia"/>
                <w:b w:val="0"/>
                <w:bCs w:val="0"/>
              </w:rPr>
              <w:t>）用于收集锅炉排污水和气化炉排水。收集的水优先用于厂区绿化和降尘用水，剩余的进入市政污水管网，再进入大英经济开发区污水处理厂，最终排入郪江。</w:t>
            </w:r>
          </w:p>
        </w:tc>
        <w:tc>
          <w:tcPr>
            <w:tcW w:w="2431" w:type="dxa"/>
            <w:vMerge w:val="continue"/>
            <w:vAlign w:val="center"/>
          </w:tcPr>
          <w:p w14:paraId="5B4630E4">
            <w:pPr>
              <w:pStyle w:val="58"/>
              <w:rPr>
                <w:b w:val="0"/>
                <w:bCs w:val="0"/>
              </w:rPr>
            </w:pPr>
          </w:p>
        </w:tc>
      </w:tr>
      <w:tr w14:paraId="32F9F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08" w:type="dxa"/>
            <w:vMerge w:val="continue"/>
            <w:vAlign w:val="center"/>
          </w:tcPr>
          <w:p w14:paraId="408CBF3C">
            <w:pPr>
              <w:pStyle w:val="58"/>
              <w:rPr>
                <w:b w:val="0"/>
                <w:bCs w:val="0"/>
              </w:rPr>
            </w:pPr>
          </w:p>
        </w:tc>
        <w:tc>
          <w:tcPr>
            <w:tcW w:w="1134" w:type="dxa"/>
            <w:vAlign w:val="center"/>
          </w:tcPr>
          <w:p w14:paraId="7291341D">
            <w:pPr>
              <w:pStyle w:val="58"/>
              <w:rPr>
                <w:b w:val="0"/>
                <w:bCs w:val="0"/>
              </w:rPr>
            </w:pPr>
            <w:r>
              <w:rPr>
                <w:rFonts w:hint="eastAsia"/>
                <w:b w:val="0"/>
                <w:bCs w:val="0"/>
              </w:rPr>
              <w:t>气化冷却水</w:t>
            </w:r>
          </w:p>
        </w:tc>
        <w:tc>
          <w:tcPr>
            <w:tcW w:w="992" w:type="dxa"/>
            <w:vAlign w:val="center"/>
          </w:tcPr>
          <w:p w14:paraId="47893C23">
            <w:pPr>
              <w:pStyle w:val="58"/>
              <w:rPr>
                <w:b w:val="0"/>
                <w:bCs w:val="0"/>
              </w:rPr>
            </w:pPr>
            <w:r>
              <w:rPr>
                <w:rFonts w:hint="eastAsia"/>
                <w:b w:val="0"/>
                <w:bCs w:val="0"/>
              </w:rPr>
              <w:t>/</w:t>
            </w:r>
          </w:p>
        </w:tc>
        <w:tc>
          <w:tcPr>
            <w:tcW w:w="2835" w:type="dxa"/>
            <w:vMerge w:val="continue"/>
            <w:vAlign w:val="center"/>
          </w:tcPr>
          <w:p w14:paraId="76D4F170">
            <w:pPr>
              <w:pStyle w:val="58"/>
              <w:rPr>
                <w:b w:val="0"/>
                <w:bCs w:val="0"/>
              </w:rPr>
            </w:pPr>
          </w:p>
        </w:tc>
        <w:tc>
          <w:tcPr>
            <w:tcW w:w="2431" w:type="dxa"/>
            <w:vMerge w:val="continue"/>
            <w:vAlign w:val="center"/>
          </w:tcPr>
          <w:p w14:paraId="623F5703">
            <w:pPr>
              <w:pStyle w:val="58"/>
              <w:rPr>
                <w:b w:val="0"/>
                <w:bCs w:val="0"/>
              </w:rPr>
            </w:pPr>
          </w:p>
        </w:tc>
      </w:tr>
      <w:tr w14:paraId="46B837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08" w:type="dxa"/>
            <w:vMerge w:val="continue"/>
            <w:vAlign w:val="center"/>
          </w:tcPr>
          <w:p w14:paraId="3B3A44FE">
            <w:pPr>
              <w:pStyle w:val="58"/>
              <w:rPr>
                <w:b w:val="0"/>
                <w:bCs w:val="0"/>
              </w:rPr>
            </w:pPr>
          </w:p>
        </w:tc>
        <w:tc>
          <w:tcPr>
            <w:tcW w:w="1134" w:type="dxa"/>
            <w:vAlign w:val="center"/>
          </w:tcPr>
          <w:p w14:paraId="45758FE0">
            <w:pPr>
              <w:pStyle w:val="58"/>
              <w:rPr>
                <w:b w:val="0"/>
                <w:bCs w:val="0"/>
              </w:rPr>
            </w:pPr>
            <w:r>
              <w:rPr>
                <w:rFonts w:hint="eastAsia"/>
                <w:b w:val="0"/>
                <w:bCs w:val="0"/>
              </w:rPr>
              <w:t>除尘设备用水</w:t>
            </w:r>
          </w:p>
        </w:tc>
        <w:tc>
          <w:tcPr>
            <w:tcW w:w="992" w:type="dxa"/>
            <w:vAlign w:val="center"/>
          </w:tcPr>
          <w:p w14:paraId="4A1D68C7">
            <w:pPr>
              <w:pStyle w:val="58"/>
              <w:rPr>
                <w:b w:val="0"/>
                <w:bCs w:val="0"/>
              </w:rPr>
            </w:pPr>
            <w:r>
              <w:rPr>
                <w:rFonts w:hint="eastAsia"/>
                <w:b w:val="0"/>
                <w:bCs w:val="0"/>
              </w:rPr>
              <w:t>/</w:t>
            </w:r>
          </w:p>
        </w:tc>
        <w:tc>
          <w:tcPr>
            <w:tcW w:w="2835" w:type="dxa"/>
            <w:vAlign w:val="center"/>
          </w:tcPr>
          <w:p w14:paraId="6549836A">
            <w:pPr>
              <w:pStyle w:val="58"/>
              <w:rPr>
                <w:b w:val="0"/>
                <w:bCs w:val="0"/>
              </w:rPr>
            </w:pPr>
            <w:r>
              <w:rPr>
                <w:rFonts w:hint="eastAsia"/>
                <w:b w:val="0"/>
                <w:bCs w:val="0"/>
              </w:rPr>
              <w:t>循环使用，不外排。</w:t>
            </w:r>
          </w:p>
        </w:tc>
        <w:tc>
          <w:tcPr>
            <w:tcW w:w="2431" w:type="dxa"/>
            <w:vAlign w:val="center"/>
          </w:tcPr>
          <w:p w14:paraId="504373A4">
            <w:pPr>
              <w:pStyle w:val="58"/>
              <w:rPr>
                <w:b w:val="0"/>
                <w:bCs w:val="0"/>
              </w:rPr>
            </w:pPr>
            <w:r>
              <w:rPr>
                <w:rFonts w:hint="eastAsia"/>
                <w:b w:val="0"/>
                <w:bCs w:val="0"/>
              </w:rPr>
              <w:t>/</w:t>
            </w:r>
          </w:p>
        </w:tc>
      </w:tr>
      <w:tr w14:paraId="5F9F70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08" w:type="dxa"/>
            <w:vAlign w:val="center"/>
          </w:tcPr>
          <w:p w14:paraId="242CF9A1">
            <w:pPr>
              <w:pStyle w:val="58"/>
              <w:rPr>
                <w:b w:val="0"/>
                <w:bCs w:val="0"/>
              </w:rPr>
            </w:pPr>
            <w:r>
              <w:rPr>
                <w:b w:val="0"/>
                <w:bCs w:val="0"/>
              </w:rPr>
              <w:t>声环境</w:t>
            </w:r>
          </w:p>
        </w:tc>
        <w:tc>
          <w:tcPr>
            <w:tcW w:w="1134" w:type="dxa"/>
            <w:vAlign w:val="center"/>
          </w:tcPr>
          <w:p w14:paraId="6C716BBA">
            <w:pPr>
              <w:pStyle w:val="58"/>
              <w:rPr>
                <w:b w:val="0"/>
                <w:bCs w:val="0"/>
              </w:rPr>
            </w:pPr>
            <w:r>
              <w:rPr>
                <w:b w:val="0"/>
                <w:bCs w:val="0"/>
              </w:rPr>
              <w:t>厂界</w:t>
            </w:r>
          </w:p>
        </w:tc>
        <w:tc>
          <w:tcPr>
            <w:tcW w:w="992" w:type="dxa"/>
            <w:vAlign w:val="center"/>
          </w:tcPr>
          <w:p w14:paraId="563EC165">
            <w:pPr>
              <w:pStyle w:val="58"/>
              <w:rPr>
                <w:b w:val="0"/>
                <w:bCs w:val="0"/>
              </w:rPr>
            </w:pPr>
            <w:r>
              <w:rPr>
                <w:b w:val="0"/>
                <w:bCs w:val="0"/>
              </w:rPr>
              <w:t>噪声</w:t>
            </w:r>
          </w:p>
        </w:tc>
        <w:tc>
          <w:tcPr>
            <w:tcW w:w="2835" w:type="dxa"/>
            <w:vAlign w:val="center"/>
          </w:tcPr>
          <w:p w14:paraId="408E1F3A">
            <w:pPr>
              <w:pStyle w:val="58"/>
              <w:rPr>
                <w:b w:val="0"/>
                <w:bCs w:val="0"/>
              </w:rPr>
            </w:pPr>
            <w:r>
              <w:rPr>
                <w:rFonts w:hint="eastAsia"/>
                <w:b w:val="0"/>
                <w:bCs w:val="0"/>
              </w:rPr>
              <w:t>选用低噪声设备，基础安装减震垫，厂房隔声</w:t>
            </w:r>
          </w:p>
        </w:tc>
        <w:tc>
          <w:tcPr>
            <w:tcW w:w="2431" w:type="dxa"/>
            <w:vAlign w:val="center"/>
          </w:tcPr>
          <w:p w14:paraId="2750BE40">
            <w:pPr>
              <w:pStyle w:val="58"/>
              <w:rPr>
                <w:b w:val="0"/>
                <w:bCs w:val="0"/>
              </w:rPr>
            </w:pPr>
            <w:r>
              <w:rPr>
                <w:b w:val="0"/>
                <w:bCs w:val="0"/>
              </w:rPr>
              <w:t>《工业企业厂界环境噪声排放标准》（GB12348-2008）中3类标准</w:t>
            </w:r>
          </w:p>
        </w:tc>
      </w:tr>
      <w:tr w14:paraId="3F40C80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408" w:type="dxa"/>
            <w:vAlign w:val="center"/>
          </w:tcPr>
          <w:p w14:paraId="02A5CAAC">
            <w:pPr>
              <w:pStyle w:val="58"/>
              <w:rPr>
                <w:b w:val="0"/>
                <w:bCs w:val="0"/>
              </w:rPr>
            </w:pPr>
            <w:r>
              <w:rPr>
                <w:b w:val="0"/>
                <w:bCs w:val="0"/>
              </w:rPr>
              <w:t>电磁辐射</w:t>
            </w:r>
          </w:p>
        </w:tc>
        <w:tc>
          <w:tcPr>
            <w:tcW w:w="1134" w:type="dxa"/>
            <w:vAlign w:val="center"/>
          </w:tcPr>
          <w:p w14:paraId="2D5CCEC6">
            <w:pPr>
              <w:pStyle w:val="58"/>
              <w:rPr>
                <w:b w:val="0"/>
                <w:bCs w:val="0"/>
              </w:rPr>
            </w:pPr>
            <w:r>
              <w:rPr>
                <w:b w:val="0"/>
                <w:bCs w:val="0"/>
              </w:rPr>
              <w:t>/</w:t>
            </w:r>
          </w:p>
        </w:tc>
        <w:tc>
          <w:tcPr>
            <w:tcW w:w="992" w:type="dxa"/>
            <w:vAlign w:val="center"/>
          </w:tcPr>
          <w:p w14:paraId="5C7554CD">
            <w:pPr>
              <w:pStyle w:val="58"/>
              <w:rPr>
                <w:b w:val="0"/>
                <w:bCs w:val="0"/>
              </w:rPr>
            </w:pPr>
            <w:r>
              <w:rPr>
                <w:b w:val="0"/>
                <w:bCs w:val="0"/>
              </w:rPr>
              <w:t>/</w:t>
            </w:r>
          </w:p>
        </w:tc>
        <w:tc>
          <w:tcPr>
            <w:tcW w:w="2835" w:type="dxa"/>
            <w:vAlign w:val="center"/>
          </w:tcPr>
          <w:p w14:paraId="1C432945">
            <w:pPr>
              <w:pStyle w:val="58"/>
              <w:rPr>
                <w:b w:val="0"/>
                <w:bCs w:val="0"/>
              </w:rPr>
            </w:pPr>
            <w:r>
              <w:rPr>
                <w:b w:val="0"/>
                <w:bCs w:val="0"/>
              </w:rPr>
              <w:t>/</w:t>
            </w:r>
          </w:p>
        </w:tc>
        <w:tc>
          <w:tcPr>
            <w:tcW w:w="2431" w:type="dxa"/>
            <w:vAlign w:val="center"/>
          </w:tcPr>
          <w:p w14:paraId="57930C04">
            <w:pPr>
              <w:pStyle w:val="58"/>
              <w:rPr>
                <w:b w:val="0"/>
                <w:bCs w:val="0"/>
              </w:rPr>
            </w:pPr>
            <w:r>
              <w:rPr>
                <w:b w:val="0"/>
                <w:bCs w:val="0"/>
              </w:rPr>
              <w:t>/</w:t>
            </w:r>
          </w:p>
        </w:tc>
      </w:tr>
      <w:tr w14:paraId="534A7C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08" w:type="dxa"/>
            <w:vAlign w:val="center"/>
          </w:tcPr>
          <w:p w14:paraId="33466E77">
            <w:pPr>
              <w:pStyle w:val="58"/>
              <w:rPr>
                <w:b w:val="0"/>
                <w:bCs w:val="0"/>
              </w:rPr>
            </w:pPr>
            <w:r>
              <w:rPr>
                <w:b w:val="0"/>
                <w:bCs w:val="0"/>
              </w:rPr>
              <w:t>固体废物</w:t>
            </w:r>
          </w:p>
        </w:tc>
        <w:tc>
          <w:tcPr>
            <w:tcW w:w="7392" w:type="dxa"/>
            <w:gridSpan w:val="4"/>
            <w:vAlign w:val="center"/>
          </w:tcPr>
          <w:p w14:paraId="30088E5E">
            <w:pPr>
              <w:pStyle w:val="58"/>
              <w:rPr>
                <w:b w:val="0"/>
                <w:bCs w:val="0"/>
              </w:rPr>
            </w:pPr>
            <w:r>
              <w:rPr>
                <w:rStyle w:val="65"/>
                <w:rFonts w:hint="eastAsia"/>
                <w:b w:val="0"/>
                <w:bCs w:val="0"/>
                <w:sz w:val="22"/>
                <w:szCs w:val="22"/>
              </w:rPr>
              <w:t>生活垃圾由环卫部门统一收集处理；气化炉灰渣和除尘渣外售；废机油、废机油沾染物和废催化剂交由资质单位处置；废离子交换树脂由更换单位带走处置。</w:t>
            </w:r>
            <w:r>
              <w:rPr>
                <w:rFonts w:hint="eastAsia"/>
                <w:b w:val="0"/>
                <w:bCs w:val="0"/>
              </w:rPr>
              <w:t>设置危废暂存间1间5m</w:t>
            </w:r>
            <w:r>
              <w:rPr>
                <w:rFonts w:hint="eastAsia"/>
                <w:b w:val="0"/>
                <w:bCs w:val="0"/>
                <w:vertAlign w:val="superscript"/>
              </w:rPr>
              <w:t>2</w:t>
            </w:r>
            <w:r>
              <w:rPr>
                <w:rFonts w:hint="eastAsia"/>
                <w:b w:val="0"/>
                <w:bCs w:val="0"/>
              </w:rPr>
              <w:t>，用于暂存收集的废机油、废机油沾染物和废催化剂。</w:t>
            </w:r>
          </w:p>
        </w:tc>
      </w:tr>
      <w:tr w14:paraId="54AE67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76" w:hRule="atLeast"/>
          <w:jc w:val="center"/>
        </w:trPr>
        <w:tc>
          <w:tcPr>
            <w:tcW w:w="1408" w:type="dxa"/>
            <w:vAlign w:val="center"/>
          </w:tcPr>
          <w:p w14:paraId="6B931D22">
            <w:pPr>
              <w:pStyle w:val="58"/>
              <w:rPr>
                <w:b w:val="0"/>
                <w:bCs w:val="0"/>
                <w:highlight w:val="yellow"/>
              </w:rPr>
            </w:pPr>
            <w:r>
              <w:rPr>
                <w:b w:val="0"/>
                <w:bCs w:val="0"/>
              </w:rPr>
              <w:t>土壤及地下水污染防治措施</w:t>
            </w:r>
          </w:p>
        </w:tc>
        <w:tc>
          <w:tcPr>
            <w:tcW w:w="7392" w:type="dxa"/>
            <w:gridSpan w:val="4"/>
            <w:vAlign w:val="center"/>
          </w:tcPr>
          <w:p w14:paraId="05D19784">
            <w:pPr>
              <w:pStyle w:val="58"/>
              <w:rPr>
                <w:b w:val="0"/>
                <w:bCs w:val="0"/>
                <w:highlight w:val="yellow"/>
              </w:rPr>
            </w:pPr>
            <w:r>
              <w:rPr>
                <w:rFonts w:hint="eastAsia"/>
                <w:b w:val="0"/>
                <w:bCs w:val="0"/>
              </w:rPr>
              <w:t>实施分区防渗：重点防渗区为危废暂存间和氨水储罐区，防渗措施为环氧树脂防渗膜+防渗混凝土；一般防渗区为沉淀池、冷却循环水池、预处理池、雨水收集池、消防水池，防渗措施为防渗混凝土；简单防渗区位除上述以外的其他区域，防渗措施为水泥地面。</w:t>
            </w:r>
          </w:p>
        </w:tc>
      </w:tr>
      <w:tr w14:paraId="0C54EA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307" w:hRule="atLeast"/>
          <w:jc w:val="center"/>
        </w:trPr>
        <w:tc>
          <w:tcPr>
            <w:tcW w:w="1408" w:type="dxa"/>
            <w:vAlign w:val="center"/>
          </w:tcPr>
          <w:p w14:paraId="41CBADE3">
            <w:pPr>
              <w:pStyle w:val="58"/>
              <w:rPr>
                <w:b w:val="0"/>
                <w:bCs w:val="0"/>
              </w:rPr>
            </w:pPr>
            <w:r>
              <w:rPr>
                <w:b w:val="0"/>
                <w:bCs w:val="0"/>
              </w:rPr>
              <w:t>生态保护措施</w:t>
            </w:r>
          </w:p>
        </w:tc>
        <w:tc>
          <w:tcPr>
            <w:tcW w:w="7392" w:type="dxa"/>
            <w:gridSpan w:val="4"/>
            <w:vAlign w:val="center"/>
          </w:tcPr>
          <w:p w14:paraId="3DDAC218">
            <w:pPr>
              <w:pStyle w:val="58"/>
              <w:rPr>
                <w:b w:val="0"/>
                <w:bCs w:val="0"/>
              </w:rPr>
            </w:pPr>
            <w:r>
              <w:rPr>
                <w:b w:val="0"/>
                <w:bCs w:val="0"/>
              </w:rPr>
              <w:t>/</w:t>
            </w:r>
          </w:p>
        </w:tc>
      </w:tr>
      <w:tr w14:paraId="3ADD7C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70" w:hRule="atLeast"/>
          <w:jc w:val="center"/>
        </w:trPr>
        <w:tc>
          <w:tcPr>
            <w:tcW w:w="1408" w:type="dxa"/>
            <w:vAlign w:val="center"/>
          </w:tcPr>
          <w:p w14:paraId="30B09F5F">
            <w:pPr>
              <w:pStyle w:val="58"/>
              <w:rPr>
                <w:b w:val="0"/>
                <w:bCs w:val="0"/>
              </w:rPr>
            </w:pPr>
            <w:r>
              <w:rPr>
                <w:b w:val="0"/>
                <w:bCs w:val="0"/>
              </w:rPr>
              <w:t>环境风险防范措施</w:t>
            </w:r>
          </w:p>
        </w:tc>
        <w:tc>
          <w:tcPr>
            <w:tcW w:w="7392" w:type="dxa"/>
            <w:gridSpan w:val="4"/>
            <w:vAlign w:val="center"/>
          </w:tcPr>
          <w:p w14:paraId="02DEDD53">
            <w:pPr>
              <w:spacing w:line="240" w:lineRule="auto"/>
              <w:ind w:firstLine="0" w:firstLineChars="0"/>
              <w:rPr>
                <w:rFonts w:cs="Times New Roman"/>
                <w:kern w:val="0"/>
                <w:sz w:val="22"/>
              </w:rPr>
            </w:pPr>
            <w:r>
              <w:rPr>
                <w:rFonts w:hint="eastAsia" w:cs="Times New Roman"/>
                <w:kern w:val="0"/>
                <w:sz w:val="22"/>
              </w:rPr>
              <w:t>立环保机构，安全设施、环保设施、消防器材等进行定期检查，制定环境风险应急预案；加强机油、柴油等原辅材料的运输、使用、暂存管理；氨水储罐区和危废暂存间将作为重点防渗区，达到相应防渗要求；同时设置围堰，设立标志标识等。</w:t>
            </w:r>
          </w:p>
        </w:tc>
      </w:tr>
      <w:tr w14:paraId="4CB606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70" w:hRule="atLeast"/>
          <w:jc w:val="center"/>
        </w:trPr>
        <w:tc>
          <w:tcPr>
            <w:tcW w:w="1408" w:type="dxa"/>
            <w:vAlign w:val="center"/>
          </w:tcPr>
          <w:p w14:paraId="5DFE92BE">
            <w:pPr>
              <w:pStyle w:val="58"/>
              <w:rPr>
                <w:b w:val="0"/>
                <w:bCs w:val="0"/>
              </w:rPr>
            </w:pPr>
            <w:r>
              <w:rPr>
                <w:b w:val="0"/>
                <w:bCs w:val="0"/>
              </w:rPr>
              <w:t>其他环境管理要求</w:t>
            </w:r>
          </w:p>
        </w:tc>
        <w:tc>
          <w:tcPr>
            <w:tcW w:w="7392" w:type="dxa"/>
            <w:gridSpan w:val="4"/>
            <w:vAlign w:val="center"/>
          </w:tcPr>
          <w:p w14:paraId="0A507C1C">
            <w:pPr>
              <w:pStyle w:val="58"/>
              <w:rPr>
                <w:b w:val="0"/>
                <w:bCs w:val="0"/>
              </w:rPr>
            </w:pPr>
            <w:r>
              <w:rPr>
                <w:rFonts w:hint="eastAsia" w:ascii="宋体" w:hAnsi="宋体" w:cs="宋体"/>
                <w:b w:val="0"/>
                <w:bCs w:val="0"/>
              </w:rPr>
              <w:t>①</w:t>
            </w:r>
            <w:r>
              <w:rPr>
                <w:b w:val="0"/>
                <w:bCs w:val="0"/>
              </w:rPr>
              <w:t>排污口规范化建设；</w:t>
            </w:r>
            <w:r>
              <w:rPr>
                <w:rFonts w:hint="eastAsia" w:ascii="宋体" w:hAnsi="宋体" w:cs="宋体"/>
                <w:b w:val="0"/>
                <w:bCs w:val="0"/>
              </w:rPr>
              <w:t>②</w:t>
            </w:r>
            <w:r>
              <w:rPr>
                <w:b w:val="0"/>
                <w:bCs w:val="0"/>
              </w:rPr>
              <w:t>设置标识标牌；</w:t>
            </w:r>
            <w:r>
              <w:rPr>
                <w:rFonts w:hint="eastAsia" w:ascii="宋体" w:hAnsi="宋体" w:cs="宋体"/>
                <w:b w:val="0"/>
                <w:bCs w:val="0"/>
              </w:rPr>
              <w:t>③</w:t>
            </w:r>
            <w:r>
              <w:rPr>
                <w:b w:val="0"/>
                <w:bCs w:val="0"/>
              </w:rPr>
              <w:t>定期对厂区废气、废水、噪声进行污染源监测；</w:t>
            </w:r>
            <w:r>
              <w:rPr>
                <w:rFonts w:hint="eastAsia" w:ascii="宋体" w:hAnsi="宋体" w:cs="宋体"/>
                <w:b w:val="0"/>
                <w:bCs w:val="0"/>
              </w:rPr>
              <w:t>④</w:t>
            </w:r>
            <w:r>
              <w:rPr>
                <w:b w:val="0"/>
                <w:bCs w:val="0"/>
              </w:rPr>
              <w:t>建立危险废物转运台账、环保设施运行台账。</w:t>
            </w:r>
          </w:p>
        </w:tc>
      </w:tr>
    </w:tbl>
    <w:p w14:paraId="7E121BCC">
      <w:pPr>
        <w:widowControl/>
        <w:spacing w:line="240" w:lineRule="auto"/>
        <w:ind w:firstLine="0" w:firstLineChars="0"/>
        <w:jc w:val="left"/>
        <w:rPr>
          <w:rFonts w:eastAsia="黑体"/>
          <w:b/>
          <w:bCs/>
          <w:snapToGrid w:val="0"/>
          <w:kern w:val="44"/>
          <w:sz w:val="28"/>
          <w:szCs w:val="44"/>
        </w:rPr>
        <w:sectPr>
          <w:pgSz w:w="11906" w:h="16838"/>
          <w:pgMar w:top="1440" w:right="1800" w:bottom="1440" w:left="1800" w:header="851" w:footer="992" w:gutter="0"/>
          <w:cols w:space="425" w:num="1"/>
          <w:docGrid w:type="lines" w:linePitch="326" w:charSpace="0"/>
        </w:sectPr>
      </w:pPr>
    </w:p>
    <w:p w14:paraId="17C15879">
      <w:pPr>
        <w:pStyle w:val="2"/>
        <w:rPr>
          <w:snapToGrid w:val="0"/>
        </w:rPr>
      </w:pPr>
      <w:r>
        <w:rPr>
          <w:snapToGrid w:val="0"/>
        </w:rPr>
        <w:t>六、结论</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296"/>
      </w:tblGrid>
      <w:tr w14:paraId="3D39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8296" w:type="dxa"/>
          </w:tcPr>
          <w:p w14:paraId="6F6BDB11">
            <w:pPr>
              <w:ind w:firstLine="480"/>
            </w:pPr>
            <w:r>
              <w:t>80</w:t>
            </w:r>
            <w:r>
              <w:rPr>
                <w:rFonts w:hint="eastAsia"/>
              </w:rPr>
              <w:t>万吨</w:t>
            </w:r>
            <w:r>
              <w:t>/</w:t>
            </w:r>
            <w:r>
              <w:rPr>
                <w:rFonts w:hint="eastAsia"/>
              </w:rPr>
              <w:t>年生物质集中供热项目符合国家产业政策，选址符合区域规划的要求，项目在严格落实本报告表提出的污染治理措施及环境风险防范措施，保证污染治理工程与主体工程“三同时”建设，加强对污染治理设施的运行管理，确保运行正常的情况下，本项目的建成对周围环境影响较小，环境风险可防可控。</w:t>
            </w:r>
          </w:p>
          <w:p w14:paraId="17C01576">
            <w:pPr>
              <w:ind w:firstLine="480"/>
            </w:pPr>
            <w:r>
              <w:rPr>
                <w:rFonts w:hint="eastAsia"/>
              </w:rPr>
              <w:t>从环境保护角度分析，该项目建设是可行的。</w:t>
            </w:r>
          </w:p>
          <w:p w14:paraId="3F041421">
            <w:pPr>
              <w:ind w:firstLine="480"/>
            </w:pPr>
          </w:p>
          <w:p w14:paraId="1A84FBAD">
            <w:pPr>
              <w:ind w:firstLine="480"/>
            </w:pPr>
          </w:p>
          <w:p w14:paraId="7AB7CC79">
            <w:pPr>
              <w:ind w:firstLine="480"/>
            </w:pPr>
          </w:p>
          <w:p w14:paraId="782C39BC">
            <w:pPr>
              <w:ind w:firstLine="480"/>
            </w:pPr>
          </w:p>
          <w:p w14:paraId="53AFE432">
            <w:pPr>
              <w:ind w:firstLine="480"/>
            </w:pPr>
          </w:p>
          <w:p w14:paraId="1DD23898">
            <w:pPr>
              <w:tabs>
                <w:tab w:val="left" w:pos="5460"/>
              </w:tabs>
              <w:ind w:firstLine="480"/>
            </w:pPr>
            <w:r>
              <w:tab/>
            </w:r>
          </w:p>
          <w:p w14:paraId="24D1DE4F">
            <w:pPr>
              <w:ind w:firstLine="480"/>
            </w:pPr>
          </w:p>
          <w:p w14:paraId="224A544B">
            <w:pPr>
              <w:ind w:firstLine="480"/>
            </w:pPr>
          </w:p>
          <w:p w14:paraId="189081B0">
            <w:pPr>
              <w:ind w:firstLine="480"/>
            </w:pPr>
          </w:p>
          <w:p w14:paraId="7ACBF881">
            <w:pPr>
              <w:ind w:firstLine="480"/>
            </w:pPr>
          </w:p>
          <w:p w14:paraId="7E095636">
            <w:pPr>
              <w:ind w:firstLine="480"/>
            </w:pPr>
          </w:p>
          <w:p w14:paraId="473D3E71">
            <w:pPr>
              <w:ind w:firstLine="480"/>
            </w:pPr>
          </w:p>
          <w:p w14:paraId="13915363">
            <w:pPr>
              <w:ind w:firstLine="480"/>
            </w:pPr>
          </w:p>
          <w:p w14:paraId="4938CABD">
            <w:pPr>
              <w:ind w:firstLine="480"/>
            </w:pPr>
          </w:p>
          <w:p w14:paraId="22C6A355">
            <w:pPr>
              <w:ind w:firstLine="480"/>
            </w:pPr>
          </w:p>
          <w:p w14:paraId="3974B238">
            <w:pPr>
              <w:ind w:firstLine="480"/>
            </w:pPr>
          </w:p>
          <w:p w14:paraId="4CE5ECFA">
            <w:pPr>
              <w:ind w:firstLine="480"/>
            </w:pPr>
          </w:p>
          <w:p w14:paraId="2BC11C79">
            <w:pPr>
              <w:ind w:firstLine="480"/>
            </w:pPr>
          </w:p>
          <w:p w14:paraId="2A6E05C8">
            <w:pPr>
              <w:ind w:firstLine="480"/>
            </w:pPr>
          </w:p>
          <w:p w14:paraId="59E0897E">
            <w:pPr>
              <w:ind w:firstLine="480"/>
            </w:pPr>
          </w:p>
          <w:p w14:paraId="16079DB0">
            <w:pPr>
              <w:ind w:firstLine="480"/>
            </w:pPr>
          </w:p>
        </w:tc>
      </w:tr>
    </w:tbl>
    <w:p w14:paraId="5487EEB8">
      <w:pPr>
        <w:ind w:firstLine="480"/>
        <w:sectPr>
          <w:pgSz w:w="11906" w:h="16838"/>
          <w:pgMar w:top="1440" w:right="1800" w:bottom="1440" w:left="1800" w:header="851" w:footer="992" w:gutter="0"/>
          <w:cols w:space="425" w:num="1"/>
          <w:docGrid w:type="lines" w:linePitch="326" w:charSpace="0"/>
        </w:sectPr>
      </w:pPr>
    </w:p>
    <w:p w14:paraId="7DDDF556">
      <w:pPr>
        <w:pStyle w:val="2"/>
      </w:pPr>
      <w:r>
        <w:rPr>
          <w:snapToGrid w:val="0"/>
        </w:rPr>
        <w:t>附表</w:t>
      </w:r>
    </w:p>
    <w:p w14:paraId="4719E50B">
      <w:pPr>
        <w:spacing w:line="240" w:lineRule="atLeast"/>
        <w:ind w:firstLine="600"/>
        <w:jc w:val="center"/>
        <w:rPr>
          <w:rFonts w:eastAsia="方正小标宋_GBK"/>
          <w:snapToGrid w:val="0"/>
          <w:sz w:val="30"/>
          <w:szCs w:val="30"/>
        </w:rPr>
      </w:pPr>
      <w:r>
        <w:rPr>
          <w:rFonts w:eastAsia="方正小标宋_GBK"/>
          <w:snapToGrid w:val="0"/>
          <w:sz w:val="30"/>
          <w:szCs w:val="30"/>
        </w:rPr>
        <w:t>建设项目污染物排放量汇总表</w:t>
      </w:r>
    </w:p>
    <w:tbl>
      <w:tblPr>
        <w:tblStyle w:val="22"/>
        <w:tblW w:w="1399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408"/>
        <w:gridCol w:w="1984"/>
        <w:gridCol w:w="1598"/>
        <w:gridCol w:w="1082"/>
        <w:gridCol w:w="1894"/>
        <w:gridCol w:w="1560"/>
        <w:gridCol w:w="1643"/>
        <w:gridCol w:w="1522"/>
        <w:gridCol w:w="1305"/>
      </w:tblGrid>
      <w:tr w14:paraId="654A11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10" w:hRule="atLeast"/>
          <w:jc w:val="center"/>
        </w:trPr>
        <w:tc>
          <w:tcPr>
            <w:tcW w:w="1408" w:type="dxa"/>
            <w:tcBorders>
              <w:tl2br w:val="single" w:color="auto" w:sz="4" w:space="0"/>
            </w:tcBorders>
            <w:tcMar>
              <w:left w:w="28" w:type="dxa"/>
              <w:right w:w="28" w:type="dxa"/>
            </w:tcMar>
            <w:vAlign w:val="center"/>
          </w:tcPr>
          <w:p w14:paraId="4774BA20">
            <w:pPr>
              <w:pStyle w:val="31"/>
              <w:jc w:val="right"/>
              <w:rPr>
                <w:snapToGrid w:val="0"/>
              </w:rPr>
            </w:pPr>
            <w:r>
              <w:rPr>
                <w:snapToGrid w:val="0"/>
              </w:rPr>
              <w:t>项目</w:t>
            </w:r>
          </w:p>
          <w:p w14:paraId="64154360">
            <w:pPr>
              <w:pStyle w:val="31"/>
              <w:jc w:val="both"/>
              <w:rPr>
                <w:snapToGrid w:val="0"/>
              </w:rPr>
            </w:pPr>
            <w:r>
              <w:rPr>
                <w:snapToGrid w:val="0"/>
              </w:rPr>
              <w:t>分类</w:t>
            </w:r>
          </w:p>
        </w:tc>
        <w:tc>
          <w:tcPr>
            <w:tcW w:w="1984" w:type="dxa"/>
            <w:tcMar>
              <w:left w:w="28" w:type="dxa"/>
              <w:right w:w="28" w:type="dxa"/>
            </w:tcMar>
            <w:vAlign w:val="center"/>
          </w:tcPr>
          <w:p w14:paraId="1EC6AD58">
            <w:pPr>
              <w:pStyle w:val="31"/>
              <w:rPr>
                <w:snapToGrid w:val="0"/>
              </w:rPr>
            </w:pPr>
            <w:r>
              <w:rPr>
                <w:snapToGrid w:val="0"/>
              </w:rPr>
              <w:t>污染物名称</w:t>
            </w:r>
          </w:p>
        </w:tc>
        <w:tc>
          <w:tcPr>
            <w:tcW w:w="1598" w:type="dxa"/>
            <w:tcMar>
              <w:left w:w="28" w:type="dxa"/>
              <w:right w:w="28" w:type="dxa"/>
            </w:tcMar>
            <w:vAlign w:val="center"/>
          </w:tcPr>
          <w:p w14:paraId="46F4B8EC">
            <w:pPr>
              <w:pStyle w:val="31"/>
              <w:rPr>
                <w:snapToGrid w:val="0"/>
              </w:rPr>
            </w:pPr>
            <w:r>
              <w:rPr>
                <w:snapToGrid w:val="0"/>
              </w:rPr>
              <w:t>现有工程排放量（固体废物产生量）</w:t>
            </w:r>
            <w:r>
              <w:rPr>
                <w:snapToGrid w:val="0"/>
              </w:rPr>
              <w:fldChar w:fldCharType="begin"/>
            </w:r>
            <w:r>
              <w:rPr>
                <w:snapToGrid w:val="0"/>
              </w:rPr>
              <w:instrText xml:space="preserve"> = 1 \* GB3 \* MERGEFORMAT </w:instrText>
            </w:r>
            <w:r>
              <w:rPr>
                <w:snapToGrid w:val="0"/>
              </w:rPr>
              <w:fldChar w:fldCharType="separate"/>
            </w:r>
            <w:r>
              <w:rPr>
                <w:rFonts w:hint="eastAsia" w:hAnsi="宋体" w:cs="宋体"/>
              </w:rPr>
              <w:t>①</w:t>
            </w:r>
            <w:r>
              <w:rPr>
                <w:snapToGrid w:val="0"/>
              </w:rPr>
              <w:fldChar w:fldCharType="end"/>
            </w:r>
          </w:p>
        </w:tc>
        <w:tc>
          <w:tcPr>
            <w:tcW w:w="1082" w:type="dxa"/>
            <w:tcMar>
              <w:left w:w="28" w:type="dxa"/>
              <w:right w:w="28" w:type="dxa"/>
            </w:tcMar>
            <w:vAlign w:val="center"/>
          </w:tcPr>
          <w:p w14:paraId="3567192A">
            <w:pPr>
              <w:pStyle w:val="31"/>
              <w:rPr>
                <w:snapToGrid w:val="0"/>
              </w:rPr>
            </w:pPr>
            <w:r>
              <w:rPr>
                <w:snapToGrid w:val="0"/>
              </w:rPr>
              <w:t>现有工程许可排放量</w:t>
            </w:r>
            <w:r>
              <w:rPr>
                <w:snapToGrid w:val="0"/>
              </w:rPr>
              <w:fldChar w:fldCharType="begin"/>
            </w:r>
            <w:r>
              <w:rPr>
                <w:snapToGrid w:val="0"/>
              </w:rPr>
              <w:instrText xml:space="preserve"> = 2 \* GB3 \* MERGEFORMAT </w:instrText>
            </w:r>
            <w:r>
              <w:rPr>
                <w:snapToGrid w:val="0"/>
              </w:rPr>
              <w:fldChar w:fldCharType="separate"/>
            </w:r>
            <w:r>
              <w:rPr>
                <w:rFonts w:hint="eastAsia" w:hAnsi="宋体" w:cs="宋体"/>
                <w:snapToGrid w:val="0"/>
              </w:rPr>
              <w:t>②</w:t>
            </w:r>
            <w:r>
              <w:rPr>
                <w:snapToGrid w:val="0"/>
              </w:rPr>
              <w:fldChar w:fldCharType="end"/>
            </w:r>
          </w:p>
        </w:tc>
        <w:tc>
          <w:tcPr>
            <w:tcW w:w="1894" w:type="dxa"/>
            <w:tcMar>
              <w:left w:w="28" w:type="dxa"/>
              <w:right w:w="28" w:type="dxa"/>
            </w:tcMar>
            <w:vAlign w:val="center"/>
          </w:tcPr>
          <w:p w14:paraId="4F3D3B85">
            <w:pPr>
              <w:pStyle w:val="31"/>
              <w:rPr>
                <w:snapToGrid w:val="0"/>
              </w:rPr>
            </w:pPr>
            <w:r>
              <w:rPr>
                <w:snapToGrid w:val="0"/>
              </w:rPr>
              <w:t>在建工程排放量（固体废物产生量）</w:t>
            </w:r>
            <w:r>
              <w:rPr>
                <w:snapToGrid w:val="0"/>
              </w:rPr>
              <w:fldChar w:fldCharType="begin"/>
            </w:r>
            <w:r>
              <w:rPr>
                <w:snapToGrid w:val="0"/>
              </w:rPr>
              <w:instrText xml:space="preserve"> = 3 \* GB3 \* MERGEFORMAT </w:instrText>
            </w:r>
            <w:r>
              <w:rPr>
                <w:snapToGrid w:val="0"/>
              </w:rPr>
              <w:fldChar w:fldCharType="separate"/>
            </w:r>
            <w:r>
              <w:rPr>
                <w:rFonts w:hint="eastAsia" w:hAnsi="宋体" w:cs="宋体"/>
              </w:rPr>
              <w:t>③</w:t>
            </w:r>
            <w:r>
              <w:rPr>
                <w:snapToGrid w:val="0"/>
              </w:rPr>
              <w:fldChar w:fldCharType="end"/>
            </w:r>
          </w:p>
        </w:tc>
        <w:tc>
          <w:tcPr>
            <w:tcW w:w="1560" w:type="dxa"/>
            <w:tcMar>
              <w:left w:w="28" w:type="dxa"/>
              <w:right w:w="28" w:type="dxa"/>
            </w:tcMar>
            <w:vAlign w:val="center"/>
          </w:tcPr>
          <w:p w14:paraId="7B21404B">
            <w:pPr>
              <w:pStyle w:val="31"/>
              <w:rPr>
                <w:snapToGrid w:val="0"/>
              </w:rPr>
            </w:pPr>
            <w:r>
              <w:rPr>
                <w:snapToGrid w:val="0"/>
              </w:rPr>
              <w:t>本项目排放量（固体废物产生量）</w:t>
            </w:r>
            <w:r>
              <w:rPr>
                <w:snapToGrid w:val="0"/>
              </w:rPr>
              <w:fldChar w:fldCharType="begin"/>
            </w:r>
            <w:r>
              <w:rPr>
                <w:snapToGrid w:val="0"/>
              </w:rPr>
              <w:instrText xml:space="preserve"> = 4 \* GB3 \* MERGEFORMAT </w:instrText>
            </w:r>
            <w:r>
              <w:rPr>
                <w:snapToGrid w:val="0"/>
              </w:rPr>
              <w:fldChar w:fldCharType="separate"/>
            </w:r>
            <w:r>
              <w:rPr>
                <w:rFonts w:hint="eastAsia" w:hAnsi="宋体" w:cs="宋体"/>
              </w:rPr>
              <w:t>④</w:t>
            </w:r>
            <w:r>
              <w:rPr>
                <w:snapToGrid w:val="0"/>
              </w:rPr>
              <w:fldChar w:fldCharType="end"/>
            </w:r>
          </w:p>
        </w:tc>
        <w:tc>
          <w:tcPr>
            <w:tcW w:w="1643" w:type="dxa"/>
            <w:tcMar>
              <w:left w:w="28" w:type="dxa"/>
              <w:right w:w="28" w:type="dxa"/>
            </w:tcMar>
            <w:vAlign w:val="center"/>
          </w:tcPr>
          <w:p w14:paraId="45AC7B6D">
            <w:pPr>
              <w:pStyle w:val="31"/>
              <w:rPr>
                <w:snapToGrid w:val="0"/>
                <w:spacing w:val="-16"/>
              </w:rPr>
            </w:pPr>
            <w:r>
              <w:rPr>
                <w:snapToGrid w:val="0"/>
                <w:spacing w:val="-16"/>
              </w:rPr>
              <w:t>以新带老削减量（新建项目不填）</w:t>
            </w:r>
            <w:r>
              <w:rPr>
                <w:snapToGrid w:val="0"/>
                <w:spacing w:val="-16"/>
              </w:rPr>
              <w:fldChar w:fldCharType="begin"/>
            </w:r>
            <w:r>
              <w:rPr>
                <w:snapToGrid w:val="0"/>
                <w:spacing w:val="-16"/>
              </w:rPr>
              <w:instrText xml:space="preserve"> = 5 \* GB3 \* MERGEFORMAT </w:instrText>
            </w:r>
            <w:r>
              <w:rPr>
                <w:snapToGrid w:val="0"/>
                <w:spacing w:val="-16"/>
              </w:rPr>
              <w:fldChar w:fldCharType="separate"/>
            </w:r>
            <w:r>
              <w:rPr>
                <w:rFonts w:hint="eastAsia" w:hAnsi="宋体" w:cs="宋体"/>
              </w:rPr>
              <w:t>⑤</w:t>
            </w:r>
            <w:r>
              <w:rPr>
                <w:snapToGrid w:val="0"/>
                <w:spacing w:val="-16"/>
              </w:rPr>
              <w:fldChar w:fldCharType="end"/>
            </w:r>
          </w:p>
        </w:tc>
        <w:tc>
          <w:tcPr>
            <w:tcW w:w="1522" w:type="dxa"/>
            <w:tcMar>
              <w:left w:w="28" w:type="dxa"/>
              <w:right w:w="28" w:type="dxa"/>
            </w:tcMar>
            <w:vAlign w:val="center"/>
          </w:tcPr>
          <w:p w14:paraId="0507D9F2">
            <w:pPr>
              <w:pStyle w:val="31"/>
              <w:rPr>
                <w:snapToGrid w:val="0"/>
                <w:spacing w:val="-16"/>
              </w:rPr>
            </w:pPr>
            <w:r>
              <w:rPr>
                <w:snapToGrid w:val="0"/>
                <w:spacing w:val="-16"/>
              </w:rPr>
              <w:t>本项目建成后全厂排放量（固体废物产生量）</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hAnsi="宋体" w:cs="宋体"/>
              </w:rPr>
              <w:t>⑥</w:t>
            </w:r>
            <w:r>
              <w:rPr>
                <w:snapToGrid w:val="0"/>
                <w:spacing w:val="-16"/>
              </w:rPr>
              <w:fldChar w:fldCharType="end"/>
            </w:r>
          </w:p>
        </w:tc>
        <w:tc>
          <w:tcPr>
            <w:tcW w:w="1305" w:type="dxa"/>
            <w:tcMar>
              <w:left w:w="28" w:type="dxa"/>
              <w:right w:w="28" w:type="dxa"/>
            </w:tcMar>
            <w:vAlign w:val="center"/>
          </w:tcPr>
          <w:p w14:paraId="1940C81F">
            <w:pPr>
              <w:pStyle w:val="31"/>
              <w:rPr>
                <w:snapToGrid w:val="0"/>
              </w:rPr>
            </w:pPr>
            <w:r>
              <w:rPr>
                <w:snapToGrid w:val="0"/>
              </w:rPr>
              <w:t>变化量</w:t>
            </w:r>
            <w:r>
              <w:rPr>
                <w:snapToGrid w:val="0"/>
              </w:rPr>
              <w:fldChar w:fldCharType="begin"/>
            </w:r>
            <w:r>
              <w:rPr>
                <w:snapToGrid w:val="0"/>
              </w:rPr>
              <w:instrText xml:space="preserve"> = 7 \* GB3 \* MERGEFORMAT </w:instrText>
            </w:r>
            <w:r>
              <w:rPr>
                <w:snapToGrid w:val="0"/>
              </w:rPr>
              <w:fldChar w:fldCharType="separate"/>
            </w:r>
            <w:r>
              <w:rPr>
                <w:rFonts w:hint="eastAsia" w:hAnsi="宋体" w:cs="宋体"/>
              </w:rPr>
              <w:t>⑦</w:t>
            </w:r>
            <w:r>
              <w:rPr>
                <w:snapToGrid w:val="0"/>
              </w:rPr>
              <w:fldChar w:fldCharType="end"/>
            </w:r>
          </w:p>
        </w:tc>
      </w:tr>
      <w:tr w14:paraId="671CDB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restart"/>
            <w:vAlign w:val="center"/>
          </w:tcPr>
          <w:p w14:paraId="6589479F">
            <w:pPr>
              <w:pStyle w:val="31"/>
              <w:rPr>
                <w:snapToGrid w:val="0"/>
              </w:rPr>
            </w:pPr>
            <w:r>
              <w:rPr>
                <w:rFonts w:hint="eastAsia"/>
                <w:snapToGrid w:val="0"/>
              </w:rPr>
              <w:t>废气</w:t>
            </w:r>
          </w:p>
        </w:tc>
        <w:tc>
          <w:tcPr>
            <w:tcW w:w="1984" w:type="dxa"/>
            <w:vAlign w:val="center"/>
          </w:tcPr>
          <w:p w14:paraId="5E8D7DFE">
            <w:pPr>
              <w:pStyle w:val="31"/>
              <w:rPr>
                <w:snapToGrid w:val="0"/>
              </w:rPr>
            </w:pPr>
            <w:r>
              <w:rPr>
                <w:rFonts w:hint="eastAsia"/>
              </w:rPr>
              <w:t>二氧化硫</w:t>
            </w:r>
          </w:p>
        </w:tc>
        <w:tc>
          <w:tcPr>
            <w:tcW w:w="1598" w:type="dxa"/>
            <w:vAlign w:val="center"/>
          </w:tcPr>
          <w:p w14:paraId="7527744E">
            <w:pPr>
              <w:pStyle w:val="31"/>
              <w:rPr>
                <w:snapToGrid w:val="0"/>
              </w:rPr>
            </w:pPr>
            <w:r>
              <w:rPr>
                <w:snapToGrid w:val="0"/>
              </w:rPr>
              <w:t>/</w:t>
            </w:r>
          </w:p>
        </w:tc>
        <w:tc>
          <w:tcPr>
            <w:tcW w:w="1082" w:type="dxa"/>
            <w:vAlign w:val="center"/>
          </w:tcPr>
          <w:p w14:paraId="05A5B7EB">
            <w:pPr>
              <w:pStyle w:val="31"/>
              <w:rPr>
                <w:snapToGrid w:val="0"/>
              </w:rPr>
            </w:pPr>
            <w:r>
              <w:rPr>
                <w:snapToGrid w:val="0"/>
              </w:rPr>
              <w:t>/</w:t>
            </w:r>
          </w:p>
        </w:tc>
        <w:tc>
          <w:tcPr>
            <w:tcW w:w="1894" w:type="dxa"/>
            <w:vAlign w:val="center"/>
          </w:tcPr>
          <w:p w14:paraId="418D7548">
            <w:pPr>
              <w:pStyle w:val="31"/>
              <w:rPr>
                <w:snapToGrid w:val="0"/>
              </w:rPr>
            </w:pPr>
            <w:r>
              <w:rPr>
                <w:snapToGrid w:val="0"/>
              </w:rPr>
              <w:t>/</w:t>
            </w:r>
          </w:p>
        </w:tc>
        <w:tc>
          <w:tcPr>
            <w:tcW w:w="1560" w:type="dxa"/>
          </w:tcPr>
          <w:p w14:paraId="6AD92CDC">
            <w:pPr>
              <w:pStyle w:val="31"/>
            </w:pPr>
            <w:r>
              <w:rPr>
                <w:rFonts w:hint="eastAsia"/>
              </w:rPr>
              <w:t>0.35t/a</w:t>
            </w:r>
          </w:p>
        </w:tc>
        <w:tc>
          <w:tcPr>
            <w:tcW w:w="1643" w:type="dxa"/>
            <w:vAlign w:val="center"/>
          </w:tcPr>
          <w:p w14:paraId="289AEEBB">
            <w:pPr>
              <w:pStyle w:val="31"/>
              <w:rPr>
                <w:snapToGrid w:val="0"/>
              </w:rPr>
            </w:pPr>
            <w:r>
              <w:rPr>
                <w:snapToGrid w:val="0"/>
              </w:rPr>
              <w:t>/</w:t>
            </w:r>
          </w:p>
        </w:tc>
        <w:tc>
          <w:tcPr>
            <w:tcW w:w="1522" w:type="dxa"/>
          </w:tcPr>
          <w:p w14:paraId="5AC54AAF">
            <w:pPr>
              <w:pStyle w:val="31"/>
            </w:pPr>
            <w:r>
              <w:rPr>
                <w:rFonts w:hint="eastAsia"/>
              </w:rPr>
              <w:t>0.35t/a</w:t>
            </w:r>
          </w:p>
        </w:tc>
        <w:tc>
          <w:tcPr>
            <w:tcW w:w="1305" w:type="dxa"/>
            <w:vAlign w:val="center"/>
          </w:tcPr>
          <w:p w14:paraId="5DCEF1BE">
            <w:pPr>
              <w:pStyle w:val="31"/>
              <w:rPr>
                <w:snapToGrid w:val="0"/>
              </w:rPr>
            </w:pPr>
            <w:r>
              <w:rPr>
                <w:snapToGrid w:val="0"/>
              </w:rPr>
              <w:t>/</w:t>
            </w:r>
          </w:p>
        </w:tc>
      </w:tr>
      <w:tr w14:paraId="0AB93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continue"/>
            <w:vAlign w:val="center"/>
          </w:tcPr>
          <w:p w14:paraId="591E3A75">
            <w:pPr>
              <w:pStyle w:val="31"/>
              <w:rPr>
                <w:snapToGrid w:val="0"/>
              </w:rPr>
            </w:pPr>
          </w:p>
        </w:tc>
        <w:tc>
          <w:tcPr>
            <w:tcW w:w="1984" w:type="dxa"/>
            <w:vAlign w:val="center"/>
          </w:tcPr>
          <w:p w14:paraId="77B57CBB">
            <w:pPr>
              <w:pStyle w:val="31"/>
              <w:rPr>
                <w:snapToGrid w:val="0"/>
              </w:rPr>
            </w:pPr>
            <w:r>
              <w:rPr>
                <w:rFonts w:hint="eastAsia"/>
              </w:rPr>
              <w:t>氮氧化物</w:t>
            </w:r>
          </w:p>
        </w:tc>
        <w:tc>
          <w:tcPr>
            <w:tcW w:w="1598" w:type="dxa"/>
            <w:vAlign w:val="center"/>
          </w:tcPr>
          <w:p w14:paraId="087F1729">
            <w:pPr>
              <w:pStyle w:val="31"/>
              <w:rPr>
                <w:snapToGrid w:val="0"/>
              </w:rPr>
            </w:pPr>
            <w:r>
              <w:rPr>
                <w:rFonts w:hint="eastAsia"/>
                <w:snapToGrid w:val="0"/>
              </w:rPr>
              <w:t>/</w:t>
            </w:r>
          </w:p>
        </w:tc>
        <w:tc>
          <w:tcPr>
            <w:tcW w:w="1082" w:type="dxa"/>
            <w:vAlign w:val="center"/>
          </w:tcPr>
          <w:p w14:paraId="0EA831E0">
            <w:pPr>
              <w:pStyle w:val="31"/>
              <w:rPr>
                <w:snapToGrid w:val="0"/>
              </w:rPr>
            </w:pPr>
            <w:r>
              <w:rPr>
                <w:rFonts w:hint="eastAsia"/>
                <w:snapToGrid w:val="0"/>
              </w:rPr>
              <w:t>/</w:t>
            </w:r>
          </w:p>
        </w:tc>
        <w:tc>
          <w:tcPr>
            <w:tcW w:w="1894" w:type="dxa"/>
            <w:vAlign w:val="center"/>
          </w:tcPr>
          <w:p w14:paraId="658E17C5">
            <w:pPr>
              <w:pStyle w:val="31"/>
              <w:rPr>
                <w:snapToGrid w:val="0"/>
              </w:rPr>
            </w:pPr>
            <w:r>
              <w:rPr>
                <w:rFonts w:hint="eastAsia"/>
                <w:snapToGrid w:val="0"/>
              </w:rPr>
              <w:t>/</w:t>
            </w:r>
          </w:p>
        </w:tc>
        <w:tc>
          <w:tcPr>
            <w:tcW w:w="1560" w:type="dxa"/>
          </w:tcPr>
          <w:p w14:paraId="1732BFA7">
            <w:pPr>
              <w:pStyle w:val="31"/>
            </w:pPr>
            <w:r>
              <w:rPr>
                <w:rFonts w:hint="eastAsia"/>
              </w:rPr>
              <w:t>35.87t/a</w:t>
            </w:r>
          </w:p>
        </w:tc>
        <w:tc>
          <w:tcPr>
            <w:tcW w:w="1643" w:type="dxa"/>
            <w:vAlign w:val="center"/>
          </w:tcPr>
          <w:p w14:paraId="10EF3067">
            <w:pPr>
              <w:pStyle w:val="31"/>
              <w:rPr>
                <w:snapToGrid w:val="0"/>
              </w:rPr>
            </w:pPr>
            <w:r>
              <w:rPr>
                <w:rFonts w:hint="eastAsia"/>
                <w:snapToGrid w:val="0"/>
              </w:rPr>
              <w:t>/</w:t>
            </w:r>
          </w:p>
        </w:tc>
        <w:tc>
          <w:tcPr>
            <w:tcW w:w="1522" w:type="dxa"/>
          </w:tcPr>
          <w:p w14:paraId="4320A4E0">
            <w:pPr>
              <w:pStyle w:val="31"/>
            </w:pPr>
            <w:r>
              <w:rPr>
                <w:rFonts w:hint="eastAsia"/>
              </w:rPr>
              <w:t>35.87t/a</w:t>
            </w:r>
          </w:p>
        </w:tc>
        <w:tc>
          <w:tcPr>
            <w:tcW w:w="1305" w:type="dxa"/>
            <w:vAlign w:val="center"/>
          </w:tcPr>
          <w:p w14:paraId="56620DD3">
            <w:pPr>
              <w:pStyle w:val="31"/>
              <w:rPr>
                <w:snapToGrid w:val="0"/>
              </w:rPr>
            </w:pPr>
            <w:r>
              <w:rPr>
                <w:rFonts w:hint="eastAsia"/>
                <w:snapToGrid w:val="0"/>
              </w:rPr>
              <w:t>/</w:t>
            </w:r>
          </w:p>
        </w:tc>
      </w:tr>
      <w:tr w14:paraId="07B5B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continue"/>
            <w:vAlign w:val="center"/>
          </w:tcPr>
          <w:p w14:paraId="7EDD32BC">
            <w:pPr>
              <w:pStyle w:val="31"/>
              <w:rPr>
                <w:snapToGrid w:val="0"/>
              </w:rPr>
            </w:pPr>
          </w:p>
        </w:tc>
        <w:tc>
          <w:tcPr>
            <w:tcW w:w="1984" w:type="dxa"/>
            <w:vAlign w:val="center"/>
          </w:tcPr>
          <w:p w14:paraId="06F04738">
            <w:pPr>
              <w:pStyle w:val="31"/>
              <w:rPr>
                <w:snapToGrid w:val="0"/>
              </w:rPr>
            </w:pPr>
            <w:r>
              <w:rPr>
                <w:rFonts w:hint="eastAsia"/>
              </w:rPr>
              <w:t>颗粒物</w:t>
            </w:r>
          </w:p>
        </w:tc>
        <w:tc>
          <w:tcPr>
            <w:tcW w:w="1598" w:type="dxa"/>
            <w:vAlign w:val="center"/>
          </w:tcPr>
          <w:p w14:paraId="4AE8D8A1">
            <w:pPr>
              <w:pStyle w:val="31"/>
              <w:rPr>
                <w:snapToGrid w:val="0"/>
              </w:rPr>
            </w:pPr>
            <w:r>
              <w:rPr>
                <w:snapToGrid w:val="0"/>
              </w:rPr>
              <w:t>/</w:t>
            </w:r>
          </w:p>
        </w:tc>
        <w:tc>
          <w:tcPr>
            <w:tcW w:w="1082" w:type="dxa"/>
            <w:vAlign w:val="center"/>
          </w:tcPr>
          <w:p w14:paraId="61CB758C">
            <w:pPr>
              <w:pStyle w:val="31"/>
              <w:rPr>
                <w:snapToGrid w:val="0"/>
              </w:rPr>
            </w:pPr>
            <w:r>
              <w:rPr>
                <w:snapToGrid w:val="0"/>
              </w:rPr>
              <w:t>/</w:t>
            </w:r>
          </w:p>
        </w:tc>
        <w:tc>
          <w:tcPr>
            <w:tcW w:w="1894" w:type="dxa"/>
            <w:vAlign w:val="center"/>
          </w:tcPr>
          <w:p w14:paraId="55696CA0">
            <w:pPr>
              <w:pStyle w:val="31"/>
              <w:rPr>
                <w:snapToGrid w:val="0"/>
              </w:rPr>
            </w:pPr>
            <w:r>
              <w:rPr>
                <w:snapToGrid w:val="0"/>
              </w:rPr>
              <w:t>/</w:t>
            </w:r>
          </w:p>
        </w:tc>
        <w:tc>
          <w:tcPr>
            <w:tcW w:w="1560" w:type="dxa"/>
          </w:tcPr>
          <w:p w14:paraId="48791E20">
            <w:pPr>
              <w:pStyle w:val="31"/>
            </w:pPr>
            <w:r>
              <w:rPr>
                <w:rFonts w:hint="eastAsia"/>
              </w:rPr>
              <w:t>7.54t/a</w:t>
            </w:r>
          </w:p>
        </w:tc>
        <w:tc>
          <w:tcPr>
            <w:tcW w:w="1643" w:type="dxa"/>
            <w:vAlign w:val="center"/>
          </w:tcPr>
          <w:p w14:paraId="69858FF5">
            <w:pPr>
              <w:pStyle w:val="31"/>
              <w:rPr>
                <w:snapToGrid w:val="0"/>
              </w:rPr>
            </w:pPr>
            <w:r>
              <w:rPr>
                <w:rFonts w:hint="eastAsia"/>
                <w:snapToGrid w:val="0"/>
              </w:rPr>
              <w:t>/</w:t>
            </w:r>
          </w:p>
        </w:tc>
        <w:tc>
          <w:tcPr>
            <w:tcW w:w="1522" w:type="dxa"/>
          </w:tcPr>
          <w:p w14:paraId="43F09E25">
            <w:pPr>
              <w:pStyle w:val="31"/>
            </w:pPr>
            <w:r>
              <w:rPr>
                <w:rFonts w:hint="eastAsia"/>
              </w:rPr>
              <w:t>7.54t/a</w:t>
            </w:r>
          </w:p>
        </w:tc>
        <w:tc>
          <w:tcPr>
            <w:tcW w:w="1305" w:type="dxa"/>
            <w:vAlign w:val="center"/>
          </w:tcPr>
          <w:p w14:paraId="00EFB9C0">
            <w:pPr>
              <w:pStyle w:val="31"/>
              <w:rPr>
                <w:snapToGrid w:val="0"/>
              </w:rPr>
            </w:pPr>
            <w:r>
              <w:rPr>
                <w:rFonts w:hint="eastAsia"/>
                <w:snapToGrid w:val="0"/>
              </w:rPr>
              <w:t>/</w:t>
            </w:r>
          </w:p>
        </w:tc>
      </w:tr>
      <w:tr w14:paraId="4D3A2C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restart"/>
            <w:vAlign w:val="center"/>
          </w:tcPr>
          <w:p w14:paraId="618A85FD">
            <w:pPr>
              <w:pStyle w:val="31"/>
              <w:rPr>
                <w:snapToGrid w:val="0"/>
              </w:rPr>
            </w:pPr>
            <w:r>
              <w:rPr>
                <w:snapToGrid w:val="0"/>
              </w:rPr>
              <w:t>废水</w:t>
            </w:r>
          </w:p>
        </w:tc>
        <w:tc>
          <w:tcPr>
            <w:tcW w:w="1984" w:type="dxa"/>
            <w:vAlign w:val="center"/>
          </w:tcPr>
          <w:p w14:paraId="1A433010">
            <w:pPr>
              <w:pStyle w:val="31"/>
              <w:rPr>
                <w:snapToGrid w:val="0"/>
              </w:rPr>
            </w:pPr>
            <w:r>
              <w:rPr>
                <w:rFonts w:hint="eastAsia"/>
                <w:snapToGrid w:val="0"/>
              </w:rPr>
              <w:t>废水量</w:t>
            </w:r>
          </w:p>
        </w:tc>
        <w:tc>
          <w:tcPr>
            <w:tcW w:w="1598" w:type="dxa"/>
            <w:vAlign w:val="center"/>
          </w:tcPr>
          <w:p w14:paraId="1E979C3F">
            <w:pPr>
              <w:pStyle w:val="31"/>
              <w:rPr>
                <w:snapToGrid w:val="0"/>
              </w:rPr>
            </w:pPr>
            <w:r>
              <w:rPr>
                <w:snapToGrid w:val="0"/>
              </w:rPr>
              <w:t>/</w:t>
            </w:r>
          </w:p>
        </w:tc>
        <w:tc>
          <w:tcPr>
            <w:tcW w:w="1082" w:type="dxa"/>
            <w:vAlign w:val="center"/>
          </w:tcPr>
          <w:p w14:paraId="3951ECD6">
            <w:pPr>
              <w:pStyle w:val="31"/>
              <w:rPr>
                <w:snapToGrid w:val="0"/>
              </w:rPr>
            </w:pPr>
            <w:r>
              <w:rPr>
                <w:snapToGrid w:val="0"/>
              </w:rPr>
              <w:t>/</w:t>
            </w:r>
          </w:p>
        </w:tc>
        <w:tc>
          <w:tcPr>
            <w:tcW w:w="1894" w:type="dxa"/>
            <w:vAlign w:val="center"/>
          </w:tcPr>
          <w:p w14:paraId="16F7A051">
            <w:pPr>
              <w:pStyle w:val="31"/>
              <w:rPr>
                <w:snapToGrid w:val="0"/>
              </w:rPr>
            </w:pPr>
            <w:r>
              <w:rPr>
                <w:snapToGrid w:val="0"/>
              </w:rPr>
              <w:t>/</w:t>
            </w:r>
          </w:p>
        </w:tc>
        <w:tc>
          <w:tcPr>
            <w:tcW w:w="1560" w:type="dxa"/>
            <w:vAlign w:val="center"/>
          </w:tcPr>
          <w:p w14:paraId="34CDFD59">
            <w:pPr>
              <w:pStyle w:val="31"/>
              <w:rPr>
                <w:snapToGrid w:val="0"/>
              </w:rPr>
            </w:pPr>
            <w:r>
              <w:rPr>
                <w:rFonts w:hint="eastAsia"/>
              </w:rPr>
              <w:t>91257.17</w:t>
            </w:r>
            <w:r>
              <w:rPr>
                <w:rFonts w:hint="eastAsia"/>
                <w:snapToGrid w:val="0"/>
              </w:rPr>
              <w:t>m</w:t>
            </w:r>
            <w:r>
              <w:rPr>
                <w:rFonts w:hint="eastAsia"/>
                <w:snapToGrid w:val="0"/>
                <w:vertAlign w:val="superscript"/>
              </w:rPr>
              <w:t>3</w:t>
            </w:r>
            <w:r>
              <w:rPr>
                <w:rFonts w:hint="eastAsia"/>
                <w:snapToGrid w:val="0"/>
              </w:rPr>
              <w:t>/a</w:t>
            </w:r>
          </w:p>
        </w:tc>
        <w:tc>
          <w:tcPr>
            <w:tcW w:w="1643" w:type="dxa"/>
            <w:vAlign w:val="center"/>
          </w:tcPr>
          <w:p w14:paraId="5D7D0277">
            <w:pPr>
              <w:pStyle w:val="31"/>
              <w:rPr>
                <w:snapToGrid w:val="0"/>
              </w:rPr>
            </w:pPr>
            <w:r>
              <w:rPr>
                <w:snapToGrid w:val="0"/>
              </w:rPr>
              <w:t>/</w:t>
            </w:r>
          </w:p>
        </w:tc>
        <w:tc>
          <w:tcPr>
            <w:tcW w:w="1522" w:type="dxa"/>
            <w:vAlign w:val="center"/>
          </w:tcPr>
          <w:p w14:paraId="1FD485D8">
            <w:pPr>
              <w:pStyle w:val="31"/>
              <w:rPr>
                <w:snapToGrid w:val="0"/>
              </w:rPr>
            </w:pPr>
            <w:r>
              <w:rPr>
                <w:rFonts w:hint="eastAsia"/>
              </w:rPr>
              <w:t>91257.17</w:t>
            </w:r>
            <w:r>
              <w:rPr>
                <w:rFonts w:hint="eastAsia"/>
                <w:snapToGrid w:val="0"/>
              </w:rPr>
              <w:t>m</w:t>
            </w:r>
            <w:r>
              <w:rPr>
                <w:rFonts w:hint="eastAsia"/>
                <w:snapToGrid w:val="0"/>
                <w:vertAlign w:val="superscript"/>
              </w:rPr>
              <w:t>3</w:t>
            </w:r>
            <w:r>
              <w:rPr>
                <w:rFonts w:hint="eastAsia"/>
                <w:snapToGrid w:val="0"/>
              </w:rPr>
              <w:t>/a</w:t>
            </w:r>
          </w:p>
        </w:tc>
        <w:tc>
          <w:tcPr>
            <w:tcW w:w="1305" w:type="dxa"/>
            <w:vAlign w:val="center"/>
          </w:tcPr>
          <w:p w14:paraId="371F778D">
            <w:pPr>
              <w:pStyle w:val="31"/>
              <w:rPr>
                <w:snapToGrid w:val="0"/>
              </w:rPr>
            </w:pPr>
            <w:r>
              <w:rPr>
                <w:snapToGrid w:val="0"/>
              </w:rPr>
              <w:t>/</w:t>
            </w:r>
          </w:p>
        </w:tc>
      </w:tr>
      <w:tr w14:paraId="2C03C4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continue"/>
            <w:vAlign w:val="center"/>
          </w:tcPr>
          <w:p w14:paraId="4BB7A6D0">
            <w:pPr>
              <w:pStyle w:val="31"/>
              <w:rPr>
                <w:snapToGrid w:val="0"/>
              </w:rPr>
            </w:pPr>
          </w:p>
        </w:tc>
        <w:tc>
          <w:tcPr>
            <w:tcW w:w="1984" w:type="dxa"/>
            <w:vAlign w:val="center"/>
          </w:tcPr>
          <w:p w14:paraId="5F876216">
            <w:pPr>
              <w:pStyle w:val="31"/>
              <w:rPr>
                <w:snapToGrid w:val="0"/>
              </w:rPr>
            </w:pPr>
            <w:r>
              <w:rPr>
                <w:rFonts w:hint="eastAsia"/>
                <w:snapToGrid w:val="0"/>
              </w:rPr>
              <w:t>COD</w:t>
            </w:r>
          </w:p>
        </w:tc>
        <w:tc>
          <w:tcPr>
            <w:tcW w:w="1598" w:type="dxa"/>
            <w:vAlign w:val="center"/>
          </w:tcPr>
          <w:p w14:paraId="67CACEBD">
            <w:pPr>
              <w:pStyle w:val="31"/>
              <w:rPr>
                <w:snapToGrid w:val="0"/>
              </w:rPr>
            </w:pPr>
            <w:r>
              <w:rPr>
                <w:snapToGrid w:val="0"/>
              </w:rPr>
              <w:t>/</w:t>
            </w:r>
          </w:p>
        </w:tc>
        <w:tc>
          <w:tcPr>
            <w:tcW w:w="1082" w:type="dxa"/>
            <w:vAlign w:val="center"/>
          </w:tcPr>
          <w:p w14:paraId="6A6A2650">
            <w:pPr>
              <w:pStyle w:val="31"/>
              <w:rPr>
                <w:snapToGrid w:val="0"/>
              </w:rPr>
            </w:pPr>
            <w:r>
              <w:rPr>
                <w:snapToGrid w:val="0"/>
              </w:rPr>
              <w:t>/</w:t>
            </w:r>
          </w:p>
        </w:tc>
        <w:tc>
          <w:tcPr>
            <w:tcW w:w="1894" w:type="dxa"/>
            <w:vAlign w:val="center"/>
          </w:tcPr>
          <w:p w14:paraId="054CBC5C">
            <w:pPr>
              <w:pStyle w:val="31"/>
              <w:rPr>
                <w:snapToGrid w:val="0"/>
              </w:rPr>
            </w:pPr>
            <w:r>
              <w:rPr>
                <w:snapToGrid w:val="0"/>
              </w:rPr>
              <w:t>/</w:t>
            </w:r>
          </w:p>
        </w:tc>
        <w:tc>
          <w:tcPr>
            <w:tcW w:w="1560" w:type="dxa"/>
            <w:vAlign w:val="center"/>
          </w:tcPr>
          <w:p w14:paraId="6BE2BB1C">
            <w:pPr>
              <w:pStyle w:val="31"/>
            </w:pPr>
            <w:r>
              <w:rPr>
                <w:rFonts w:hint="eastAsia"/>
              </w:rPr>
              <w:t>3.65t/a</w:t>
            </w:r>
          </w:p>
        </w:tc>
        <w:tc>
          <w:tcPr>
            <w:tcW w:w="1643" w:type="dxa"/>
            <w:vAlign w:val="center"/>
          </w:tcPr>
          <w:p w14:paraId="74310905">
            <w:pPr>
              <w:pStyle w:val="31"/>
              <w:rPr>
                <w:snapToGrid w:val="0"/>
              </w:rPr>
            </w:pPr>
            <w:r>
              <w:rPr>
                <w:snapToGrid w:val="0"/>
              </w:rPr>
              <w:t>/</w:t>
            </w:r>
          </w:p>
        </w:tc>
        <w:tc>
          <w:tcPr>
            <w:tcW w:w="1522" w:type="dxa"/>
            <w:vAlign w:val="center"/>
          </w:tcPr>
          <w:p w14:paraId="1833FBBB">
            <w:pPr>
              <w:pStyle w:val="31"/>
            </w:pPr>
            <w:r>
              <w:rPr>
                <w:rFonts w:hint="eastAsia"/>
              </w:rPr>
              <w:t>3.65t/a</w:t>
            </w:r>
          </w:p>
        </w:tc>
        <w:tc>
          <w:tcPr>
            <w:tcW w:w="1305" w:type="dxa"/>
            <w:vAlign w:val="center"/>
          </w:tcPr>
          <w:p w14:paraId="1D4CF29A">
            <w:pPr>
              <w:pStyle w:val="31"/>
              <w:rPr>
                <w:snapToGrid w:val="0"/>
              </w:rPr>
            </w:pPr>
            <w:r>
              <w:rPr>
                <w:snapToGrid w:val="0"/>
              </w:rPr>
              <w:t>/</w:t>
            </w:r>
          </w:p>
        </w:tc>
      </w:tr>
      <w:tr w14:paraId="6708D8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continue"/>
            <w:vAlign w:val="center"/>
          </w:tcPr>
          <w:p w14:paraId="278BCD72">
            <w:pPr>
              <w:pStyle w:val="31"/>
              <w:rPr>
                <w:snapToGrid w:val="0"/>
              </w:rPr>
            </w:pPr>
          </w:p>
        </w:tc>
        <w:tc>
          <w:tcPr>
            <w:tcW w:w="1984" w:type="dxa"/>
            <w:vAlign w:val="center"/>
          </w:tcPr>
          <w:p w14:paraId="3955693A">
            <w:pPr>
              <w:pStyle w:val="31"/>
              <w:rPr>
                <w:snapToGrid w:val="0"/>
              </w:rPr>
            </w:pPr>
            <w:r>
              <w:rPr>
                <w:snapToGrid w:val="0"/>
              </w:rPr>
              <w:t>NH</w:t>
            </w:r>
            <w:r>
              <w:rPr>
                <w:snapToGrid w:val="0"/>
                <w:vertAlign w:val="subscript"/>
              </w:rPr>
              <w:t>3</w:t>
            </w:r>
            <w:r>
              <w:rPr>
                <w:snapToGrid w:val="0"/>
              </w:rPr>
              <w:t>-N</w:t>
            </w:r>
          </w:p>
        </w:tc>
        <w:tc>
          <w:tcPr>
            <w:tcW w:w="1598" w:type="dxa"/>
            <w:vAlign w:val="center"/>
          </w:tcPr>
          <w:p w14:paraId="1CB2B59B">
            <w:pPr>
              <w:pStyle w:val="31"/>
              <w:rPr>
                <w:snapToGrid w:val="0"/>
              </w:rPr>
            </w:pPr>
            <w:r>
              <w:rPr>
                <w:snapToGrid w:val="0"/>
              </w:rPr>
              <w:t>/</w:t>
            </w:r>
          </w:p>
        </w:tc>
        <w:tc>
          <w:tcPr>
            <w:tcW w:w="1082" w:type="dxa"/>
            <w:vAlign w:val="center"/>
          </w:tcPr>
          <w:p w14:paraId="0EEDC57E">
            <w:pPr>
              <w:pStyle w:val="31"/>
              <w:rPr>
                <w:snapToGrid w:val="0"/>
              </w:rPr>
            </w:pPr>
            <w:r>
              <w:rPr>
                <w:snapToGrid w:val="0"/>
              </w:rPr>
              <w:t>/</w:t>
            </w:r>
          </w:p>
        </w:tc>
        <w:tc>
          <w:tcPr>
            <w:tcW w:w="1894" w:type="dxa"/>
            <w:vAlign w:val="center"/>
          </w:tcPr>
          <w:p w14:paraId="52BE1F81">
            <w:pPr>
              <w:pStyle w:val="31"/>
              <w:rPr>
                <w:snapToGrid w:val="0"/>
              </w:rPr>
            </w:pPr>
            <w:r>
              <w:rPr>
                <w:snapToGrid w:val="0"/>
              </w:rPr>
              <w:t>/</w:t>
            </w:r>
          </w:p>
        </w:tc>
        <w:tc>
          <w:tcPr>
            <w:tcW w:w="1560" w:type="dxa"/>
            <w:vAlign w:val="center"/>
          </w:tcPr>
          <w:p w14:paraId="62CB828F">
            <w:pPr>
              <w:pStyle w:val="31"/>
            </w:pPr>
            <w:r>
              <w:rPr>
                <w:rFonts w:hint="eastAsia"/>
              </w:rPr>
              <w:t>0.46t/a</w:t>
            </w:r>
          </w:p>
        </w:tc>
        <w:tc>
          <w:tcPr>
            <w:tcW w:w="1643" w:type="dxa"/>
            <w:vAlign w:val="center"/>
          </w:tcPr>
          <w:p w14:paraId="345C9AF7">
            <w:pPr>
              <w:pStyle w:val="31"/>
              <w:rPr>
                <w:snapToGrid w:val="0"/>
              </w:rPr>
            </w:pPr>
            <w:r>
              <w:rPr>
                <w:snapToGrid w:val="0"/>
              </w:rPr>
              <w:t>/</w:t>
            </w:r>
          </w:p>
        </w:tc>
        <w:tc>
          <w:tcPr>
            <w:tcW w:w="1522" w:type="dxa"/>
            <w:vAlign w:val="center"/>
          </w:tcPr>
          <w:p w14:paraId="5FB1C899">
            <w:pPr>
              <w:pStyle w:val="31"/>
            </w:pPr>
            <w:r>
              <w:rPr>
                <w:rFonts w:hint="eastAsia"/>
              </w:rPr>
              <w:t>0.46t/a</w:t>
            </w:r>
          </w:p>
        </w:tc>
        <w:tc>
          <w:tcPr>
            <w:tcW w:w="1305" w:type="dxa"/>
            <w:vAlign w:val="center"/>
          </w:tcPr>
          <w:p w14:paraId="426991BD">
            <w:pPr>
              <w:pStyle w:val="31"/>
              <w:rPr>
                <w:snapToGrid w:val="0"/>
              </w:rPr>
            </w:pPr>
            <w:r>
              <w:rPr>
                <w:snapToGrid w:val="0"/>
              </w:rPr>
              <w:t>/</w:t>
            </w:r>
          </w:p>
        </w:tc>
      </w:tr>
      <w:tr w14:paraId="0AD09E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restart"/>
            <w:vAlign w:val="center"/>
          </w:tcPr>
          <w:p w14:paraId="596D3698">
            <w:pPr>
              <w:pStyle w:val="31"/>
              <w:rPr>
                <w:snapToGrid w:val="0"/>
              </w:rPr>
            </w:pPr>
            <w:r>
              <w:rPr>
                <w:snapToGrid w:val="0"/>
              </w:rPr>
              <w:t>一般工业</w:t>
            </w:r>
          </w:p>
          <w:p w14:paraId="4DD44593">
            <w:pPr>
              <w:pStyle w:val="31"/>
              <w:rPr>
                <w:snapToGrid w:val="0"/>
              </w:rPr>
            </w:pPr>
            <w:r>
              <w:rPr>
                <w:snapToGrid w:val="0"/>
              </w:rPr>
              <w:t>固体废物</w:t>
            </w:r>
          </w:p>
        </w:tc>
        <w:tc>
          <w:tcPr>
            <w:tcW w:w="1984" w:type="dxa"/>
            <w:vAlign w:val="center"/>
          </w:tcPr>
          <w:p w14:paraId="637E08DE">
            <w:pPr>
              <w:pStyle w:val="31"/>
              <w:rPr>
                <w:snapToGrid w:val="0"/>
              </w:rPr>
            </w:pPr>
            <w:r>
              <w:rPr>
                <w:rFonts w:hint="eastAsia"/>
              </w:rPr>
              <w:t>生活垃圾</w:t>
            </w:r>
          </w:p>
        </w:tc>
        <w:tc>
          <w:tcPr>
            <w:tcW w:w="1598" w:type="dxa"/>
            <w:vAlign w:val="center"/>
          </w:tcPr>
          <w:p w14:paraId="75271F23">
            <w:pPr>
              <w:pStyle w:val="31"/>
              <w:rPr>
                <w:snapToGrid w:val="0"/>
              </w:rPr>
            </w:pPr>
            <w:r>
              <w:rPr>
                <w:snapToGrid w:val="0"/>
              </w:rPr>
              <w:t>/</w:t>
            </w:r>
          </w:p>
        </w:tc>
        <w:tc>
          <w:tcPr>
            <w:tcW w:w="1082" w:type="dxa"/>
            <w:vAlign w:val="center"/>
          </w:tcPr>
          <w:p w14:paraId="78E27088">
            <w:pPr>
              <w:pStyle w:val="31"/>
              <w:rPr>
                <w:snapToGrid w:val="0"/>
              </w:rPr>
            </w:pPr>
            <w:r>
              <w:rPr>
                <w:snapToGrid w:val="0"/>
              </w:rPr>
              <w:t>/</w:t>
            </w:r>
          </w:p>
        </w:tc>
        <w:tc>
          <w:tcPr>
            <w:tcW w:w="1894" w:type="dxa"/>
            <w:vAlign w:val="center"/>
          </w:tcPr>
          <w:p w14:paraId="22040420">
            <w:pPr>
              <w:pStyle w:val="31"/>
              <w:rPr>
                <w:snapToGrid w:val="0"/>
              </w:rPr>
            </w:pPr>
            <w:r>
              <w:rPr>
                <w:snapToGrid w:val="0"/>
              </w:rPr>
              <w:t>/</w:t>
            </w:r>
          </w:p>
        </w:tc>
        <w:tc>
          <w:tcPr>
            <w:tcW w:w="1560" w:type="dxa"/>
            <w:vAlign w:val="center"/>
          </w:tcPr>
          <w:p w14:paraId="0F1EF6B3">
            <w:pPr>
              <w:pStyle w:val="31"/>
              <w:rPr>
                <w:snapToGrid w:val="0"/>
              </w:rPr>
            </w:pPr>
            <w:r>
              <w:rPr>
                <w:rFonts w:hint="eastAsia"/>
              </w:rPr>
              <w:t>1.98t/a</w:t>
            </w:r>
          </w:p>
        </w:tc>
        <w:tc>
          <w:tcPr>
            <w:tcW w:w="1643" w:type="dxa"/>
            <w:vAlign w:val="center"/>
          </w:tcPr>
          <w:p w14:paraId="31EAF7E9">
            <w:pPr>
              <w:pStyle w:val="31"/>
              <w:rPr>
                <w:snapToGrid w:val="0"/>
              </w:rPr>
            </w:pPr>
            <w:r>
              <w:rPr>
                <w:snapToGrid w:val="0"/>
              </w:rPr>
              <w:t>/</w:t>
            </w:r>
          </w:p>
        </w:tc>
        <w:tc>
          <w:tcPr>
            <w:tcW w:w="1522" w:type="dxa"/>
            <w:vAlign w:val="center"/>
          </w:tcPr>
          <w:p w14:paraId="1E35790B">
            <w:pPr>
              <w:pStyle w:val="31"/>
              <w:rPr>
                <w:snapToGrid w:val="0"/>
              </w:rPr>
            </w:pPr>
            <w:r>
              <w:rPr>
                <w:rFonts w:hint="eastAsia"/>
              </w:rPr>
              <w:t>1.98t/a</w:t>
            </w:r>
          </w:p>
        </w:tc>
        <w:tc>
          <w:tcPr>
            <w:tcW w:w="1305" w:type="dxa"/>
            <w:vAlign w:val="center"/>
          </w:tcPr>
          <w:p w14:paraId="047154D8">
            <w:pPr>
              <w:pStyle w:val="31"/>
              <w:rPr>
                <w:snapToGrid w:val="0"/>
              </w:rPr>
            </w:pPr>
            <w:r>
              <w:rPr>
                <w:snapToGrid w:val="0"/>
              </w:rPr>
              <w:t>/</w:t>
            </w:r>
          </w:p>
        </w:tc>
      </w:tr>
      <w:tr w14:paraId="19B6A0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continue"/>
            <w:vAlign w:val="center"/>
          </w:tcPr>
          <w:p w14:paraId="0062A797">
            <w:pPr>
              <w:pStyle w:val="31"/>
              <w:rPr>
                <w:snapToGrid w:val="0"/>
              </w:rPr>
            </w:pPr>
          </w:p>
        </w:tc>
        <w:tc>
          <w:tcPr>
            <w:tcW w:w="1984" w:type="dxa"/>
            <w:vAlign w:val="center"/>
          </w:tcPr>
          <w:p w14:paraId="63C3ED32">
            <w:pPr>
              <w:pStyle w:val="31"/>
              <w:rPr>
                <w:snapToGrid w:val="0"/>
              </w:rPr>
            </w:pPr>
            <w:r>
              <w:rPr>
                <w:rFonts w:hint="eastAsia"/>
              </w:rPr>
              <w:t>气化炉灰渣</w:t>
            </w:r>
          </w:p>
        </w:tc>
        <w:tc>
          <w:tcPr>
            <w:tcW w:w="1598" w:type="dxa"/>
            <w:vAlign w:val="center"/>
          </w:tcPr>
          <w:p w14:paraId="6E6F90D9">
            <w:pPr>
              <w:pStyle w:val="31"/>
              <w:rPr>
                <w:snapToGrid w:val="0"/>
              </w:rPr>
            </w:pPr>
            <w:r>
              <w:rPr>
                <w:rFonts w:hint="eastAsia"/>
                <w:snapToGrid w:val="0"/>
              </w:rPr>
              <w:t>/</w:t>
            </w:r>
          </w:p>
        </w:tc>
        <w:tc>
          <w:tcPr>
            <w:tcW w:w="1082" w:type="dxa"/>
            <w:vAlign w:val="center"/>
          </w:tcPr>
          <w:p w14:paraId="4914BC75">
            <w:pPr>
              <w:pStyle w:val="31"/>
              <w:rPr>
                <w:snapToGrid w:val="0"/>
              </w:rPr>
            </w:pPr>
            <w:r>
              <w:rPr>
                <w:rFonts w:hint="eastAsia"/>
                <w:snapToGrid w:val="0"/>
              </w:rPr>
              <w:t>/</w:t>
            </w:r>
          </w:p>
        </w:tc>
        <w:tc>
          <w:tcPr>
            <w:tcW w:w="1894" w:type="dxa"/>
            <w:vAlign w:val="center"/>
          </w:tcPr>
          <w:p w14:paraId="3B8EB670">
            <w:pPr>
              <w:pStyle w:val="31"/>
              <w:rPr>
                <w:snapToGrid w:val="0"/>
              </w:rPr>
            </w:pPr>
            <w:r>
              <w:rPr>
                <w:rFonts w:hint="eastAsia"/>
                <w:snapToGrid w:val="0"/>
              </w:rPr>
              <w:t>/</w:t>
            </w:r>
          </w:p>
        </w:tc>
        <w:tc>
          <w:tcPr>
            <w:tcW w:w="1560" w:type="dxa"/>
            <w:vAlign w:val="center"/>
          </w:tcPr>
          <w:p w14:paraId="6CF9A9AC">
            <w:pPr>
              <w:pStyle w:val="31"/>
              <w:rPr>
                <w:snapToGrid w:val="0"/>
              </w:rPr>
            </w:pPr>
            <w:r>
              <w:rPr>
                <w:rFonts w:hint="eastAsia"/>
              </w:rPr>
              <w:t>13000t/a</w:t>
            </w:r>
          </w:p>
        </w:tc>
        <w:tc>
          <w:tcPr>
            <w:tcW w:w="1643" w:type="dxa"/>
            <w:vAlign w:val="center"/>
          </w:tcPr>
          <w:p w14:paraId="40EF1429">
            <w:pPr>
              <w:pStyle w:val="31"/>
              <w:rPr>
                <w:snapToGrid w:val="0"/>
              </w:rPr>
            </w:pPr>
            <w:r>
              <w:rPr>
                <w:rFonts w:hint="eastAsia"/>
                <w:snapToGrid w:val="0"/>
              </w:rPr>
              <w:t>/</w:t>
            </w:r>
          </w:p>
        </w:tc>
        <w:tc>
          <w:tcPr>
            <w:tcW w:w="1522" w:type="dxa"/>
            <w:vAlign w:val="center"/>
          </w:tcPr>
          <w:p w14:paraId="2EE5394B">
            <w:pPr>
              <w:pStyle w:val="31"/>
              <w:rPr>
                <w:snapToGrid w:val="0"/>
              </w:rPr>
            </w:pPr>
            <w:r>
              <w:rPr>
                <w:rFonts w:hint="eastAsia"/>
              </w:rPr>
              <w:t>13000t/a</w:t>
            </w:r>
          </w:p>
        </w:tc>
        <w:tc>
          <w:tcPr>
            <w:tcW w:w="1305" w:type="dxa"/>
            <w:vAlign w:val="center"/>
          </w:tcPr>
          <w:p w14:paraId="2AD3C844">
            <w:pPr>
              <w:pStyle w:val="31"/>
              <w:rPr>
                <w:snapToGrid w:val="0"/>
              </w:rPr>
            </w:pPr>
            <w:r>
              <w:rPr>
                <w:rFonts w:hint="eastAsia"/>
                <w:snapToGrid w:val="0"/>
              </w:rPr>
              <w:t>/</w:t>
            </w:r>
          </w:p>
        </w:tc>
      </w:tr>
      <w:tr w14:paraId="6731A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continue"/>
            <w:vAlign w:val="center"/>
          </w:tcPr>
          <w:p w14:paraId="0E2EEFBA">
            <w:pPr>
              <w:pStyle w:val="31"/>
              <w:rPr>
                <w:snapToGrid w:val="0"/>
              </w:rPr>
            </w:pPr>
          </w:p>
        </w:tc>
        <w:tc>
          <w:tcPr>
            <w:tcW w:w="1984" w:type="dxa"/>
            <w:vAlign w:val="center"/>
          </w:tcPr>
          <w:p w14:paraId="39AF6DB0">
            <w:pPr>
              <w:pStyle w:val="31"/>
            </w:pPr>
            <w:r>
              <w:rPr>
                <w:rFonts w:hint="eastAsia"/>
              </w:rPr>
              <w:t>除尘渣</w:t>
            </w:r>
          </w:p>
        </w:tc>
        <w:tc>
          <w:tcPr>
            <w:tcW w:w="1598" w:type="dxa"/>
            <w:vAlign w:val="center"/>
          </w:tcPr>
          <w:p w14:paraId="1A0FDED8">
            <w:pPr>
              <w:pStyle w:val="31"/>
              <w:rPr>
                <w:snapToGrid w:val="0"/>
              </w:rPr>
            </w:pPr>
            <w:r>
              <w:rPr>
                <w:rFonts w:hint="eastAsia"/>
                <w:snapToGrid w:val="0"/>
              </w:rPr>
              <w:t>/</w:t>
            </w:r>
          </w:p>
        </w:tc>
        <w:tc>
          <w:tcPr>
            <w:tcW w:w="1082" w:type="dxa"/>
            <w:vAlign w:val="center"/>
          </w:tcPr>
          <w:p w14:paraId="6DE4B924">
            <w:pPr>
              <w:pStyle w:val="31"/>
              <w:rPr>
                <w:snapToGrid w:val="0"/>
              </w:rPr>
            </w:pPr>
            <w:r>
              <w:rPr>
                <w:rFonts w:hint="eastAsia"/>
                <w:snapToGrid w:val="0"/>
              </w:rPr>
              <w:t>/</w:t>
            </w:r>
          </w:p>
        </w:tc>
        <w:tc>
          <w:tcPr>
            <w:tcW w:w="1894" w:type="dxa"/>
            <w:vAlign w:val="center"/>
          </w:tcPr>
          <w:p w14:paraId="7A9F8E83">
            <w:pPr>
              <w:pStyle w:val="31"/>
              <w:rPr>
                <w:snapToGrid w:val="0"/>
              </w:rPr>
            </w:pPr>
            <w:r>
              <w:rPr>
                <w:rFonts w:hint="eastAsia"/>
                <w:snapToGrid w:val="0"/>
              </w:rPr>
              <w:t>/</w:t>
            </w:r>
          </w:p>
        </w:tc>
        <w:tc>
          <w:tcPr>
            <w:tcW w:w="1560" w:type="dxa"/>
            <w:vAlign w:val="center"/>
          </w:tcPr>
          <w:p w14:paraId="562B4248">
            <w:pPr>
              <w:pStyle w:val="31"/>
            </w:pPr>
            <w:r>
              <w:rPr>
                <w:rFonts w:hint="eastAsia"/>
              </w:rPr>
              <w:t>113.1t/a</w:t>
            </w:r>
          </w:p>
        </w:tc>
        <w:tc>
          <w:tcPr>
            <w:tcW w:w="1643" w:type="dxa"/>
            <w:vAlign w:val="center"/>
          </w:tcPr>
          <w:p w14:paraId="549AA663">
            <w:pPr>
              <w:pStyle w:val="31"/>
              <w:rPr>
                <w:snapToGrid w:val="0"/>
              </w:rPr>
            </w:pPr>
            <w:r>
              <w:rPr>
                <w:rFonts w:hint="eastAsia"/>
                <w:snapToGrid w:val="0"/>
              </w:rPr>
              <w:t>/</w:t>
            </w:r>
          </w:p>
        </w:tc>
        <w:tc>
          <w:tcPr>
            <w:tcW w:w="1522" w:type="dxa"/>
            <w:vAlign w:val="center"/>
          </w:tcPr>
          <w:p w14:paraId="4BEE02D3">
            <w:pPr>
              <w:pStyle w:val="31"/>
            </w:pPr>
            <w:r>
              <w:rPr>
                <w:rFonts w:hint="eastAsia"/>
              </w:rPr>
              <w:t>113.1t/a</w:t>
            </w:r>
          </w:p>
        </w:tc>
        <w:tc>
          <w:tcPr>
            <w:tcW w:w="1305" w:type="dxa"/>
            <w:vAlign w:val="center"/>
          </w:tcPr>
          <w:p w14:paraId="04EF30D9">
            <w:pPr>
              <w:pStyle w:val="31"/>
              <w:rPr>
                <w:snapToGrid w:val="0"/>
              </w:rPr>
            </w:pPr>
            <w:r>
              <w:rPr>
                <w:rFonts w:hint="eastAsia"/>
                <w:snapToGrid w:val="0"/>
              </w:rPr>
              <w:t>/</w:t>
            </w:r>
          </w:p>
        </w:tc>
      </w:tr>
      <w:tr w14:paraId="6E5576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continue"/>
            <w:vAlign w:val="center"/>
          </w:tcPr>
          <w:p w14:paraId="75DF1E35">
            <w:pPr>
              <w:pStyle w:val="31"/>
              <w:rPr>
                <w:snapToGrid w:val="0"/>
              </w:rPr>
            </w:pPr>
          </w:p>
        </w:tc>
        <w:tc>
          <w:tcPr>
            <w:tcW w:w="1984" w:type="dxa"/>
            <w:vAlign w:val="center"/>
          </w:tcPr>
          <w:p w14:paraId="0B96C39B">
            <w:pPr>
              <w:pStyle w:val="31"/>
            </w:pPr>
            <w:r>
              <w:rPr>
                <w:rFonts w:hint="eastAsia"/>
              </w:rPr>
              <w:t>废离子交换树脂</w:t>
            </w:r>
          </w:p>
        </w:tc>
        <w:tc>
          <w:tcPr>
            <w:tcW w:w="1598" w:type="dxa"/>
            <w:vAlign w:val="center"/>
          </w:tcPr>
          <w:p w14:paraId="31DAB799">
            <w:pPr>
              <w:pStyle w:val="31"/>
              <w:rPr>
                <w:snapToGrid w:val="0"/>
              </w:rPr>
            </w:pPr>
            <w:r>
              <w:rPr>
                <w:rFonts w:hint="eastAsia"/>
                <w:snapToGrid w:val="0"/>
              </w:rPr>
              <w:t>/</w:t>
            </w:r>
          </w:p>
        </w:tc>
        <w:tc>
          <w:tcPr>
            <w:tcW w:w="1082" w:type="dxa"/>
            <w:vAlign w:val="center"/>
          </w:tcPr>
          <w:p w14:paraId="2EC23B74">
            <w:pPr>
              <w:pStyle w:val="31"/>
              <w:rPr>
                <w:snapToGrid w:val="0"/>
              </w:rPr>
            </w:pPr>
            <w:r>
              <w:rPr>
                <w:rFonts w:hint="eastAsia"/>
                <w:snapToGrid w:val="0"/>
              </w:rPr>
              <w:t>/</w:t>
            </w:r>
          </w:p>
        </w:tc>
        <w:tc>
          <w:tcPr>
            <w:tcW w:w="1894" w:type="dxa"/>
            <w:vAlign w:val="center"/>
          </w:tcPr>
          <w:p w14:paraId="6C6FA6EE">
            <w:pPr>
              <w:pStyle w:val="31"/>
              <w:rPr>
                <w:snapToGrid w:val="0"/>
              </w:rPr>
            </w:pPr>
            <w:r>
              <w:rPr>
                <w:rFonts w:hint="eastAsia"/>
                <w:snapToGrid w:val="0"/>
              </w:rPr>
              <w:t>/</w:t>
            </w:r>
          </w:p>
        </w:tc>
        <w:tc>
          <w:tcPr>
            <w:tcW w:w="1560" w:type="dxa"/>
            <w:vAlign w:val="center"/>
          </w:tcPr>
          <w:p w14:paraId="1263F7D8">
            <w:pPr>
              <w:pStyle w:val="31"/>
            </w:pPr>
            <w:r>
              <w:rPr>
                <w:rFonts w:hint="eastAsia"/>
                <w:snapToGrid w:val="0"/>
              </w:rPr>
              <w:t>0.1t/a</w:t>
            </w:r>
          </w:p>
        </w:tc>
        <w:tc>
          <w:tcPr>
            <w:tcW w:w="1643" w:type="dxa"/>
            <w:vAlign w:val="center"/>
          </w:tcPr>
          <w:p w14:paraId="2027C4DB">
            <w:pPr>
              <w:pStyle w:val="31"/>
              <w:rPr>
                <w:snapToGrid w:val="0"/>
              </w:rPr>
            </w:pPr>
            <w:r>
              <w:rPr>
                <w:rFonts w:hint="eastAsia"/>
                <w:snapToGrid w:val="0"/>
              </w:rPr>
              <w:t>/</w:t>
            </w:r>
          </w:p>
        </w:tc>
        <w:tc>
          <w:tcPr>
            <w:tcW w:w="1522" w:type="dxa"/>
            <w:vAlign w:val="center"/>
          </w:tcPr>
          <w:p w14:paraId="30B7BF8E">
            <w:pPr>
              <w:pStyle w:val="31"/>
            </w:pPr>
            <w:r>
              <w:rPr>
                <w:rFonts w:hint="eastAsia"/>
                <w:snapToGrid w:val="0"/>
              </w:rPr>
              <w:t>0.1t/a</w:t>
            </w:r>
          </w:p>
        </w:tc>
        <w:tc>
          <w:tcPr>
            <w:tcW w:w="1305" w:type="dxa"/>
            <w:vAlign w:val="center"/>
          </w:tcPr>
          <w:p w14:paraId="143C74B1">
            <w:pPr>
              <w:pStyle w:val="31"/>
              <w:rPr>
                <w:snapToGrid w:val="0"/>
              </w:rPr>
            </w:pPr>
            <w:r>
              <w:rPr>
                <w:rFonts w:hint="eastAsia"/>
                <w:snapToGrid w:val="0"/>
              </w:rPr>
              <w:t>/</w:t>
            </w:r>
          </w:p>
        </w:tc>
      </w:tr>
      <w:tr w14:paraId="0E2CE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restart"/>
            <w:vAlign w:val="center"/>
          </w:tcPr>
          <w:p w14:paraId="5FAD226A">
            <w:pPr>
              <w:pStyle w:val="31"/>
              <w:rPr>
                <w:snapToGrid w:val="0"/>
              </w:rPr>
            </w:pPr>
            <w:r>
              <w:rPr>
                <w:snapToGrid w:val="0"/>
              </w:rPr>
              <w:t>危险废物</w:t>
            </w:r>
          </w:p>
        </w:tc>
        <w:tc>
          <w:tcPr>
            <w:tcW w:w="1984" w:type="dxa"/>
            <w:vAlign w:val="center"/>
          </w:tcPr>
          <w:p w14:paraId="100E2F3A">
            <w:pPr>
              <w:pStyle w:val="31"/>
              <w:rPr>
                <w:snapToGrid w:val="0"/>
              </w:rPr>
            </w:pPr>
            <w:r>
              <w:rPr>
                <w:rFonts w:hint="eastAsia"/>
              </w:rPr>
              <w:t>废机油</w:t>
            </w:r>
          </w:p>
        </w:tc>
        <w:tc>
          <w:tcPr>
            <w:tcW w:w="1598" w:type="dxa"/>
            <w:vAlign w:val="center"/>
          </w:tcPr>
          <w:p w14:paraId="0B367B12">
            <w:pPr>
              <w:pStyle w:val="31"/>
              <w:rPr>
                <w:snapToGrid w:val="0"/>
              </w:rPr>
            </w:pPr>
            <w:r>
              <w:rPr>
                <w:snapToGrid w:val="0"/>
              </w:rPr>
              <w:t>/</w:t>
            </w:r>
          </w:p>
        </w:tc>
        <w:tc>
          <w:tcPr>
            <w:tcW w:w="1082" w:type="dxa"/>
            <w:vAlign w:val="center"/>
          </w:tcPr>
          <w:p w14:paraId="441C2174">
            <w:pPr>
              <w:pStyle w:val="31"/>
              <w:rPr>
                <w:snapToGrid w:val="0"/>
              </w:rPr>
            </w:pPr>
            <w:r>
              <w:rPr>
                <w:snapToGrid w:val="0"/>
              </w:rPr>
              <w:t>/</w:t>
            </w:r>
          </w:p>
        </w:tc>
        <w:tc>
          <w:tcPr>
            <w:tcW w:w="1894" w:type="dxa"/>
            <w:vAlign w:val="center"/>
          </w:tcPr>
          <w:p w14:paraId="063C36A9">
            <w:pPr>
              <w:pStyle w:val="31"/>
              <w:rPr>
                <w:snapToGrid w:val="0"/>
              </w:rPr>
            </w:pPr>
            <w:r>
              <w:rPr>
                <w:snapToGrid w:val="0"/>
              </w:rPr>
              <w:t>/</w:t>
            </w:r>
          </w:p>
        </w:tc>
        <w:tc>
          <w:tcPr>
            <w:tcW w:w="1560" w:type="dxa"/>
            <w:vAlign w:val="center"/>
          </w:tcPr>
          <w:p w14:paraId="4F09AADD">
            <w:pPr>
              <w:pStyle w:val="31"/>
              <w:rPr>
                <w:snapToGrid w:val="0"/>
              </w:rPr>
            </w:pPr>
            <w:r>
              <w:rPr>
                <w:rFonts w:hint="eastAsia"/>
                <w:snapToGrid w:val="0"/>
              </w:rPr>
              <w:t>0.05t/a</w:t>
            </w:r>
          </w:p>
        </w:tc>
        <w:tc>
          <w:tcPr>
            <w:tcW w:w="1643" w:type="dxa"/>
            <w:vAlign w:val="center"/>
          </w:tcPr>
          <w:p w14:paraId="40ECC656">
            <w:pPr>
              <w:pStyle w:val="31"/>
              <w:rPr>
                <w:snapToGrid w:val="0"/>
              </w:rPr>
            </w:pPr>
            <w:r>
              <w:rPr>
                <w:snapToGrid w:val="0"/>
              </w:rPr>
              <w:t>/</w:t>
            </w:r>
          </w:p>
        </w:tc>
        <w:tc>
          <w:tcPr>
            <w:tcW w:w="1522" w:type="dxa"/>
            <w:vAlign w:val="center"/>
          </w:tcPr>
          <w:p w14:paraId="5681BA37">
            <w:pPr>
              <w:pStyle w:val="31"/>
              <w:rPr>
                <w:snapToGrid w:val="0"/>
              </w:rPr>
            </w:pPr>
            <w:r>
              <w:rPr>
                <w:rFonts w:hint="eastAsia"/>
                <w:snapToGrid w:val="0"/>
              </w:rPr>
              <w:t>0.05t/a</w:t>
            </w:r>
          </w:p>
        </w:tc>
        <w:tc>
          <w:tcPr>
            <w:tcW w:w="1305" w:type="dxa"/>
            <w:vAlign w:val="center"/>
          </w:tcPr>
          <w:p w14:paraId="49D1BC2D">
            <w:pPr>
              <w:pStyle w:val="31"/>
              <w:rPr>
                <w:snapToGrid w:val="0"/>
              </w:rPr>
            </w:pPr>
            <w:r>
              <w:rPr>
                <w:snapToGrid w:val="0"/>
              </w:rPr>
              <w:t>/</w:t>
            </w:r>
          </w:p>
        </w:tc>
      </w:tr>
      <w:tr w14:paraId="792BFE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continue"/>
            <w:vAlign w:val="center"/>
          </w:tcPr>
          <w:p w14:paraId="6CE443F7">
            <w:pPr>
              <w:pStyle w:val="31"/>
              <w:rPr>
                <w:snapToGrid w:val="0"/>
              </w:rPr>
            </w:pPr>
          </w:p>
        </w:tc>
        <w:tc>
          <w:tcPr>
            <w:tcW w:w="1984" w:type="dxa"/>
            <w:vAlign w:val="center"/>
          </w:tcPr>
          <w:p w14:paraId="0C105E62">
            <w:pPr>
              <w:pStyle w:val="31"/>
            </w:pPr>
            <w:r>
              <w:rPr>
                <w:rFonts w:hint="eastAsia"/>
              </w:rPr>
              <w:t>废机油沾染物</w:t>
            </w:r>
          </w:p>
        </w:tc>
        <w:tc>
          <w:tcPr>
            <w:tcW w:w="1598" w:type="dxa"/>
            <w:vAlign w:val="center"/>
          </w:tcPr>
          <w:p w14:paraId="6B018E9F">
            <w:pPr>
              <w:pStyle w:val="31"/>
              <w:rPr>
                <w:snapToGrid w:val="0"/>
              </w:rPr>
            </w:pPr>
            <w:r>
              <w:rPr>
                <w:snapToGrid w:val="0"/>
              </w:rPr>
              <w:t>/</w:t>
            </w:r>
          </w:p>
        </w:tc>
        <w:tc>
          <w:tcPr>
            <w:tcW w:w="1082" w:type="dxa"/>
            <w:vAlign w:val="center"/>
          </w:tcPr>
          <w:p w14:paraId="35C94C5E">
            <w:pPr>
              <w:pStyle w:val="31"/>
              <w:rPr>
                <w:snapToGrid w:val="0"/>
              </w:rPr>
            </w:pPr>
            <w:r>
              <w:rPr>
                <w:snapToGrid w:val="0"/>
              </w:rPr>
              <w:t>/</w:t>
            </w:r>
          </w:p>
        </w:tc>
        <w:tc>
          <w:tcPr>
            <w:tcW w:w="1894" w:type="dxa"/>
            <w:vAlign w:val="center"/>
          </w:tcPr>
          <w:p w14:paraId="06838D7D">
            <w:pPr>
              <w:pStyle w:val="31"/>
              <w:rPr>
                <w:snapToGrid w:val="0"/>
              </w:rPr>
            </w:pPr>
            <w:r>
              <w:rPr>
                <w:snapToGrid w:val="0"/>
              </w:rPr>
              <w:t>/</w:t>
            </w:r>
          </w:p>
        </w:tc>
        <w:tc>
          <w:tcPr>
            <w:tcW w:w="1560" w:type="dxa"/>
            <w:vAlign w:val="center"/>
          </w:tcPr>
          <w:p w14:paraId="7FD7B7FE">
            <w:pPr>
              <w:pStyle w:val="31"/>
              <w:rPr>
                <w:snapToGrid w:val="0"/>
              </w:rPr>
            </w:pPr>
            <w:r>
              <w:rPr>
                <w:rFonts w:hint="eastAsia"/>
                <w:snapToGrid w:val="0"/>
              </w:rPr>
              <w:t>0.05t/a</w:t>
            </w:r>
          </w:p>
        </w:tc>
        <w:tc>
          <w:tcPr>
            <w:tcW w:w="1643" w:type="dxa"/>
            <w:vAlign w:val="center"/>
          </w:tcPr>
          <w:p w14:paraId="11BA8556">
            <w:pPr>
              <w:pStyle w:val="31"/>
              <w:rPr>
                <w:snapToGrid w:val="0"/>
              </w:rPr>
            </w:pPr>
            <w:r>
              <w:rPr>
                <w:snapToGrid w:val="0"/>
              </w:rPr>
              <w:t>/</w:t>
            </w:r>
          </w:p>
        </w:tc>
        <w:tc>
          <w:tcPr>
            <w:tcW w:w="1522" w:type="dxa"/>
            <w:vAlign w:val="center"/>
          </w:tcPr>
          <w:p w14:paraId="3B99E3AC">
            <w:pPr>
              <w:pStyle w:val="31"/>
              <w:rPr>
                <w:snapToGrid w:val="0"/>
              </w:rPr>
            </w:pPr>
            <w:r>
              <w:rPr>
                <w:rFonts w:hint="eastAsia"/>
                <w:snapToGrid w:val="0"/>
              </w:rPr>
              <w:t>0.05t/a</w:t>
            </w:r>
          </w:p>
        </w:tc>
        <w:tc>
          <w:tcPr>
            <w:tcW w:w="1305" w:type="dxa"/>
            <w:vAlign w:val="center"/>
          </w:tcPr>
          <w:p w14:paraId="19C01680">
            <w:pPr>
              <w:pStyle w:val="31"/>
              <w:rPr>
                <w:snapToGrid w:val="0"/>
              </w:rPr>
            </w:pPr>
            <w:r>
              <w:rPr>
                <w:snapToGrid w:val="0"/>
              </w:rPr>
              <w:t>/</w:t>
            </w:r>
          </w:p>
        </w:tc>
      </w:tr>
      <w:tr w14:paraId="6EF1D6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jc w:val="center"/>
        </w:trPr>
        <w:tc>
          <w:tcPr>
            <w:tcW w:w="1408" w:type="dxa"/>
            <w:vMerge w:val="continue"/>
            <w:vAlign w:val="center"/>
          </w:tcPr>
          <w:p w14:paraId="27C5973F">
            <w:pPr>
              <w:pStyle w:val="31"/>
              <w:rPr>
                <w:snapToGrid w:val="0"/>
              </w:rPr>
            </w:pPr>
          </w:p>
        </w:tc>
        <w:tc>
          <w:tcPr>
            <w:tcW w:w="1984" w:type="dxa"/>
            <w:vAlign w:val="center"/>
          </w:tcPr>
          <w:p w14:paraId="62481624">
            <w:pPr>
              <w:pStyle w:val="31"/>
            </w:pPr>
            <w:r>
              <w:rPr>
                <w:rFonts w:hint="eastAsia"/>
              </w:rPr>
              <w:t>废催化剂</w:t>
            </w:r>
          </w:p>
        </w:tc>
        <w:tc>
          <w:tcPr>
            <w:tcW w:w="1598" w:type="dxa"/>
            <w:vAlign w:val="center"/>
          </w:tcPr>
          <w:p w14:paraId="02863D25">
            <w:pPr>
              <w:pStyle w:val="31"/>
              <w:rPr>
                <w:snapToGrid w:val="0"/>
              </w:rPr>
            </w:pPr>
            <w:r>
              <w:rPr>
                <w:snapToGrid w:val="0"/>
              </w:rPr>
              <w:t>/</w:t>
            </w:r>
          </w:p>
        </w:tc>
        <w:tc>
          <w:tcPr>
            <w:tcW w:w="1082" w:type="dxa"/>
            <w:vAlign w:val="center"/>
          </w:tcPr>
          <w:p w14:paraId="72E474A7">
            <w:pPr>
              <w:pStyle w:val="31"/>
              <w:rPr>
                <w:snapToGrid w:val="0"/>
              </w:rPr>
            </w:pPr>
            <w:r>
              <w:rPr>
                <w:snapToGrid w:val="0"/>
              </w:rPr>
              <w:t>/</w:t>
            </w:r>
          </w:p>
        </w:tc>
        <w:tc>
          <w:tcPr>
            <w:tcW w:w="1894" w:type="dxa"/>
            <w:vAlign w:val="center"/>
          </w:tcPr>
          <w:p w14:paraId="415C1E0F">
            <w:pPr>
              <w:pStyle w:val="31"/>
              <w:rPr>
                <w:snapToGrid w:val="0"/>
              </w:rPr>
            </w:pPr>
            <w:r>
              <w:rPr>
                <w:snapToGrid w:val="0"/>
              </w:rPr>
              <w:t>/</w:t>
            </w:r>
          </w:p>
        </w:tc>
        <w:tc>
          <w:tcPr>
            <w:tcW w:w="1560" w:type="dxa"/>
            <w:vAlign w:val="center"/>
          </w:tcPr>
          <w:p w14:paraId="05FA0BE1">
            <w:pPr>
              <w:pStyle w:val="31"/>
              <w:rPr>
                <w:snapToGrid w:val="0"/>
              </w:rPr>
            </w:pPr>
            <w:r>
              <w:rPr>
                <w:snapToGrid w:val="0"/>
              </w:rPr>
              <w:t>8.67t/a</w:t>
            </w:r>
          </w:p>
        </w:tc>
        <w:tc>
          <w:tcPr>
            <w:tcW w:w="1643" w:type="dxa"/>
            <w:vAlign w:val="center"/>
          </w:tcPr>
          <w:p w14:paraId="64A675D3">
            <w:pPr>
              <w:pStyle w:val="31"/>
              <w:rPr>
                <w:snapToGrid w:val="0"/>
              </w:rPr>
            </w:pPr>
            <w:r>
              <w:rPr>
                <w:snapToGrid w:val="0"/>
              </w:rPr>
              <w:t>/</w:t>
            </w:r>
          </w:p>
        </w:tc>
        <w:tc>
          <w:tcPr>
            <w:tcW w:w="1522" w:type="dxa"/>
            <w:vAlign w:val="center"/>
          </w:tcPr>
          <w:p w14:paraId="61031D9B">
            <w:pPr>
              <w:pStyle w:val="31"/>
              <w:rPr>
                <w:snapToGrid w:val="0"/>
              </w:rPr>
            </w:pPr>
            <w:r>
              <w:rPr>
                <w:snapToGrid w:val="0"/>
              </w:rPr>
              <w:t>8.67t/a</w:t>
            </w:r>
          </w:p>
        </w:tc>
        <w:tc>
          <w:tcPr>
            <w:tcW w:w="1305" w:type="dxa"/>
            <w:vAlign w:val="center"/>
          </w:tcPr>
          <w:p w14:paraId="4F93AA1C">
            <w:pPr>
              <w:pStyle w:val="31"/>
              <w:rPr>
                <w:snapToGrid w:val="0"/>
              </w:rPr>
            </w:pPr>
            <w:r>
              <w:rPr>
                <w:snapToGrid w:val="0"/>
              </w:rPr>
              <w:t>/</w:t>
            </w:r>
          </w:p>
        </w:tc>
      </w:tr>
    </w:tbl>
    <w:p w14:paraId="4EAF8CCB">
      <w:pPr>
        <w:pStyle w:val="31"/>
        <w:jc w:val="left"/>
        <w:rPr>
          <w:snapToGrid w:val="0"/>
        </w:rPr>
      </w:pPr>
      <w:r>
        <w:rPr>
          <w:snapToGrid w:val="0"/>
        </w:rPr>
        <w:t>注：</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hAnsi="宋体" w:cs="宋体"/>
        </w:rPr>
        <w:t>⑥</w:t>
      </w:r>
      <w:r>
        <w:rPr>
          <w:snapToGrid w:val="0"/>
          <w:spacing w:val="-16"/>
        </w:rPr>
        <w:fldChar w:fldCharType="end"/>
      </w:r>
      <w:r>
        <w:rPr>
          <w:snapToGrid w:val="0"/>
          <w:spacing w:val="-16"/>
        </w:rPr>
        <w:t>=</w:t>
      </w:r>
      <w:r>
        <w:rPr>
          <w:snapToGrid w:val="0"/>
        </w:rPr>
        <w:fldChar w:fldCharType="begin"/>
      </w:r>
      <w:r>
        <w:rPr>
          <w:snapToGrid w:val="0"/>
        </w:rPr>
        <w:instrText xml:space="preserve"> = 1 \* GB3 \* MERGEFORMAT </w:instrText>
      </w:r>
      <w:r>
        <w:rPr>
          <w:snapToGrid w:val="0"/>
        </w:rPr>
        <w:fldChar w:fldCharType="separate"/>
      </w:r>
      <w:r>
        <w:rPr>
          <w:rFonts w:hint="eastAsia" w:hAnsi="宋体" w:cs="宋体"/>
        </w:rPr>
        <w:t>①</w:t>
      </w:r>
      <w:r>
        <w:rPr>
          <w:snapToGrid w:val="0"/>
        </w:rPr>
        <w:fldChar w:fldCharType="end"/>
      </w:r>
      <w:r>
        <w:rPr>
          <w:snapToGrid w:val="0"/>
        </w:rPr>
        <w:t>+</w:t>
      </w:r>
      <w:r>
        <w:rPr>
          <w:snapToGrid w:val="0"/>
        </w:rPr>
        <w:fldChar w:fldCharType="begin"/>
      </w:r>
      <w:r>
        <w:rPr>
          <w:snapToGrid w:val="0"/>
        </w:rPr>
        <w:instrText xml:space="preserve"> = 3 \* GB3 \* MERGEFORMAT </w:instrText>
      </w:r>
      <w:r>
        <w:rPr>
          <w:snapToGrid w:val="0"/>
        </w:rPr>
        <w:fldChar w:fldCharType="separate"/>
      </w:r>
      <w:r>
        <w:rPr>
          <w:rFonts w:hint="eastAsia" w:hAnsi="宋体" w:cs="宋体"/>
        </w:rPr>
        <w:t>③</w:t>
      </w:r>
      <w:r>
        <w:rPr>
          <w:snapToGrid w:val="0"/>
        </w:rPr>
        <w:fldChar w:fldCharType="end"/>
      </w:r>
      <w:r>
        <w:rPr>
          <w:snapToGrid w:val="0"/>
        </w:rPr>
        <w:t>+</w:t>
      </w:r>
      <w:r>
        <w:rPr>
          <w:snapToGrid w:val="0"/>
        </w:rPr>
        <w:fldChar w:fldCharType="begin"/>
      </w:r>
      <w:r>
        <w:rPr>
          <w:snapToGrid w:val="0"/>
        </w:rPr>
        <w:instrText xml:space="preserve"> = 4 \* GB3 \* MERGEFORMAT </w:instrText>
      </w:r>
      <w:r>
        <w:rPr>
          <w:snapToGrid w:val="0"/>
        </w:rPr>
        <w:fldChar w:fldCharType="separate"/>
      </w:r>
      <w:r>
        <w:rPr>
          <w:rFonts w:hint="eastAsia" w:hAnsi="宋体" w:cs="宋体"/>
        </w:rPr>
        <w:t>④</w:t>
      </w:r>
      <w:r>
        <w:rPr>
          <w:snapToGrid w:val="0"/>
        </w:rPr>
        <w:fldChar w:fldCharType="end"/>
      </w:r>
      <w:r>
        <w:rPr>
          <w:snapToGrid w:val="0"/>
        </w:rPr>
        <w:t>-</w:t>
      </w:r>
      <w:r>
        <w:rPr>
          <w:snapToGrid w:val="0"/>
          <w:spacing w:val="-16"/>
        </w:rPr>
        <w:fldChar w:fldCharType="begin"/>
      </w:r>
      <w:r>
        <w:rPr>
          <w:snapToGrid w:val="0"/>
          <w:spacing w:val="-16"/>
        </w:rPr>
        <w:instrText xml:space="preserve"> = 5 \* GB3 \* MERGEFORMAT </w:instrText>
      </w:r>
      <w:r>
        <w:rPr>
          <w:snapToGrid w:val="0"/>
          <w:spacing w:val="-16"/>
        </w:rPr>
        <w:fldChar w:fldCharType="separate"/>
      </w:r>
      <w:r>
        <w:rPr>
          <w:rFonts w:hint="eastAsia" w:hAnsi="宋体" w:cs="宋体"/>
        </w:rPr>
        <w:t>⑤</w:t>
      </w:r>
      <w:r>
        <w:rPr>
          <w:snapToGrid w:val="0"/>
          <w:spacing w:val="-16"/>
        </w:rPr>
        <w:fldChar w:fldCharType="end"/>
      </w:r>
      <w:r>
        <w:rPr>
          <w:snapToGrid w:val="0"/>
          <w:spacing w:val="-16"/>
        </w:rPr>
        <w:t>；</w:t>
      </w:r>
      <w:r>
        <w:rPr>
          <w:snapToGrid w:val="0"/>
        </w:rPr>
        <w:fldChar w:fldCharType="begin"/>
      </w:r>
      <w:r>
        <w:rPr>
          <w:snapToGrid w:val="0"/>
        </w:rPr>
        <w:instrText xml:space="preserve"> = 7 \* GB3 \* MERGEFORMAT </w:instrText>
      </w:r>
      <w:r>
        <w:rPr>
          <w:snapToGrid w:val="0"/>
        </w:rPr>
        <w:fldChar w:fldCharType="separate"/>
      </w:r>
      <w:r>
        <w:rPr>
          <w:rFonts w:hint="eastAsia" w:hAnsi="宋体" w:cs="宋体"/>
        </w:rPr>
        <w:t>⑦</w:t>
      </w:r>
      <w:r>
        <w:rPr>
          <w:snapToGrid w:val="0"/>
        </w:rPr>
        <w:fldChar w:fldCharType="end"/>
      </w:r>
      <w:r>
        <w:rPr>
          <w:snapToGrid w:val="0"/>
        </w:rPr>
        <w:t>=</w:t>
      </w:r>
      <w:r>
        <w:rPr>
          <w:snapToGrid w:val="0"/>
          <w:spacing w:val="-16"/>
        </w:rPr>
        <w:fldChar w:fldCharType="begin"/>
      </w:r>
      <w:r>
        <w:rPr>
          <w:snapToGrid w:val="0"/>
          <w:spacing w:val="-16"/>
        </w:rPr>
        <w:instrText xml:space="preserve"> = 6 \* GB3 \* MERGEFORMAT </w:instrText>
      </w:r>
      <w:r>
        <w:rPr>
          <w:snapToGrid w:val="0"/>
          <w:spacing w:val="-16"/>
        </w:rPr>
        <w:fldChar w:fldCharType="separate"/>
      </w:r>
      <w:r>
        <w:rPr>
          <w:rFonts w:hint="eastAsia" w:hAnsi="宋体" w:cs="宋体"/>
        </w:rPr>
        <w:t>⑥</w:t>
      </w:r>
      <w:r>
        <w:rPr>
          <w:snapToGrid w:val="0"/>
          <w:spacing w:val="-16"/>
        </w:rPr>
        <w:fldChar w:fldCharType="end"/>
      </w:r>
      <w:r>
        <w:rPr>
          <w:snapToGrid w:val="0"/>
          <w:spacing w:val="-16"/>
        </w:rPr>
        <w:t>-</w:t>
      </w:r>
      <w:r>
        <w:rPr>
          <w:snapToGrid w:val="0"/>
        </w:rPr>
        <w:fldChar w:fldCharType="begin"/>
      </w:r>
      <w:r>
        <w:rPr>
          <w:snapToGrid w:val="0"/>
        </w:rPr>
        <w:instrText xml:space="preserve"> = 1 \* GB3 \* MERGEFORMAT </w:instrText>
      </w:r>
      <w:r>
        <w:rPr>
          <w:snapToGrid w:val="0"/>
        </w:rPr>
        <w:fldChar w:fldCharType="separate"/>
      </w:r>
      <w:r>
        <w:rPr>
          <w:rFonts w:hint="eastAsia" w:hAnsi="宋体" w:cs="宋体"/>
        </w:rPr>
        <w:t>①</w:t>
      </w:r>
      <w:r>
        <w:rPr>
          <w:snapToGrid w:val="0"/>
        </w:rPr>
        <w:fldChar w:fldCharType="end"/>
      </w:r>
    </w:p>
    <w:p w14:paraId="3FB93092">
      <w:pPr>
        <w:ind w:firstLine="0" w:firstLineChars="0"/>
        <w:sectPr>
          <w:pgSz w:w="16838" w:h="11906" w:orient="landscape"/>
          <w:pgMar w:top="1440" w:right="1080" w:bottom="1440" w:left="1080" w:header="851" w:footer="992" w:gutter="0"/>
          <w:cols w:space="425" w:num="1"/>
          <w:docGrid w:type="lines" w:linePitch="326" w:charSpace="0"/>
        </w:sectPr>
      </w:pPr>
    </w:p>
    <w:p w14:paraId="3E892F4D">
      <w:pPr>
        <w:ind w:firstLine="0" w:firstLineChars="0"/>
        <w:rPr>
          <w:b/>
          <w:bCs/>
        </w:rPr>
      </w:pPr>
      <w:r>
        <w:rPr>
          <w:rFonts w:hint="eastAsia"/>
          <w:b/>
          <w:bCs/>
        </w:rPr>
        <w:t>附图：</w:t>
      </w:r>
    </w:p>
    <w:p w14:paraId="2FE863C8">
      <w:pPr>
        <w:ind w:firstLine="0" w:firstLineChars="0"/>
      </w:pPr>
      <w:r>
        <w:rPr>
          <w:rFonts w:hint="eastAsia"/>
        </w:rPr>
        <w:t>附图1：项目地理位置图</w:t>
      </w:r>
    </w:p>
    <w:p w14:paraId="0148BC16">
      <w:pPr>
        <w:ind w:firstLine="0" w:firstLineChars="0"/>
      </w:pPr>
      <w:r>
        <w:rPr>
          <w:rFonts w:hint="eastAsia"/>
        </w:rPr>
        <w:t>附图2：项目外环境关系图</w:t>
      </w:r>
    </w:p>
    <w:p w14:paraId="5E6455F5">
      <w:pPr>
        <w:ind w:firstLine="0" w:firstLineChars="0"/>
      </w:pPr>
      <w:r>
        <w:rPr>
          <w:rFonts w:hint="eastAsia"/>
        </w:rPr>
        <w:t>附图</w:t>
      </w:r>
      <w:r>
        <w:t>3</w:t>
      </w:r>
      <w:r>
        <w:rPr>
          <w:rFonts w:hint="eastAsia"/>
        </w:rPr>
        <w:t>：项目平面布置及分区防渗图</w:t>
      </w:r>
    </w:p>
    <w:p w14:paraId="4A427A29">
      <w:pPr>
        <w:ind w:firstLine="0" w:firstLineChars="0"/>
      </w:pPr>
      <w:r>
        <w:rPr>
          <w:rFonts w:hint="eastAsia"/>
        </w:rPr>
        <w:t>附图</w:t>
      </w:r>
      <w:r>
        <w:t>4</w:t>
      </w:r>
      <w:r>
        <w:rPr>
          <w:rFonts w:hint="eastAsia"/>
        </w:rPr>
        <w:t>：锅炉房平面布置图</w:t>
      </w:r>
    </w:p>
    <w:p w14:paraId="73555A3F">
      <w:pPr>
        <w:ind w:firstLine="0" w:firstLineChars="0"/>
      </w:pPr>
      <w:bookmarkStart w:id="16" w:name="_Hlk192775716"/>
      <w:r>
        <w:rPr>
          <w:rFonts w:hint="eastAsia"/>
        </w:rPr>
        <w:t>附图5：大英经开区土地利用规划图</w:t>
      </w:r>
    </w:p>
    <w:bookmarkEnd w:id="16"/>
    <w:p w14:paraId="2C741D8C">
      <w:pPr>
        <w:ind w:firstLine="0" w:firstLineChars="0"/>
      </w:pPr>
      <w:r>
        <w:rPr>
          <w:rFonts w:hint="eastAsia"/>
        </w:rPr>
        <w:t>附图6：监测点位示意图</w:t>
      </w:r>
    </w:p>
    <w:p w14:paraId="7D9E44AB">
      <w:pPr>
        <w:ind w:firstLine="0" w:firstLineChars="0"/>
      </w:pPr>
    </w:p>
    <w:p w14:paraId="3BBD58E5">
      <w:pPr>
        <w:ind w:firstLine="0" w:firstLineChars="0"/>
      </w:pPr>
    </w:p>
    <w:p w14:paraId="6A081DEF">
      <w:pPr>
        <w:ind w:firstLine="0" w:firstLineChars="0"/>
      </w:pPr>
    </w:p>
    <w:p w14:paraId="5471445F">
      <w:pPr>
        <w:ind w:firstLine="0" w:firstLineChars="0"/>
        <w:rPr>
          <w:b/>
          <w:bCs/>
        </w:rPr>
      </w:pPr>
      <w:r>
        <w:rPr>
          <w:rFonts w:hint="eastAsia"/>
          <w:b/>
          <w:bCs/>
        </w:rPr>
        <w:t>附件：</w:t>
      </w:r>
    </w:p>
    <w:p w14:paraId="1858D598">
      <w:pPr>
        <w:ind w:firstLine="0" w:firstLineChars="0"/>
      </w:pPr>
      <w:r>
        <w:rPr>
          <w:rFonts w:hint="eastAsia"/>
        </w:rPr>
        <w:t>附件1：委托书</w:t>
      </w:r>
    </w:p>
    <w:p w14:paraId="2306DCF8">
      <w:pPr>
        <w:ind w:firstLine="0" w:firstLineChars="0"/>
      </w:pPr>
      <w:r>
        <w:rPr>
          <w:rFonts w:hint="eastAsia"/>
        </w:rPr>
        <w:t>附件2：营业执照</w:t>
      </w:r>
    </w:p>
    <w:p w14:paraId="5957EB23">
      <w:pPr>
        <w:ind w:firstLine="0" w:firstLineChars="0"/>
      </w:pPr>
      <w:r>
        <w:rPr>
          <w:rFonts w:hint="eastAsia"/>
        </w:rPr>
        <w:t>附件3：备案表</w:t>
      </w:r>
    </w:p>
    <w:p w14:paraId="1CE47DC6">
      <w:pPr>
        <w:ind w:firstLine="0" w:firstLineChars="0"/>
      </w:pPr>
      <w:r>
        <w:rPr>
          <w:rFonts w:hint="eastAsia"/>
        </w:rPr>
        <w:t>附件4：国土证</w:t>
      </w:r>
    </w:p>
    <w:p w14:paraId="04B9E987">
      <w:pPr>
        <w:ind w:firstLine="0" w:firstLineChars="0"/>
      </w:pPr>
      <w:r>
        <w:rPr>
          <w:rFonts w:hint="eastAsia"/>
        </w:rPr>
        <w:t>附件5：规划环评审查意见</w:t>
      </w:r>
    </w:p>
    <w:p w14:paraId="6B40964A">
      <w:pPr>
        <w:ind w:firstLine="0" w:firstLineChars="0"/>
      </w:pPr>
      <w:r>
        <w:rPr>
          <w:rFonts w:hint="eastAsia"/>
        </w:rPr>
        <w:t>附件6：锅炉大气污染物初始排放测试报告</w:t>
      </w:r>
    </w:p>
    <w:p w14:paraId="27D28234">
      <w:pPr>
        <w:ind w:firstLine="0" w:firstLineChars="0"/>
      </w:pPr>
      <w:r>
        <w:rPr>
          <w:rFonts w:hint="eastAsia"/>
        </w:rPr>
        <w:t>附件7：类比企业生物质气成分检测报告</w:t>
      </w:r>
    </w:p>
    <w:p w14:paraId="51D9DF54">
      <w:pPr>
        <w:ind w:firstLine="0" w:firstLineChars="0"/>
      </w:pPr>
      <w:r>
        <w:rPr>
          <w:rFonts w:hint="eastAsia"/>
        </w:rPr>
        <w:t>附件8：高污染燃料目录</w:t>
      </w:r>
    </w:p>
    <w:p w14:paraId="2E597C92">
      <w:pPr>
        <w:ind w:firstLine="0" w:firstLineChars="0"/>
      </w:pPr>
      <w:r>
        <w:rPr>
          <w:rFonts w:hint="eastAsia"/>
        </w:rPr>
        <w:t>附件9：环境质量检测报告</w:t>
      </w:r>
    </w:p>
    <w:p w14:paraId="3A0CCBD3">
      <w:pPr>
        <w:ind w:firstLine="0" w:firstLineChars="0"/>
      </w:pP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Cambria Math">
    <w:panose1 w:val="02040503050406030204"/>
    <w:charset w:val="00"/>
    <w:family w:val="roman"/>
    <w:pitch w:val="default"/>
    <w:sig w:usb0="E00006FF" w:usb1="420024FF" w:usb2="02000000" w:usb3="00000000" w:csb0="2000019F" w:csb1="00000000"/>
  </w:font>
  <w:font w:name="TimesNewRomanPSMT">
    <w:altName w:val="等线"/>
    <w:panose1 w:val="00000000000000000000"/>
    <w:charset w:val="00"/>
    <w:family w:val="roman"/>
    <w:pitch w:val="default"/>
    <w:sig w:usb0="00000000" w:usb1="00000000" w:usb2="00000010" w:usb3="00000000" w:csb0="0006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38859559"/>
    </w:sdtPr>
    <w:sdtContent>
      <w:p w14:paraId="514B90F1">
        <w:pPr>
          <w:pStyle w:val="13"/>
          <w:ind w:firstLine="360"/>
          <w:jc w:val="center"/>
        </w:pPr>
        <w:r>
          <w:fldChar w:fldCharType="begin"/>
        </w:r>
        <w:r>
          <w:instrText xml:space="preserve">PAGE   \* MERGEFORMAT</w:instrText>
        </w:r>
        <w:r>
          <w:fldChar w:fldCharType="separate"/>
        </w:r>
        <w:r>
          <w:rPr>
            <w:lang w:val="zh-CN"/>
          </w:rPr>
          <w:t>75</w:t>
        </w:r>
        <w:r>
          <w:fldChar w:fldCharType="end"/>
        </w:r>
      </w:p>
    </w:sdtContent>
  </w:sdt>
  <w:p w14:paraId="5B0450E8">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46C48">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D6AB33">
    <w:pPr>
      <w:pStyle w:val="13"/>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15157">
    <w:pPr>
      <w:pStyle w:val="14"/>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73CD7">
    <w:pPr>
      <w:pStyle w:val="1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FF681">
    <w:pPr>
      <w:pStyle w:val="1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DE3D4F"/>
    <w:multiLevelType w:val="multilevel"/>
    <w:tmpl w:val="05DE3D4F"/>
    <w:lvl w:ilvl="0" w:tentative="0">
      <w:start w:val="1"/>
      <w:numFmt w:val="decimal"/>
      <w:pStyle w:val="10"/>
      <w:lvlText w:val="3.3.%1"/>
      <w:lvlJc w:val="left"/>
      <w:pPr>
        <w:tabs>
          <w:tab w:val="left" w:pos="737"/>
        </w:tabs>
        <w:ind w:left="737" w:hanging="737"/>
      </w:pPr>
      <w:rPr>
        <w:rFonts w:hint="eastAsia"/>
      </w:rPr>
    </w:lvl>
    <w:lvl w:ilvl="1" w:tentative="0">
      <w:start w:val="1"/>
      <w:numFmt w:val="decimal"/>
      <w:lvlText w:val="%1.%2"/>
      <w:lvlJc w:val="left"/>
      <w:pPr>
        <w:tabs>
          <w:tab w:val="left" w:pos="992"/>
        </w:tabs>
        <w:ind w:left="992" w:hanging="567"/>
      </w:pPr>
      <w:rPr>
        <w:rFonts w:hint="eastAsia"/>
      </w:rPr>
    </w:lvl>
    <w:lvl w:ilvl="2" w:tentative="0">
      <w:start w:val="1"/>
      <w:numFmt w:val="decimal"/>
      <w:lvlText w:val="3.3.%3"/>
      <w:lvlJc w:val="left"/>
      <w:pPr>
        <w:tabs>
          <w:tab w:val="left" w:pos="792"/>
        </w:tabs>
        <w:ind w:left="792" w:hanging="792"/>
      </w:pPr>
      <w:rPr>
        <w:rFonts w:hint="eastAsia"/>
      </w:rPr>
    </w:lvl>
    <w:lvl w:ilvl="3" w:tentative="0">
      <w:start w:val="1"/>
      <w:numFmt w:val="decimal"/>
      <w:lvlText w:val="%1.%2.%3.%4"/>
      <w:lvlJc w:val="left"/>
      <w:pPr>
        <w:tabs>
          <w:tab w:val="left" w:pos="2356"/>
        </w:tabs>
        <w:ind w:left="1984" w:hanging="708"/>
      </w:pPr>
      <w:rPr>
        <w:rFonts w:hint="eastAsia"/>
      </w:rPr>
    </w:lvl>
    <w:lvl w:ilvl="4" w:tentative="0">
      <w:start w:val="1"/>
      <w:numFmt w:val="decimal"/>
      <w:lvlText w:val="%1.%2.%3.%4.%5"/>
      <w:lvlJc w:val="left"/>
      <w:pPr>
        <w:tabs>
          <w:tab w:val="left" w:pos="2781"/>
        </w:tabs>
        <w:ind w:left="2551" w:hanging="850"/>
      </w:pPr>
      <w:rPr>
        <w:rFonts w:hint="eastAsia"/>
      </w:rPr>
    </w:lvl>
    <w:lvl w:ilvl="5" w:tentative="0">
      <w:start w:val="1"/>
      <w:numFmt w:val="decimal"/>
      <w:lvlText w:val="%1.%2.%3.%4.%5.%6"/>
      <w:lvlJc w:val="left"/>
      <w:pPr>
        <w:tabs>
          <w:tab w:val="left" w:pos="3566"/>
        </w:tabs>
        <w:ind w:left="3260" w:hanging="1134"/>
      </w:pPr>
      <w:rPr>
        <w:rFonts w:hint="eastAsia"/>
      </w:rPr>
    </w:lvl>
    <w:lvl w:ilvl="6" w:tentative="0">
      <w:start w:val="1"/>
      <w:numFmt w:val="decimal"/>
      <w:lvlText w:val="%1.%2.%3.%4.%5.%6.%7"/>
      <w:lvlJc w:val="left"/>
      <w:pPr>
        <w:tabs>
          <w:tab w:val="left" w:pos="3991"/>
        </w:tabs>
        <w:ind w:left="3827" w:hanging="1276"/>
      </w:pPr>
      <w:rPr>
        <w:rFonts w:hint="eastAsia"/>
      </w:rPr>
    </w:lvl>
    <w:lvl w:ilvl="7" w:tentative="0">
      <w:start w:val="1"/>
      <w:numFmt w:val="decimal"/>
      <w:lvlText w:val="%1.%2.%3.%4.%5.%6.%7.%8"/>
      <w:lvlJc w:val="left"/>
      <w:pPr>
        <w:tabs>
          <w:tab w:val="left" w:pos="4776"/>
        </w:tabs>
        <w:ind w:left="4394" w:hanging="1418"/>
      </w:pPr>
      <w:rPr>
        <w:rFonts w:hint="eastAsia"/>
      </w:rPr>
    </w:lvl>
    <w:lvl w:ilvl="8" w:tentative="0">
      <w:start w:val="1"/>
      <w:numFmt w:val="decimal"/>
      <w:lvlText w:val="%1.%2.%3.%4.%5.%6.%7.%8.%9"/>
      <w:lvlJc w:val="left"/>
      <w:pPr>
        <w:tabs>
          <w:tab w:val="left" w:pos="5562"/>
        </w:tabs>
        <w:ind w:left="5102" w:hanging="1700"/>
      </w:pPr>
      <w:rPr>
        <w:rFonts w:hint="eastAsia"/>
      </w:rPr>
    </w:lvl>
  </w:abstractNum>
  <w:abstractNum w:abstractNumId="1">
    <w:nsid w:val="3B6556AF"/>
    <w:multiLevelType w:val="multilevel"/>
    <w:tmpl w:val="3B6556AF"/>
    <w:lvl w:ilvl="0" w:tentative="0">
      <w:start w:val="1"/>
      <w:numFmt w:val="decimal"/>
      <w:suff w:val="nothing"/>
      <w:lvlText w:val="表%1  "/>
      <w:lvlJc w:val="left"/>
      <w:pPr>
        <w:ind w:left="0" w:firstLine="0"/>
      </w:pPr>
      <w:rPr>
        <w:rFonts w:hint="default" w:ascii="Times New Roman" w:hAnsi="Times New Roman"/>
      </w:rPr>
    </w:lvl>
    <w:lvl w:ilvl="1" w:tentative="0">
      <w:start w:val="1"/>
      <w:numFmt w:val="decimal"/>
      <w:suff w:val="space"/>
      <w:lvlText w:val="%2."/>
      <w:lvlJc w:val="left"/>
      <w:pPr>
        <w:ind w:left="0" w:firstLine="0"/>
      </w:pPr>
      <w:rPr>
        <w:rFonts w:hint="default" w:ascii="Times New Roman" w:hAnsi="Times New Roman"/>
      </w:rPr>
    </w:lvl>
    <w:lvl w:ilvl="2" w:tentative="0">
      <w:start w:val="1"/>
      <w:numFmt w:val="decimal"/>
      <w:suff w:val="space"/>
      <w:lvlText w:val="%2.%3"/>
      <w:lvlJc w:val="left"/>
      <w:pPr>
        <w:ind w:left="0" w:firstLine="0"/>
      </w:pPr>
      <w:rPr>
        <w:rFonts w:hint="default" w:ascii="Times New Roman" w:hAnsi="Times New Roman" w:eastAsia="宋体"/>
      </w:rPr>
    </w:lvl>
    <w:lvl w:ilvl="3" w:tentative="0">
      <w:start w:val="1"/>
      <w:numFmt w:val="decimal"/>
      <w:suff w:val="space"/>
      <w:lvlText w:val="%2.%3.%4"/>
      <w:lvlJc w:val="left"/>
      <w:pPr>
        <w:ind w:left="0" w:firstLine="0"/>
      </w:pPr>
      <w:rPr>
        <w:rFonts w:hint="default" w:ascii="Times New Roman" w:hAnsi="Times New Roman"/>
      </w:rPr>
    </w:lvl>
    <w:lvl w:ilvl="4" w:tentative="0">
      <w:start w:val="1"/>
      <w:numFmt w:val="decimal"/>
      <w:lvlText w:val="%1.%2.%3.%4.%5"/>
      <w:lvlJc w:val="left"/>
      <w:pPr>
        <w:tabs>
          <w:tab w:val="left" w:pos="1644"/>
        </w:tabs>
        <w:ind w:left="0" w:firstLine="0"/>
      </w:pPr>
      <w:rPr>
        <w:rFonts w:hint="eastAsia"/>
      </w:rPr>
    </w:lvl>
    <w:lvl w:ilvl="5" w:tentative="0">
      <w:start w:val="1"/>
      <w:numFmt w:val="decimal"/>
      <w:lvlRestart w:val="2"/>
      <w:pStyle w:val="61"/>
      <w:suff w:val="space"/>
      <w:lvlText w:val="表 %1.%2-%6"/>
      <w:lvlJc w:val="left"/>
      <w:pPr>
        <w:ind w:left="0" w:firstLine="0"/>
      </w:pPr>
      <w:rPr>
        <w:rFonts w:hint="default" w:ascii="Times New Roman" w:hAnsi="Times New Roman"/>
      </w:rPr>
    </w:lvl>
    <w:lvl w:ilvl="6" w:tentative="0">
      <w:start w:val="1"/>
      <w:numFmt w:val="decimal"/>
      <w:lvlRestart w:val="2"/>
      <w:suff w:val="space"/>
      <w:lvlText w:val="图 %1.%2-%7"/>
      <w:lvlJc w:val="left"/>
      <w:pPr>
        <w:ind w:left="0" w:firstLine="0"/>
      </w:pPr>
      <w:rPr>
        <w:rFonts w:hint="default" w:ascii="Times New Roman" w:hAnsi="Times New Roman" w:eastAsia="宋体"/>
        <w:b/>
        <w:i w:val="0"/>
        <w:sz w:val="21"/>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3BE453F1"/>
    <w:multiLevelType w:val="multilevel"/>
    <w:tmpl w:val="3BE453F1"/>
    <w:lvl w:ilvl="0" w:tentative="0">
      <w:start w:val="1"/>
      <w:numFmt w:val="decimal"/>
      <w:pStyle w:val="29"/>
      <w:lvlText w:val="表2-%1"/>
      <w:lvlJc w:val="center"/>
      <w:pPr>
        <w:ind w:left="920" w:hanging="440"/>
      </w:pPr>
      <w:rPr>
        <w:rFonts w:hint="default"/>
        <w:lang w:val="en-US"/>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3">
    <w:nsid w:val="42CB2700"/>
    <w:multiLevelType w:val="multilevel"/>
    <w:tmpl w:val="42CB2700"/>
    <w:lvl w:ilvl="0" w:tentative="0">
      <w:start w:val="1"/>
      <w:numFmt w:val="decimal"/>
      <w:pStyle w:val="83"/>
      <w:lvlText w:val="图2-%1"/>
      <w:lvlJc w:val="left"/>
      <w:pPr>
        <w:ind w:left="1362" w:hanging="440"/>
      </w:pPr>
      <w:rPr>
        <w:rFonts w:hint="eastAsia"/>
      </w:rPr>
    </w:lvl>
    <w:lvl w:ilvl="1" w:tentative="0">
      <w:start w:val="1"/>
      <w:numFmt w:val="lowerLetter"/>
      <w:lvlText w:val="%2)"/>
      <w:lvlJc w:val="left"/>
      <w:pPr>
        <w:ind w:left="1802" w:hanging="440"/>
      </w:pPr>
    </w:lvl>
    <w:lvl w:ilvl="2" w:tentative="0">
      <w:start w:val="1"/>
      <w:numFmt w:val="lowerRoman"/>
      <w:lvlText w:val="%3."/>
      <w:lvlJc w:val="right"/>
      <w:pPr>
        <w:ind w:left="2242" w:hanging="440"/>
      </w:pPr>
    </w:lvl>
    <w:lvl w:ilvl="3" w:tentative="0">
      <w:start w:val="1"/>
      <w:numFmt w:val="decimal"/>
      <w:lvlText w:val="%4."/>
      <w:lvlJc w:val="left"/>
      <w:pPr>
        <w:ind w:left="2682" w:hanging="440"/>
      </w:pPr>
    </w:lvl>
    <w:lvl w:ilvl="4" w:tentative="0">
      <w:start w:val="1"/>
      <w:numFmt w:val="lowerLetter"/>
      <w:lvlText w:val="%5)"/>
      <w:lvlJc w:val="left"/>
      <w:pPr>
        <w:ind w:left="3122" w:hanging="440"/>
      </w:pPr>
    </w:lvl>
    <w:lvl w:ilvl="5" w:tentative="0">
      <w:start w:val="1"/>
      <w:numFmt w:val="lowerRoman"/>
      <w:lvlText w:val="%6."/>
      <w:lvlJc w:val="right"/>
      <w:pPr>
        <w:ind w:left="3562" w:hanging="440"/>
      </w:pPr>
    </w:lvl>
    <w:lvl w:ilvl="6" w:tentative="0">
      <w:start w:val="1"/>
      <w:numFmt w:val="decimal"/>
      <w:lvlText w:val="%7."/>
      <w:lvlJc w:val="left"/>
      <w:pPr>
        <w:ind w:left="4002" w:hanging="440"/>
      </w:pPr>
    </w:lvl>
    <w:lvl w:ilvl="7" w:tentative="0">
      <w:start w:val="1"/>
      <w:numFmt w:val="lowerLetter"/>
      <w:lvlText w:val="%8)"/>
      <w:lvlJc w:val="left"/>
      <w:pPr>
        <w:ind w:left="4442" w:hanging="440"/>
      </w:pPr>
    </w:lvl>
    <w:lvl w:ilvl="8" w:tentative="0">
      <w:start w:val="1"/>
      <w:numFmt w:val="lowerRoman"/>
      <w:lvlText w:val="%9."/>
      <w:lvlJc w:val="right"/>
      <w:pPr>
        <w:ind w:left="4882" w:hanging="440"/>
      </w:pPr>
    </w:lvl>
  </w:abstractNum>
  <w:abstractNum w:abstractNumId="4">
    <w:nsid w:val="57B218C4"/>
    <w:multiLevelType w:val="multilevel"/>
    <w:tmpl w:val="57B218C4"/>
    <w:lvl w:ilvl="0" w:tentative="0">
      <w:start w:val="1"/>
      <w:numFmt w:val="decimal"/>
      <w:pStyle w:val="48"/>
      <w:lvlText w:val="表3-%1"/>
      <w:lvlJc w:val="center"/>
      <w:pPr>
        <w:ind w:left="920" w:hanging="440"/>
      </w:pPr>
      <w:rPr>
        <w:rFonts w:hint="default"/>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5">
    <w:nsid w:val="582F3BEF"/>
    <w:multiLevelType w:val="multilevel"/>
    <w:tmpl w:val="582F3BEF"/>
    <w:lvl w:ilvl="0" w:tentative="0">
      <w:start w:val="1"/>
      <w:numFmt w:val="decimal"/>
      <w:lvlText w:val="（%1）"/>
      <w:lvlJc w:val="left"/>
      <w:pPr>
        <w:ind w:left="1202" w:hanging="720"/>
      </w:pPr>
      <w:rPr>
        <w:rFonts w:hint="default"/>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abstractNum w:abstractNumId="6">
    <w:nsid w:val="5A4E2BCA"/>
    <w:multiLevelType w:val="multilevel"/>
    <w:tmpl w:val="5A4E2BCA"/>
    <w:lvl w:ilvl="0" w:tentative="0">
      <w:start w:val="1"/>
      <w:numFmt w:val="decimal"/>
      <w:pStyle w:val="85"/>
      <w:lvlText w:val="图1-%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6A267420"/>
    <w:multiLevelType w:val="multilevel"/>
    <w:tmpl w:val="6A267420"/>
    <w:lvl w:ilvl="0" w:tentative="0">
      <w:start w:val="1"/>
      <w:numFmt w:val="decimal"/>
      <w:pStyle w:val="43"/>
      <w:lvlText w:val="表4-%1"/>
      <w:lvlJc w:val="center"/>
      <w:pPr>
        <w:ind w:left="3984" w:hanging="440"/>
      </w:pPr>
      <w:rPr>
        <w:rFonts w:hint="default" w:ascii="Times New Roman" w:hAnsi="Times New Roman" w:eastAsia="宋体"/>
        <w:b/>
        <w:i w:val="0"/>
        <w:sz w:val="21"/>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8">
    <w:nsid w:val="6BD64779"/>
    <w:multiLevelType w:val="multilevel"/>
    <w:tmpl w:val="6BD64779"/>
    <w:lvl w:ilvl="0" w:tentative="0">
      <w:start w:val="1"/>
      <w:numFmt w:val="decimal"/>
      <w:pStyle w:val="35"/>
      <w:lvlText w:val="表1-%1"/>
      <w:lvlJc w:val="center"/>
      <w:pPr>
        <w:ind w:left="922" w:hanging="440"/>
      </w:pPr>
      <w:rPr>
        <w:rFonts w:hint="eastAsia" w:ascii="Times New Roman" w:hAnsi="Times New Roman" w:eastAsia="宋体"/>
        <w:color w:val="auto"/>
        <w:sz w:val="21"/>
        <w:szCs w:val="21"/>
      </w:rPr>
    </w:lvl>
    <w:lvl w:ilvl="1" w:tentative="0">
      <w:start w:val="1"/>
      <w:numFmt w:val="lowerLetter"/>
      <w:lvlText w:val="%2)"/>
      <w:lvlJc w:val="left"/>
      <w:pPr>
        <w:ind w:left="1362" w:hanging="440"/>
      </w:pPr>
    </w:lvl>
    <w:lvl w:ilvl="2" w:tentative="0">
      <w:start w:val="1"/>
      <w:numFmt w:val="lowerRoman"/>
      <w:lvlText w:val="%3."/>
      <w:lvlJc w:val="right"/>
      <w:pPr>
        <w:ind w:left="1802" w:hanging="440"/>
      </w:pPr>
    </w:lvl>
    <w:lvl w:ilvl="3" w:tentative="0">
      <w:start w:val="1"/>
      <w:numFmt w:val="decimal"/>
      <w:lvlText w:val="%4."/>
      <w:lvlJc w:val="left"/>
      <w:pPr>
        <w:ind w:left="2242" w:hanging="440"/>
      </w:pPr>
    </w:lvl>
    <w:lvl w:ilvl="4" w:tentative="0">
      <w:start w:val="1"/>
      <w:numFmt w:val="lowerLetter"/>
      <w:lvlText w:val="%5)"/>
      <w:lvlJc w:val="left"/>
      <w:pPr>
        <w:ind w:left="2682" w:hanging="440"/>
      </w:pPr>
    </w:lvl>
    <w:lvl w:ilvl="5" w:tentative="0">
      <w:start w:val="1"/>
      <w:numFmt w:val="lowerRoman"/>
      <w:lvlText w:val="%6."/>
      <w:lvlJc w:val="right"/>
      <w:pPr>
        <w:ind w:left="3122" w:hanging="440"/>
      </w:pPr>
    </w:lvl>
    <w:lvl w:ilvl="6" w:tentative="0">
      <w:start w:val="1"/>
      <w:numFmt w:val="decimal"/>
      <w:lvlText w:val="%7."/>
      <w:lvlJc w:val="left"/>
      <w:pPr>
        <w:ind w:left="3562" w:hanging="440"/>
      </w:pPr>
    </w:lvl>
    <w:lvl w:ilvl="7" w:tentative="0">
      <w:start w:val="1"/>
      <w:numFmt w:val="lowerLetter"/>
      <w:lvlText w:val="%8)"/>
      <w:lvlJc w:val="left"/>
      <w:pPr>
        <w:ind w:left="4002" w:hanging="440"/>
      </w:pPr>
    </w:lvl>
    <w:lvl w:ilvl="8" w:tentative="0">
      <w:start w:val="1"/>
      <w:numFmt w:val="lowerRoman"/>
      <w:lvlText w:val="%9."/>
      <w:lvlJc w:val="right"/>
      <w:pPr>
        <w:ind w:left="4442" w:hanging="440"/>
      </w:pPr>
    </w:lvl>
  </w:abstractNum>
  <w:num w:numId="1">
    <w:abstractNumId w:val="0"/>
  </w:num>
  <w:num w:numId="2">
    <w:abstractNumId w:val="2"/>
  </w:num>
  <w:num w:numId="3">
    <w:abstractNumId w:val="8"/>
  </w:num>
  <w:num w:numId="4">
    <w:abstractNumId w:val="7"/>
  </w:num>
  <w:num w:numId="5">
    <w:abstractNumId w:val="4"/>
  </w:num>
  <w:num w:numId="6">
    <w:abstractNumId w:val="1"/>
  </w:num>
  <w:num w:numId="7">
    <w:abstractNumId w:val="3"/>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hideSpellingErrors/>
  <w:documentProtection w:edit="readOnly"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czNTlkMjQ1NDJmZTAzZDE5ZmI4OGZmOWUxNmIyMmYifQ=="/>
  </w:docVars>
  <w:rsids>
    <w:rsidRoot w:val="00172A27"/>
    <w:rsid w:val="0000070E"/>
    <w:rsid w:val="000016AE"/>
    <w:rsid w:val="00002C5F"/>
    <w:rsid w:val="00004750"/>
    <w:rsid w:val="00006F2C"/>
    <w:rsid w:val="0000765D"/>
    <w:rsid w:val="00007701"/>
    <w:rsid w:val="00007CD6"/>
    <w:rsid w:val="000107E2"/>
    <w:rsid w:val="00013461"/>
    <w:rsid w:val="000145FD"/>
    <w:rsid w:val="000155F6"/>
    <w:rsid w:val="00015797"/>
    <w:rsid w:val="000168D0"/>
    <w:rsid w:val="000174F9"/>
    <w:rsid w:val="00017E31"/>
    <w:rsid w:val="00017EC2"/>
    <w:rsid w:val="00020250"/>
    <w:rsid w:val="00021001"/>
    <w:rsid w:val="000217BE"/>
    <w:rsid w:val="00021830"/>
    <w:rsid w:val="0002240C"/>
    <w:rsid w:val="00022975"/>
    <w:rsid w:val="000242CF"/>
    <w:rsid w:val="00024E69"/>
    <w:rsid w:val="000256D7"/>
    <w:rsid w:val="00025A84"/>
    <w:rsid w:val="000261A9"/>
    <w:rsid w:val="0002620D"/>
    <w:rsid w:val="0002775E"/>
    <w:rsid w:val="00027F10"/>
    <w:rsid w:val="0003065D"/>
    <w:rsid w:val="00030840"/>
    <w:rsid w:val="000308B9"/>
    <w:rsid w:val="000323E1"/>
    <w:rsid w:val="000334AB"/>
    <w:rsid w:val="000335EB"/>
    <w:rsid w:val="00033BEE"/>
    <w:rsid w:val="00033DB5"/>
    <w:rsid w:val="000346CC"/>
    <w:rsid w:val="00034A0C"/>
    <w:rsid w:val="000350B5"/>
    <w:rsid w:val="00036381"/>
    <w:rsid w:val="00036DD2"/>
    <w:rsid w:val="00037C4C"/>
    <w:rsid w:val="00042231"/>
    <w:rsid w:val="000442B3"/>
    <w:rsid w:val="00044930"/>
    <w:rsid w:val="000468BB"/>
    <w:rsid w:val="0004765C"/>
    <w:rsid w:val="00050670"/>
    <w:rsid w:val="000508A0"/>
    <w:rsid w:val="00050BA1"/>
    <w:rsid w:val="00050CCD"/>
    <w:rsid w:val="00050F70"/>
    <w:rsid w:val="000528C3"/>
    <w:rsid w:val="000529BF"/>
    <w:rsid w:val="00052E6A"/>
    <w:rsid w:val="00054B83"/>
    <w:rsid w:val="00054E51"/>
    <w:rsid w:val="00055772"/>
    <w:rsid w:val="00057535"/>
    <w:rsid w:val="00057D83"/>
    <w:rsid w:val="00057E45"/>
    <w:rsid w:val="00060380"/>
    <w:rsid w:val="0006058A"/>
    <w:rsid w:val="00060A8D"/>
    <w:rsid w:val="00060D83"/>
    <w:rsid w:val="00060E73"/>
    <w:rsid w:val="0006206D"/>
    <w:rsid w:val="000630E2"/>
    <w:rsid w:val="00063BFE"/>
    <w:rsid w:val="0006408A"/>
    <w:rsid w:val="000648F6"/>
    <w:rsid w:val="000662EF"/>
    <w:rsid w:val="00067C4B"/>
    <w:rsid w:val="00067ECA"/>
    <w:rsid w:val="00070211"/>
    <w:rsid w:val="000704F0"/>
    <w:rsid w:val="000716E5"/>
    <w:rsid w:val="00071821"/>
    <w:rsid w:val="00071C42"/>
    <w:rsid w:val="00071F00"/>
    <w:rsid w:val="00072361"/>
    <w:rsid w:val="00073118"/>
    <w:rsid w:val="00073A97"/>
    <w:rsid w:val="00075A70"/>
    <w:rsid w:val="00076EBB"/>
    <w:rsid w:val="000770EA"/>
    <w:rsid w:val="000778F9"/>
    <w:rsid w:val="00080A02"/>
    <w:rsid w:val="00080A14"/>
    <w:rsid w:val="00080F9D"/>
    <w:rsid w:val="000811E0"/>
    <w:rsid w:val="00081D97"/>
    <w:rsid w:val="000835A0"/>
    <w:rsid w:val="0008401C"/>
    <w:rsid w:val="00085244"/>
    <w:rsid w:val="000858CF"/>
    <w:rsid w:val="00086168"/>
    <w:rsid w:val="000930BD"/>
    <w:rsid w:val="00093337"/>
    <w:rsid w:val="00093E37"/>
    <w:rsid w:val="00094CAC"/>
    <w:rsid w:val="000965E7"/>
    <w:rsid w:val="00096C20"/>
    <w:rsid w:val="00097616"/>
    <w:rsid w:val="00097783"/>
    <w:rsid w:val="000979BF"/>
    <w:rsid w:val="00097D14"/>
    <w:rsid w:val="000A0BFD"/>
    <w:rsid w:val="000A10A6"/>
    <w:rsid w:val="000A1E44"/>
    <w:rsid w:val="000A2D03"/>
    <w:rsid w:val="000A3D8B"/>
    <w:rsid w:val="000A5E33"/>
    <w:rsid w:val="000A6709"/>
    <w:rsid w:val="000A6735"/>
    <w:rsid w:val="000A7DC6"/>
    <w:rsid w:val="000A7E99"/>
    <w:rsid w:val="000B05FF"/>
    <w:rsid w:val="000B09E7"/>
    <w:rsid w:val="000B1CC0"/>
    <w:rsid w:val="000B1E5E"/>
    <w:rsid w:val="000B2812"/>
    <w:rsid w:val="000B3E7E"/>
    <w:rsid w:val="000B6D8C"/>
    <w:rsid w:val="000C0050"/>
    <w:rsid w:val="000C0568"/>
    <w:rsid w:val="000C136A"/>
    <w:rsid w:val="000C154E"/>
    <w:rsid w:val="000C18E7"/>
    <w:rsid w:val="000C26BD"/>
    <w:rsid w:val="000C33FE"/>
    <w:rsid w:val="000C37E0"/>
    <w:rsid w:val="000C3860"/>
    <w:rsid w:val="000C4265"/>
    <w:rsid w:val="000C7314"/>
    <w:rsid w:val="000C7C37"/>
    <w:rsid w:val="000D025A"/>
    <w:rsid w:val="000D0943"/>
    <w:rsid w:val="000D09DE"/>
    <w:rsid w:val="000D0F47"/>
    <w:rsid w:val="000D2028"/>
    <w:rsid w:val="000D2B67"/>
    <w:rsid w:val="000D374C"/>
    <w:rsid w:val="000D42B6"/>
    <w:rsid w:val="000D4E90"/>
    <w:rsid w:val="000D5917"/>
    <w:rsid w:val="000D5FE5"/>
    <w:rsid w:val="000D6F27"/>
    <w:rsid w:val="000D72A1"/>
    <w:rsid w:val="000E1050"/>
    <w:rsid w:val="000E14B9"/>
    <w:rsid w:val="000E27E8"/>
    <w:rsid w:val="000E28A4"/>
    <w:rsid w:val="000E28F5"/>
    <w:rsid w:val="000E2AF3"/>
    <w:rsid w:val="000E2E7B"/>
    <w:rsid w:val="000E3001"/>
    <w:rsid w:val="000E33C8"/>
    <w:rsid w:val="000E397C"/>
    <w:rsid w:val="000E3F61"/>
    <w:rsid w:val="000E4267"/>
    <w:rsid w:val="000E43B5"/>
    <w:rsid w:val="000E5D98"/>
    <w:rsid w:val="000E68E5"/>
    <w:rsid w:val="000E69E4"/>
    <w:rsid w:val="000E6FA5"/>
    <w:rsid w:val="000E77EC"/>
    <w:rsid w:val="000F099D"/>
    <w:rsid w:val="000F11A6"/>
    <w:rsid w:val="000F2038"/>
    <w:rsid w:val="000F2D40"/>
    <w:rsid w:val="000F33B9"/>
    <w:rsid w:val="000F3CCE"/>
    <w:rsid w:val="000F3D3F"/>
    <w:rsid w:val="000F4831"/>
    <w:rsid w:val="000F4ADC"/>
    <w:rsid w:val="000F4C54"/>
    <w:rsid w:val="000F4FE1"/>
    <w:rsid w:val="000F614E"/>
    <w:rsid w:val="000F6884"/>
    <w:rsid w:val="000F6ED4"/>
    <w:rsid w:val="00100454"/>
    <w:rsid w:val="00100F0B"/>
    <w:rsid w:val="001016C7"/>
    <w:rsid w:val="00102CD1"/>
    <w:rsid w:val="001037ED"/>
    <w:rsid w:val="00104657"/>
    <w:rsid w:val="00104678"/>
    <w:rsid w:val="00105B6D"/>
    <w:rsid w:val="001069DD"/>
    <w:rsid w:val="00106E7E"/>
    <w:rsid w:val="001074C3"/>
    <w:rsid w:val="001104BC"/>
    <w:rsid w:val="0011058A"/>
    <w:rsid w:val="00112E13"/>
    <w:rsid w:val="00116DB3"/>
    <w:rsid w:val="00117C5A"/>
    <w:rsid w:val="001200A6"/>
    <w:rsid w:val="00120923"/>
    <w:rsid w:val="00122D0D"/>
    <w:rsid w:val="00124764"/>
    <w:rsid w:val="001247C3"/>
    <w:rsid w:val="00126CDF"/>
    <w:rsid w:val="001276D8"/>
    <w:rsid w:val="001279D3"/>
    <w:rsid w:val="00132E32"/>
    <w:rsid w:val="00133629"/>
    <w:rsid w:val="00133FC8"/>
    <w:rsid w:val="00134BD9"/>
    <w:rsid w:val="00134F73"/>
    <w:rsid w:val="001350C1"/>
    <w:rsid w:val="00136A67"/>
    <w:rsid w:val="00137309"/>
    <w:rsid w:val="0014037A"/>
    <w:rsid w:val="0014073C"/>
    <w:rsid w:val="00140DB6"/>
    <w:rsid w:val="001413A6"/>
    <w:rsid w:val="0014146C"/>
    <w:rsid w:val="00142228"/>
    <w:rsid w:val="001422DA"/>
    <w:rsid w:val="001424D7"/>
    <w:rsid w:val="001425D3"/>
    <w:rsid w:val="00143A36"/>
    <w:rsid w:val="00144D20"/>
    <w:rsid w:val="001450C8"/>
    <w:rsid w:val="0014561D"/>
    <w:rsid w:val="00145875"/>
    <w:rsid w:val="00145D02"/>
    <w:rsid w:val="00146079"/>
    <w:rsid w:val="00146A94"/>
    <w:rsid w:val="00146A9C"/>
    <w:rsid w:val="0014707D"/>
    <w:rsid w:val="001474DB"/>
    <w:rsid w:val="00147767"/>
    <w:rsid w:val="001511E2"/>
    <w:rsid w:val="00153EC5"/>
    <w:rsid w:val="00153F41"/>
    <w:rsid w:val="001548BB"/>
    <w:rsid w:val="001554CA"/>
    <w:rsid w:val="00157C05"/>
    <w:rsid w:val="00160109"/>
    <w:rsid w:val="0016157C"/>
    <w:rsid w:val="00161B57"/>
    <w:rsid w:val="001622EF"/>
    <w:rsid w:val="0016251D"/>
    <w:rsid w:val="00162561"/>
    <w:rsid w:val="00163E6A"/>
    <w:rsid w:val="0016404D"/>
    <w:rsid w:val="00164598"/>
    <w:rsid w:val="001646E3"/>
    <w:rsid w:val="0016500F"/>
    <w:rsid w:val="0016555E"/>
    <w:rsid w:val="00165960"/>
    <w:rsid w:val="00166FEA"/>
    <w:rsid w:val="0016779F"/>
    <w:rsid w:val="00170360"/>
    <w:rsid w:val="00171B33"/>
    <w:rsid w:val="00171DA1"/>
    <w:rsid w:val="00172A27"/>
    <w:rsid w:val="001735B9"/>
    <w:rsid w:val="00173F0B"/>
    <w:rsid w:val="001742C5"/>
    <w:rsid w:val="00174EEF"/>
    <w:rsid w:val="001752B9"/>
    <w:rsid w:val="0017581B"/>
    <w:rsid w:val="00176086"/>
    <w:rsid w:val="001762FF"/>
    <w:rsid w:val="001769AA"/>
    <w:rsid w:val="00176FF8"/>
    <w:rsid w:val="001775AA"/>
    <w:rsid w:val="00180C7D"/>
    <w:rsid w:val="00181E09"/>
    <w:rsid w:val="00183D7A"/>
    <w:rsid w:val="00185107"/>
    <w:rsid w:val="00185321"/>
    <w:rsid w:val="00185B8A"/>
    <w:rsid w:val="00186AE5"/>
    <w:rsid w:val="001912A0"/>
    <w:rsid w:val="0019398F"/>
    <w:rsid w:val="001943CD"/>
    <w:rsid w:val="001946AB"/>
    <w:rsid w:val="001946C2"/>
    <w:rsid w:val="00194987"/>
    <w:rsid w:val="0019642D"/>
    <w:rsid w:val="00197019"/>
    <w:rsid w:val="001A04DF"/>
    <w:rsid w:val="001A0DC2"/>
    <w:rsid w:val="001A1F7A"/>
    <w:rsid w:val="001A217E"/>
    <w:rsid w:val="001A22BD"/>
    <w:rsid w:val="001A25E3"/>
    <w:rsid w:val="001A28BB"/>
    <w:rsid w:val="001A2930"/>
    <w:rsid w:val="001A29E9"/>
    <w:rsid w:val="001A42A4"/>
    <w:rsid w:val="001A49B3"/>
    <w:rsid w:val="001A6020"/>
    <w:rsid w:val="001A6432"/>
    <w:rsid w:val="001B0EBD"/>
    <w:rsid w:val="001B2345"/>
    <w:rsid w:val="001B380D"/>
    <w:rsid w:val="001B39D9"/>
    <w:rsid w:val="001B52CB"/>
    <w:rsid w:val="001B55D7"/>
    <w:rsid w:val="001B59BD"/>
    <w:rsid w:val="001C152C"/>
    <w:rsid w:val="001C2F5E"/>
    <w:rsid w:val="001C3E94"/>
    <w:rsid w:val="001C4F93"/>
    <w:rsid w:val="001C747A"/>
    <w:rsid w:val="001D1623"/>
    <w:rsid w:val="001D3B2A"/>
    <w:rsid w:val="001D43B8"/>
    <w:rsid w:val="001D48FE"/>
    <w:rsid w:val="001D5DD9"/>
    <w:rsid w:val="001D6A7E"/>
    <w:rsid w:val="001D6A83"/>
    <w:rsid w:val="001D73B0"/>
    <w:rsid w:val="001D7A6F"/>
    <w:rsid w:val="001D7E62"/>
    <w:rsid w:val="001E17DC"/>
    <w:rsid w:val="001E196E"/>
    <w:rsid w:val="001E35CB"/>
    <w:rsid w:val="001E5516"/>
    <w:rsid w:val="001E581F"/>
    <w:rsid w:val="001E6BBB"/>
    <w:rsid w:val="001E6F78"/>
    <w:rsid w:val="001F1E23"/>
    <w:rsid w:val="001F30B8"/>
    <w:rsid w:val="001F3AD4"/>
    <w:rsid w:val="001F3E95"/>
    <w:rsid w:val="001F42AD"/>
    <w:rsid w:val="001F5DDC"/>
    <w:rsid w:val="001F5EE7"/>
    <w:rsid w:val="001F6DF5"/>
    <w:rsid w:val="001F7490"/>
    <w:rsid w:val="001F74F8"/>
    <w:rsid w:val="002007F0"/>
    <w:rsid w:val="00200FF5"/>
    <w:rsid w:val="00201040"/>
    <w:rsid w:val="002021C7"/>
    <w:rsid w:val="00202D61"/>
    <w:rsid w:val="00203B5E"/>
    <w:rsid w:val="00204315"/>
    <w:rsid w:val="0020479C"/>
    <w:rsid w:val="00204E06"/>
    <w:rsid w:val="00205999"/>
    <w:rsid w:val="00205BFF"/>
    <w:rsid w:val="00205FCC"/>
    <w:rsid w:val="0020769B"/>
    <w:rsid w:val="0020793F"/>
    <w:rsid w:val="00210D97"/>
    <w:rsid w:val="00210DA7"/>
    <w:rsid w:val="002111E7"/>
    <w:rsid w:val="00211995"/>
    <w:rsid w:val="00212540"/>
    <w:rsid w:val="00212643"/>
    <w:rsid w:val="00213D8A"/>
    <w:rsid w:val="00214031"/>
    <w:rsid w:val="00214B6F"/>
    <w:rsid w:val="00214DA5"/>
    <w:rsid w:val="002154DB"/>
    <w:rsid w:val="00215B2F"/>
    <w:rsid w:val="0021648F"/>
    <w:rsid w:val="00217482"/>
    <w:rsid w:val="002175A0"/>
    <w:rsid w:val="002202BD"/>
    <w:rsid w:val="00220E78"/>
    <w:rsid w:val="00221297"/>
    <w:rsid w:val="00222C65"/>
    <w:rsid w:val="00223410"/>
    <w:rsid w:val="0022377B"/>
    <w:rsid w:val="0022410C"/>
    <w:rsid w:val="00224417"/>
    <w:rsid w:val="00226262"/>
    <w:rsid w:val="00226F5A"/>
    <w:rsid w:val="002272A7"/>
    <w:rsid w:val="0023049F"/>
    <w:rsid w:val="002304BF"/>
    <w:rsid w:val="0023269B"/>
    <w:rsid w:val="002332ED"/>
    <w:rsid w:val="00233458"/>
    <w:rsid w:val="00234551"/>
    <w:rsid w:val="00234787"/>
    <w:rsid w:val="00235506"/>
    <w:rsid w:val="002370FD"/>
    <w:rsid w:val="00237878"/>
    <w:rsid w:val="00237F37"/>
    <w:rsid w:val="0024236C"/>
    <w:rsid w:val="00243177"/>
    <w:rsid w:val="00243323"/>
    <w:rsid w:val="0024451B"/>
    <w:rsid w:val="0024471C"/>
    <w:rsid w:val="00244B26"/>
    <w:rsid w:val="00244DE5"/>
    <w:rsid w:val="00244E97"/>
    <w:rsid w:val="002452F7"/>
    <w:rsid w:val="0024674C"/>
    <w:rsid w:val="00246DBB"/>
    <w:rsid w:val="00246E88"/>
    <w:rsid w:val="00247070"/>
    <w:rsid w:val="00247F08"/>
    <w:rsid w:val="00250875"/>
    <w:rsid w:val="0025164D"/>
    <w:rsid w:val="00252B16"/>
    <w:rsid w:val="00253CCD"/>
    <w:rsid w:val="002556AC"/>
    <w:rsid w:val="002558A5"/>
    <w:rsid w:val="002568AB"/>
    <w:rsid w:val="00257B8E"/>
    <w:rsid w:val="00257C30"/>
    <w:rsid w:val="00260168"/>
    <w:rsid w:val="002628C7"/>
    <w:rsid w:val="002630E3"/>
    <w:rsid w:val="00263D51"/>
    <w:rsid w:val="00267485"/>
    <w:rsid w:val="00267D1D"/>
    <w:rsid w:val="00267D5C"/>
    <w:rsid w:val="00271085"/>
    <w:rsid w:val="0027134E"/>
    <w:rsid w:val="0027169F"/>
    <w:rsid w:val="00271834"/>
    <w:rsid w:val="00272774"/>
    <w:rsid w:val="00274E19"/>
    <w:rsid w:val="00275AD1"/>
    <w:rsid w:val="00275D9B"/>
    <w:rsid w:val="00276539"/>
    <w:rsid w:val="00277459"/>
    <w:rsid w:val="00277DD8"/>
    <w:rsid w:val="00280EBB"/>
    <w:rsid w:val="002819E2"/>
    <w:rsid w:val="00281DE8"/>
    <w:rsid w:val="00283C49"/>
    <w:rsid w:val="00284684"/>
    <w:rsid w:val="00284972"/>
    <w:rsid w:val="00284ED1"/>
    <w:rsid w:val="002872DC"/>
    <w:rsid w:val="00287C58"/>
    <w:rsid w:val="00287DD0"/>
    <w:rsid w:val="00290F07"/>
    <w:rsid w:val="0029260A"/>
    <w:rsid w:val="002927F8"/>
    <w:rsid w:val="00292A60"/>
    <w:rsid w:val="00292D65"/>
    <w:rsid w:val="002942E0"/>
    <w:rsid w:val="002967C4"/>
    <w:rsid w:val="002977F6"/>
    <w:rsid w:val="00297DB3"/>
    <w:rsid w:val="002A0A2C"/>
    <w:rsid w:val="002A1560"/>
    <w:rsid w:val="002A24BB"/>
    <w:rsid w:val="002A2DA4"/>
    <w:rsid w:val="002A351A"/>
    <w:rsid w:val="002A622C"/>
    <w:rsid w:val="002A6A37"/>
    <w:rsid w:val="002A76FE"/>
    <w:rsid w:val="002B0BF4"/>
    <w:rsid w:val="002B1D28"/>
    <w:rsid w:val="002B3583"/>
    <w:rsid w:val="002B4D14"/>
    <w:rsid w:val="002B52F4"/>
    <w:rsid w:val="002B5911"/>
    <w:rsid w:val="002B5BCD"/>
    <w:rsid w:val="002B644C"/>
    <w:rsid w:val="002B6C01"/>
    <w:rsid w:val="002B736C"/>
    <w:rsid w:val="002C0910"/>
    <w:rsid w:val="002C3812"/>
    <w:rsid w:val="002C3D81"/>
    <w:rsid w:val="002C540E"/>
    <w:rsid w:val="002C549B"/>
    <w:rsid w:val="002C5593"/>
    <w:rsid w:val="002C772C"/>
    <w:rsid w:val="002D0265"/>
    <w:rsid w:val="002D057F"/>
    <w:rsid w:val="002D063D"/>
    <w:rsid w:val="002D1BD5"/>
    <w:rsid w:val="002D2573"/>
    <w:rsid w:val="002D3DB7"/>
    <w:rsid w:val="002D5245"/>
    <w:rsid w:val="002D5758"/>
    <w:rsid w:val="002D6A81"/>
    <w:rsid w:val="002D6CFF"/>
    <w:rsid w:val="002E0006"/>
    <w:rsid w:val="002E12AF"/>
    <w:rsid w:val="002E13AC"/>
    <w:rsid w:val="002E56D1"/>
    <w:rsid w:val="002E6253"/>
    <w:rsid w:val="002E6289"/>
    <w:rsid w:val="002E76C1"/>
    <w:rsid w:val="002F0047"/>
    <w:rsid w:val="002F0327"/>
    <w:rsid w:val="002F03E7"/>
    <w:rsid w:val="002F05B1"/>
    <w:rsid w:val="002F0930"/>
    <w:rsid w:val="002F0D32"/>
    <w:rsid w:val="002F1E60"/>
    <w:rsid w:val="002F31A6"/>
    <w:rsid w:val="002F31D3"/>
    <w:rsid w:val="002F4AAA"/>
    <w:rsid w:val="002F5116"/>
    <w:rsid w:val="002F51D7"/>
    <w:rsid w:val="002F7440"/>
    <w:rsid w:val="002F750A"/>
    <w:rsid w:val="002F78D6"/>
    <w:rsid w:val="00300C3C"/>
    <w:rsid w:val="00302C09"/>
    <w:rsid w:val="00302C58"/>
    <w:rsid w:val="0030300E"/>
    <w:rsid w:val="0030393A"/>
    <w:rsid w:val="00304120"/>
    <w:rsid w:val="0030503B"/>
    <w:rsid w:val="00305B3C"/>
    <w:rsid w:val="00307645"/>
    <w:rsid w:val="00307A4C"/>
    <w:rsid w:val="003100BD"/>
    <w:rsid w:val="003104AE"/>
    <w:rsid w:val="0031058C"/>
    <w:rsid w:val="003113E5"/>
    <w:rsid w:val="00311AEE"/>
    <w:rsid w:val="00312343"/>
    <w:rsid w:val="003124E2"/>
    <w:rsid w:val="00314F8F"/>
    <w:rsid w:val="00315159"/>
    <w:rsid w:val="003160E9"/>
    <w:rsid w:val="00317DC4"/>
    <w:rsid w:val="00322013"/>
    <w:rsid w:val="00323092"/>
    <w:rsid w:val="003230E7"/>
    <w:rsid w:val="00324814"/>
    <w:rsid w:val="00324FEE"/>
    <w:rsid w:val="0032522C"/>
    <w:rsid w:val="003253E2"/>
    <w:rsid w:val="00325620"/>
    <w:rsid w:val="00325E26"/>
    <w:rsid w:val="0032794C"/>
    <w:rsid w:val="00330AD0"/>
    <w:rsid w:val="00330CA8"/>
    <w:rsid w:val="00330F41"/>
    <w:rsid w:val="003312D0"/>
    <w:rsid w:val="00331F35"/>
    <w:rsid w:val="003328BC"/>
    <w:rsid w:val="003337F4"/>
    <w:rsid w:val="00334697"/>
    <w:rsid w:val="00334A52"/>
    <w:rsid w:val="0033526A"/>
    <w:rsid w:val="0033549F"/>
    <w:rsid w:val="00335549"/>
    <w:rsid w:val="00335845"/>
    <w:rsid w:val="003368EB"/>
    <w:rsid w:val="00336C83"/>
    <w:rsid w:val="00337442"/>
    <w:rsid w:val="003376D3"/>
    <w:rsid w:val="00341991"/>
    <w:rsid w:val="0034269A"/>
    <w:rsid w:val="00342788"/>
    <w:rsid w:val="00342BEA"/>
    <w:rsid w:val="0034428F"/>
    <w:rsid w:val="00344B23"/>
    <w:rsid w:val="00345481"/>
    <w:rsid w:val="00345867"/>
    <w:rsid w:val="00345959"/>
    <w:rsid w:val="00345AE3"/>
    <w:rsid w:val="00346838"/>
    <w:rsid w:val="00346EBA"/>
    <w:rsid w:val="003501CE"/>
    <w:rsid w:val="00351D19"/>
    <w:rsid w:val="00351F42"/>
    <w:rsid w:val="00353008"/>
    <w:rsid w:val="00355528"/>
    <w:rsid w:val="0035552C"/>
    <w:rsid w:val="0035671A"/>
    <w:rsid w:val="00356D80"/>
    <w:rsid w:val="00357A56"/>
    <w:rsid w:val="00357F8F"/>
    <w:rsid w:val="003610DD"/>
    <w:rsid w:val="00361EDE"/>
    <w:rsid w:val="00362974"/>
    <w:rsid w:val="00363201"/>
    <w:rsid w:val="00364073"/>
    <w:rsid w:val="0036412C"/>
    <w:rsid w:val="00364E92"/>
    <w:rsid w:val="00367AEB"/>
    <w:rsid w:val="003702B6"/>
    <w:rsid w:val="00370E80"/>
    <w:rsid w:val="0037109B"/>
    <w:rsid w:val="003721E3"/>
    <w:rsid w:val="00372282"/>
    <w:rsid w:val="00372BA1"/>
    <w:rsid w:val="00373672"/>
    <w:rsid w:val="00375E49"/>
    <w:rsid w:val="00375EFD"/>
    <w:rsid w:val="00375FAC"/>
    <w:rsid w:val="00376B33"/>
    <w:rsid w:val="00380127"/>
    <w:rsid w:val="00380323"/>
    <w:rsid w:val="00381428"/>
    <w:rsid w:val="003818F5"/>
    <w:rsid w:val="00381A67"/>
    <w:rsid w:val="003820D6"/>
    <w:rsid w:val="00382B70"/>
    <w:rsid w:val="003833B1"/>
    <w:rsid w:val="0038380E"/>
    <w:rsid w:val="00383AD7"/>
    <w:rsid w:val="00383ED1"/>
    <w:rsid w:val="003878E2"/>
    <w:rsid w:val="0039062E"/>
    <w:rsid w:val="0039082D"/>
    <w:rsid w:val="00391FF2"/>
    <w:rsid w:val="003926BE"/>
    <w:rsid w:val="00392D35"/>
    <w:rsid w:val="0039389D"/>
    <w:rsid w:val="00393E08"/>
    <w:rsid w:val="003941D4"/>
    <w:rsid w:val="003959DC"/>
    <w:rsid w:val="00397796"/>
    <w:rsid w:val="003A012F"/>
    <w:rsid w:val="003A07B1"/>
    <w:rsid w:val="003A1423"/>
    <w:rsid w:val="003A191F"/>
    <w:rsid w:val="003A2084"/>
    <w:rsid w:val="003A2E2E"/>
    <w:rsid w:val="003A3977"/>
    <w:rsid w:val="003A43F0"/>
    <w:rsid w:val="003A45FB"/>
    <w:rsid w:val="003A586D"/>
    <w:rsid w:val="003A6318"/>
    <w:rsid w:val="003A6FAA"/>
    <w:rsid w:val="003A77C7"/>
    <w:rsid w:val="003B00C7"/>
    <w:rsid w:val="003B1FE1"/>
    <w:rsid w:val="003B20DA"/>
    <w:rsid w:val="003B3F0B"/>
    <w:rsid w:val="003B6096"/>
    <w:rsid w:val="003B62D4"/>
    <w:rsid w:val="003B7148"/>
    <w:rsid w:val="003C0C7C"/>
    <w:rsid w:val="003C128A"/>
    <w:rsid w:val="003C193A"/>
    <w:rsid w:val="003C1CC3"/>
    <w:rsid w:val="003C3D6E"/>
    <w:rsid w:val="003C4287"/>
    <w:rsid w:val="003C448C"/>
    <w:rsid w:val="003C4985"/>
    <w:rsid w:val="003C5716"/>
    <w:rsid w:val="003C5FC0"/>
    <w:rsid w:val="003C6655"/>
    <w:rsid w:val="003C6D64"/>
    <w:rsid w:val="003C6ED8"/>
    <w:rsid w:val="003C6F51"/>
    <w:rsid w:val="003D1404"/>
    <w:rsid w:val="003D32BF"/>
    <w:rsid w:val="003D4BDF"/>
    <w:rsid w:val="003D591D"/>
    <w:rsid w:val="003D604E"/>
    <w:rsid w:val="003E05A6"/>
    <w:rsid w:val="003E0E4E"/>
    <w:rsid w:val="003E3641"/>
    <w:rsid w:val="003E365B"/>
    <w:rsid w:val="003E3A9E"/>
    <w:rsid w:val="003E44DA"/>
    <w:rsid w:val="003E58E0"/>
    <w:rsid w:val="003E5D3A"/>
    <w:rsid w:val="003E6E9F"/>
    <w:rsid w:val="003E7108"/>
    <w:rsid w:val="003E71AE"/>
    <w:rsid w:val="003F0362"/>
    <w:rsid w:val="003F0F8F"/>
    <w:rsid w:val="003F1CAC"/>
    <w:rsid w:val="003F267E"/>
    <w:rsid w:val="003F3A2D"/>
    <w:rsid w:val="003F3FDB"/>
    <w:rsid w:val="003F5CD4"/>
    <w:rsid w:val="003F6B3F"/>
    <w:rsid w:val="003F72E5"/>
    <w:rsid w:val="003F73FA"/>
    <w:rsid w:val="00400794"/>
    <w:rsid w:val="0040141F"/>
    <w:rsid w:val="00401F01"/>
    <w:rsid w:val="004028B8"/>
    <w:rsid w:val="004036C6"/>
    <w:rsid w:val="004037FD"/>
    <w:rsid w:val="00404438"/>
    <w:rsid w:val="0040475F"/>
    <w:rsid w:val="00404AAE"/>
    <w:rsid w:val="00405118"/>
    <w:rsid w:val="00405FDA"/>
    <w:rsid w:val="00406792"/>
    <w:rsid w:val="004068C3"/>
    <w:rsid w:val="00410497"/>
    <w:rsid w:val="00412E7D"/>
    <w:rsid w:val="00412F29"/>
    <w:rsid w:val="0041308A"/>
    <w:rsid w:val="00414808"/>
    <w:rsid w:val="004151B6"/>
    <w:rsid w:val="0041587C"/>
    <w:rsid w:val="00416873"/>
    <w:rsid w:val="004173CD"/>
    <w:rsid w:val="004175FB"/>
    <w:rsid w:val="00417DDD"/>
    <w:rsid w:val="0042000D"/>
    <w:rsid w:val="0042080D"/>
    <w:rsid w:val="004216B3"/>
    <w:rsid w:val="0042267C"/>
    <w:rsid w:val="00422745"/>
    <w:rsid w:val="00422933"/>
    <w:rsid w:val="00422BD4"/>
    <w:rsid w:val="00423461"/>
    <w:rsid w:val="004241A8"/>
    <w:rsid w:val="00424A9C"/>
    <w:rsid w:val="00425159"/>
    <w:rsid w:val="004258A4"/>
    <w:rsid w:val="0042608C"/>
    <w:rsid w:val="0042660D"/>
    <w:rsid w:val="00430AE7"/>
    <w:rsid w:val="00433E05"/>
    <w:rsid w:val="0043683A"/>
    <w:rsid w:val="00436EAE"/>
    <w:rsid w:val="0044060C"/>
    <w:rsid w:val="00440699"/>
    <w:rsid w:val="00441A27"/>
    <w:rsid w:val="00443420"/>
    <w:rsid w:val="004438EF"/>
    <w:rsid w:val="004443FF"/>
    <w:rsid w:val="00444429"/>
    <w:rsid w:val="00445063"/>
    <w:rsid w:val="004468CC"/>
    <w:rsid w:val="00446CCE"/>
    <w:rsid w:val="00447F8C"/>
    <w:rsid w:val="0045076D"/>
    <w:rsid w:val="00450D49"/>
    <w:rsid w:val="00452C2B"/>
    <w:rsid w:val="00453753"/>
    <w:rsid w:val="00455030"/>
    <w:rsid w:val="00456114"/>
    <w:rsid w:val="0045712E"/>
    <w:rsid w:val="004574F7"/>
    <w:rsid w:val="00457BB0"/>
    <w:rsid w:val="00461C62"/>
    <w:rsid w:val="004625DB"/>
    <w:rsid w:val="00462B81"/>
    <w:rsid w:val="00464287"/>
    <w:rsid w:val="00470808"/>
    <w:rsid w:val="00471019"/>
    <w:rsid w:val="0047120E"/>
    <w:rsid w:val="0047171A"/>
    <w:rsid w:val="00471E8C"/>
    <w:rsid w:val="004720BF"/>
    <w:rsid w:val="004726D2"/>
    <w:rsid w:val="00473558"/>
    <w:rsid w:val="0047420A"/>
    <w:rsid w:val="00475386"/>
    <w:rsid w:val="004757A4"/>
    <w:rsid w:val="00475843"/>
    <w:rsid w:val="00475F51"/>
    <w:rsid w:val="0047647B"/>
    <w:rsid w:val="00476774"/>
    <w:rsid w:val="00480786"/>
    <w:rsid w:val="0048107F"/>
    <w:rsid w:val="00481210"/>
    <w:rsid w:val="00482C2F"/>
    <w:rsid w:val="00484080"/>
    <w:rsid w:val="0048415F"/>
    <w:rsid w:val="00484531"/>
    <w:rsid w:val="00484918"/>
    <w:rsid w:val="004861F8"/>
    <w:rsid w:val="00486B4B"/>
    <w:rsid w:val="004872B0"/>
    <w:rsid w:val="00491336"/>
    <w:rsid w:val="00491F92"/>
    <w:rsid w:val="004925B8"/>
    <w:rsid w:val="004926F9"/>
    <w:rsid w:val="00494860"/>
    <w:rsid w:val="004948BC"/>
    <w:rsid w:val="004952D0"/>
    <w:rsid w:val="00496743"/>
    <w:rsid w:val="00496803"/>
    <w:rsid w:val="00496806"/>
    <w:rsid w:val="004977E9"/>
    <w:rsid w:val="00497D4C"/>
    <w:rsid w:val="004A1076"/>
    <w:rsid w:val="004A1144"/>
    <w:rsid w:val="004A1B8E"/>
    <w:rsid w:val="004A243C"/>
    <w:rsid w:val="004A2661"/>
    <w:rsid w:val="004A2739"/>
    <w:rsid w:val="004A3E89"/>
    <w:rsid w:val="004A4CF9"/>
    <w:rsid w:val="004A5A22"/>
    <w:rsid w:val="004A6273"/>
    <w:rsid w:val="004A698B"/>
    <w:rsid w:val="004A6CBF"/>
    <w:rsid w:val="004A7C95"/>
    <w:rsid w:val="004B1740"/>
    <w:rsid w:val="004B2A1A"/>
    <w:rsid w:val="004B3599"/>
    <w:rsid w:val="004B3C24"/>
    <w:rsid w:val="004B3F53"/>
    <w:rsid w:val="004B5056"/>
    <w:rsid w:val="004C01D0"/>
    <w:rsid w:val="004C1B17"/>
    <w:rsid w:val="004C1C25"/>
    <w:rsid w:val="004C2474"/>
    <w:rsid w:val="004C2CA3"/>
    <w:rsid w:val="004C3EDD"/>
    <w:rsid w:val="004C4825"/>
    <w:rsid w:val="004C5365"/>
    <w:rsid w:val="004C53BD"/>
    <w:rsid w:val="004C6588"/>
    <w:rsid w:val="004C7A36"/>
    <w:rsid w:val="004C7C92"/>
    <w:rsid w:val="004D1B91"/>
    <w:rsid w:val="004D2C41"/>
    <w:rsid w:val="004D4979"/>
    <w:rsid w:val="004D51A3"/>
    <w:rsid w:val="004D52E5"/>
    <w:rsid w:val="004D5BA1"/>
    <w:rsid w:val="004D66C1"/>
    <w:rsid w:val="004D6959"/>
    <w:rsid w:val="004D6D71"/>
    <w:rsid w:val="004D7A23"/>
    <w:rsid w:val="004D7C2B"/>
    <w:rsid w:val="004D7C76"/>
    <w:rsid w:val="004E014F"/>
    <w:rsid w:val="004E169D"/>
    <w:rsid w:val="004E30EB"/>
    <w:rsid w:val="004E3386"/>
    <w:rsid w:val="004E34F8"/>
    <w:rsid w:val="004E5109"/>
    <w:rsid w:val="004E58E8"/>
    <w:rsid w:val="004E5ACA"/>
    <w:rsid w:val="004E67D0"/>
    <w:rsid w:val="004E6AFE"/>
    <w:rsid w:val="004E71CD"/>
    <w:rsid w:val="004F1739"/>
    <w:rsid w:val="004F2117"/>
    <w:rsid w:val="004F218F"/>
    <w:rsid w:val="004F28FD"/>
    <w:rsid w:val="004F37DB"/>
    <w:rsid w:val="004F457A"/>
    <w:rsid w:val="004F58DD"/>
    <w:rsid w:val="004F5A34"/>
    <w:rsid w:val="004F5D2A"/>
    <w:rsid w:val="004F5D59"/>
    <w:rsid w:val="004F633D"/>
    <w:rsid w:val="004F682D"/>
    <w:rsid w:val="004F6E57"/>
    <w:rsid w:val="00500F6A"/>
    <w:rsid w:val="005019E7"/>
    <w:rsid w:val="0050218E"/>
    <w:rsid w:val="00503102"/>
    <w:rsid w:val="00503BE7"/>
    <w:rsid w:val="00504AEC"/>
    <w:rsid w:val="0050503F"/>
    <w:rsid w:val="00506F29"/>
    <w:rsid w:val="00507C0D"/>
    <w:rsid w:val="005100FC"/>
    <w:rsid w:val="00511946"/>
    <w:rsid w:val="00513AA1"/>
    <w:rsid w:val="005150CA"/>
    <w:rsid w:val="0051640D"/>
    <w:rsid w:val="00517CFC"/>
    <w:rsid w:val="00517F32"/>
    <w:rsid w:val="005208FF"/>
    <w:rsid w:val="0052170B"/>
    <w:rsid w:val="005233C1"/>
    <w:rsid w:val="00523637"/>
    <w:rsid w:val="00523FF5"/>
    <w:rsid w:val="00524B5E"/>
    <w:rsid w:val="00525224"/>
    <w:rsid w:val="005253FB"/>
    <w:rsid w:val="00525875"/>
    <w:rsid w:val="005276E1"/>
    <w:rsid w:val="0052783C"/>
    <w:rsid w:val="00527890"/>
    <w:rsid w:val="00527CA3"/>
    <w:rsid w:val="00531463"/>
    <w:rsid w:val="005322B2"/>
    <w:rsid w:val="00532A4C"/>
    <w:rsid w:val="00533146"/>
    <w:rsid w:val="00533598"/>
    <w:rsid w:val="00534256"/>
    <w:rsid w:val="005347D2"/>
    <w:rsid w:val="00536AE7"/>
    <w:rsid w:val="00537279"/>
    <w:rsid w:val="00537823"/>
    <w:rsid w:val="005412C4"/>
    <w:rsid w:val="0054202B"/>
    <w:rsid w:val="0054247A"/>
    <w:rsid w:val="0054500C"/>
    <w:rsid w:val="0054528F"/>
    <w:rsid w:val="0054618E"/>
    <w:rsid w:val="005461E5"/>
    <w:rsid w:val="00546FEA"/>
    <w:rsid w:val="005510DC"/>
    <w:rsid w:val="005512F0"/>
    <w:rsid w:val="00552047"/>
    <w:rsid w:val="00554AE8"/>
    <w:rsid w:val="005555EF"/>
    <w:rsid w:val="005562F6"/>
    <w:rsid w:val="00557E4D"/>
    <w:rsid w:val="00560E52"/>
    <w:rsid w:val="005610C9"/>
    <w:rsid w:val="00563838"/>
    <w:rsid w:val="00564F84"/>
    <w:rsid w:val="005702D3"/>
    <w:rsid w:val="00571F1C"/>
    <w:rsid w:val="005724C1"/>
    <w:rsid w:val="00572A35"/>
    <w:rsid w:val="00573382"/>
    <w:rsid w:val="00573F1C"/>
    <w:rsid w:val="0057418D"/>
    <w:rsid w:val="00574B47"/>
    <w:rsid w:val="00574CD1"/>
    <w:rsid w:val="00574F6D"/>
    <w:rsid w:val="00575133"/>
    <w:rsid w:val="00577746"/>
    <w:rsid w:val="00577E49"/>
    <w:rsid w:val="0058006E"/>
    <w:rsid w:val="005801C3"/>
    <w:rsid w:val="00580B7E"/>
    <w:rsid w:val="00581227"/>
    <w:rsid w:val="005817F2"/>
    <w:rsid w:val="00581BB7"/>
    <w:rsid w:val="00581D0B"/>
    <w:rsid w:val="005825DA"/>
    <w:rsid w:val="005828C8"/>
    <w:rsid w:val="005840AD"/>
    <w:rsid w:val="005853E2"/>
    <w:rsid w:val="005854C3"/>
    <w:rsid w:val="00585CA5"/>
    <w:rsid w:val="00586DD6"/>
    <w:rsid w:val="00590929"/>
    <w:rsid w:val="00590E81"/>
    <w:rsid w:val="00591FAD"/>
    <w:rsid w:val="0059237A"/>
    <w:rsid w:val="005927E1"/>
    <w:rsid w:val="00592C13"/>
    <w:rsid w:val="00592F2E"/>
    <w:rsid w:val="0059357E"/>
    <w:rsid w:val="005939A0"/>
    <w:rsid w:val="00593C64"/>
    <w:rsid w:val="005941BC"/>
    <w:rsid w:val="00595931"/>
    <w:rsid w:val="00597798"/>
    <w:rsid w:val="005A0409"/>
    <w:rsid w:val="005A117D"/>
    <w:rsid w:val="005A13C3"/>
    <w:rsid w:val="005A1578"/>
    <w:rsid w:val="005A25A5"/>
    <w:rsid w:val="005A3D34"/>
    <w:rsid w:val="005A441C"/>
    <w:rsid w:val="005A4972"/>
    <w:rsid w:val="005A4AD6"/>
    <w:rsid w:val="005A52F4"/>
    <w:rsid w:val="005A53B0"/>
    <w:rsid w:val="005A57C5"/>
    <w:rsid w:val="005A6CAF"/>
    <w:rsid w:val="005A752E"/>
    <w:rsid w:val="005A7675"/>
    <w:rsid w:val="005B032D"/>
    <w:rsid w:val="005B1FE8"/>
    <w:rsid w:val="005B26B1"/>
    <w:rsid w:val="005B298B"/>
    <w:rsid w:val="005B375F"/>
    <w:rsid w:val="005B3869"/>
    <w:rsid w:val="005B4BBE"/>
    <w:rsid w:val="005B5C5A"/>
    <w:rsid w:val="005B5CB2"/>
    <w:rsid w:val="005B6443"/>
    <w:rsid w:val="005B6C49"/>
    <w:rsid w:val="005B7689"/>
    <w:rsid w:val="005B772C"/>
    <w:rsid w:val="005B77D0"/>
    <w:rsid w:val="005B79F6"/>
    <w:rsid w:val="005B7D6F"/>
    <w:rsid w:val="005C0D96"/>
    <w:rsid w:val="005C151E"/>
    <w:rsid w:val="005C1D3F"/>
    <w:rsid w:val="005C2681"/>
    <w:rsid w:val="005C27F3"/>
    <w:rsid w:val="005C2C2D"/>
    <w:rsid w:val="005C32BB"/>
    <w:rsid w:val="005C4E52"/>
    <w:rsid w:val="005C502B"/>
    <w:rsid w:val="005C550A"/>
    <w:rsid w:val="005C739D"/>
    <w:rsid w:val="005D0520"/>
    <w:rsid w:val="005D10AB"/>
    <w:rsid w:val="005D121A"/>
    <w:rsid w:val="005D1A57"/>
    <w:rsid w:val="005D1A6F"/>
    <w:rsid w:val="005D1F74"/>
    <w:rsid w:val="005D2D70"/>
    <w:rsid w:val="005D30DF"/>
    <w:rsid w:val="005D346A"/>
    <w:rsid w:val="005D4A8F"/>
    <w:rsid w:val="005D4F00"/>
    <w:rsid w:val="005D5644"/>
    <w:rsid w:val="005D64EC"/>
    <w:rsid w:val="005D65D4"/>
    <w:rsid w:val="005D6C51"/>
    <w:rsid w:val="005D6DB0"/>
    <w:rsid w:val="005D756B"/>
    <w:rsid w:val="005E253B"/>
    <w:rsid w:val="005E3ACC"/>
    <w:rsid w:val="005E40AF"/>
    <w:rsid w:val="005E4C12"/>
    <w:rsid w:val="005E4D7B"/>
    <w:rsid w:val="005E5CA7"/>
    <w:rsid w:val="005E647A"/>
    <w:rsid w:val="005E69B3"/>
    <w:rsid w:val="005E6C8D"/>
    <w:rsid w:val="005E72A3"/>
    <w:rsid w:val="005E7A88"/>
    <w:rsid w:val="005E7D92"/>
    <w:rsid w:val="005E7FEA"/>
    <w:rsid w:val="005F0F7F"/>
    <w:rsid w:val="005F27A0"/>
    <w:rsid w:val="005F38CD"/>
    <w:rsid w:val="005F3AA1"/>
    <w:rsid w:val="005F4035"/>
    <w:rsid w:val="005F5573"/>
    <w:rsid w:val="005F5635"/>
    <w:rsid w:val="005F764C"/>
    <w:rsid w:val="005F76FD"/>
    <w:rsid w:val="005F7C38"/>
    <w:rsid w:val="006001BE"/>
    <w:rsid w:val="00601E69"/>
    <w:rsid w:val="0060283A"/>
    <w:rsid w:val="00602F17"/>
    <w:rsid w:val="00605A81"/>
    <w:rsid w:val="00605BA7"/>
    <w:rsid w:val="00610364"/>
    <w:rsid w:val="006112BB"/>
    <w:rsid w:val="0061133C"/>
    <w:rsid w:val="00611B89"/>
    <w:rsid w:val="006128E8"/>
    <w:rsid w:val="00612B30"/>
    <w:rsid w:val="00612E4C"/>
    <w:rsid w:val="00612E72"/>
    <w:rsid w:val="00613515"/>
    <w:rsid w:val="00615396"/>
    <w:rsid w:val="006155EA"/>
    <w:rsid w:val="00616012"/>
    <w:rsid w:val="00616774"/>
    <w:rsid w:val="00616A98"/>
    <w:rsid w:val="00616F5A"/>
    <w:rsid w:val="00617389"/>
    <w:rsid w:val="00617B80"/>
    <w:rsid w:val="0062017E"/>
    <w:rsid w:val="00620C82"/>
    <w:rsid w:val="00621745"/>
    <w:rsid w:val="00621AAD"/>
    <w:rsid w:val="00622139"/>
    <w:rsid w:val="0062376C"/>
    <w:rsid w:val="00623A88"/>
    <w:rsid w:val="00627B12"/>
    <w:rsid w:val="00630181"/>
    <w:rsid w:val="0063131C"/>
    <w:rsid w:val="00633C98"/>
    <w:rsid w:val="00635C35"/>
    <w:rsid w:val="00636CF2"/>
    <w:rsid w:val="00636D12"/>
    <w:rsid w:val="006373A6"/>
    <w:rsid w:val="006375F7"/>
    <w:rsid w:val="00641114"/>
    <w:rsid w:val="00642590"/>
    <w:rsid w:val="00642F6B"/>
    <w:rsid w:val="006434D1"/>
    <w:rsid w:val="00643A1D"/>
    <w:rsid w:val="00646050"/>
    <w:rsid w:val="006463B0"/>
    <w:rsid w:val="006464BB"/>
    <w:rsid w:val="0064660F"/>
    <w:rsid w:val="006467EE"/>
    <w:rsid w:val="006470AD"/>
    <w:rsid w:val="006477BD"/>
    <w:rsid w:val="00650582"/>
    <w:rsid w:val="00651BA9"/>
    <w:rsid w:val="00651E13"/>
    <w:rsid w:val="006520AE"/>
    <w:rsid w:val="00653C32"/>
    <w:rsid w:val="00654C91"/>
    <w:rsid w:val="0065510C"/>
    <w:rsid w:val="00655EED"/>
    <w:rsid w:val="00656E7F"/>
    <w:rsid w:val="00657F80"/>
    <w:rsid w:val="0066058C"/>
    <w:rsid w:val="00660D11"/>
    <w:rsid w:val="006612B6"/>
    <w:rsid w:val="00661ABE"/>
    <w:rsid w:val="00661BC8"/>
    <w:rsid w:val="00662175"/>
    <w:rsid w:val="00662AA7"/>
    <w:rsid w:val="00663219"/>
    <w:rsid w:val="00664057"/>
    <w:rsid w:val="00665B2B"/>
    <w:rsid w:val="00666758"/>
    <w:rsid w:val="006673FF"/>
    <w:rsid w:val="00670ED1"/>
    <w:rsid w:val="006727FF"/>
    <w:rsid w:val="0067282A"/>
    <w:rsid w:val="00672AB2"/>
    <w:rsid w:val="00673AF3"/>
    <w:rsid w:val="0067427E"/>
    <w:rsid w:val="00674812"/>
    <w:rsid w:val="00674EEB"/>
    <w:rsid w:val="006755A7"/>
    <w:rsid w:val="00675A67"/>
    <w:rsid w:val="00675C19"/>
    <w:rsid w:val="00680860"/>
    <w:rsid w:val="006809B6"/>
    <w:rsid w:val="006830B4"/>
    <w:rsid w:val="00684433"/>
    <w:rsid w:val="00685564"/>
    <w:rsid w:val="006857B3"/>
    <w:rsid w:val="0068641C"/>
    <w:rsid w:val="00686AE8"/>
    <w:rsid w:val="00686BCC"/>
    <w:rsid w:val="006878AF"/>
    <w:rsid w:val="00687F26"/>
    <w:rsid w:val="00690AC7"/>
    <w:rsid w:val="0069164E"/>
    <w:rsid w:val="00692DAE"/>
    <w:rsid w:val="00692DE1"/>
    <w:rsid w:val="0069312C"/>
    <w:rsid w:val="00693424"/>
    <w:rsid w:val="0069436E"/>
    <w:rsid w:val="00694485"/>
    <w:rsid w:val="00694AA9"/>
    <w:rsid w:val="006959D4"/>
    <w:rsid w:val="00695CBE"/>
    <w:rsid w:val="00696852"/>
    <w:rsid w:val="00697104"/>
    <w:rsid w:val="006A0347"/>
    <w:rsid w:val="006A2002"/>
    <w:rsid w:val="006A21D8"/>
    <w:rsid w:val="006A3E51"/>
    <w:rsid w:val="006A4071"/>
    <w:rsid w:val="006A5985"/>
    <w:rsid w:val="006A65B8"/>
    <w:rsid w:val="006A6714"/>
    <w:rsid w:val="006A6B78"/>
    <w:rsid w:val="006A7EB3"/>
    <w:rsid w:val="006B0712"/>
    <w:rsid w:val="006B0745"/>
    <w:rsid w:val="006B1D33"/>
    <w:rsid w:val="006B28B8"/>
    <w:rsid w:val="006B423D"/>
    <w:rsid w:val="006B587C"/>
    <w:rsid w:val="006B793D"/>
    <w:rsid w:val="006B7A17"/>
    <w:rsid w:val="006C00A4"/>
    <w:rsid w:val="006C0FD0"/>
    <w:rsid w:val="006C21A2"/>
    <w:rsid w:val="006C2EF4"/>
    <w:rsid w:val="006C5472"/>
    <w:rsid w:val="006C5BC7"/>
    <w:rsid w:val="006C5BFD"/>
    <w:rsid w:val="006C73B8"/>
    <w:rsid w:val="006C761D"/>
    <w:rsid w:val="006D0F04"/>
    <w:rsid w:val="006D17C1"/>
    <w:rsid w:val="006D200D"/>
    <w:rsid w:val="006D2B0A"/>
    <w:rsid w:val="006D3014"/>
    <w:rsid w:val="006D3EA1"/>
    <w:rsid w:val="006D4DFF"/>
    <w:rsid w:val="006D5180"/>
    <w:rsid w:val="006D523C"/>
    <w:rsid w:val="006D6DC3"/>
    <w:rsid w:val="006D70C3"/>
    <w:rsid w:val="006D7BA9"/>
    <w:rsid w:val="006E0606"/>
    <w:rsid w:val="006E09D2"/>
    <w:rsid w:val="006E0AB7"/>
    <w:rsid w:val="006E24E9"/>
    <w:rsid w:val="006E30D4"/>
    <w:rsid w:val="006E384E"/>
    <w:rsid w:val="006E497A"/>
    <w:rsid w:val="006E5B98"/>
    <w:rsid w:val="006E68A8"/>
    <w:rsid w:val="006F0A28"/>
    <w:rsid w:val="006F156C"/>
    <w:rsid w:val="006F17C4"/>
    <w:rsid w:val="006F19C2"/>
    <w:rsid w:val="006F1A2B"/>
    <w:rsid w:val="006F1B72"/>
    <w:rsid w:val="006F28DB"/>
    <w:rsid w:val="006F3E19"/>
    <w:rsid w:val="006F6156"/>
    <w:rsid w:val="006F64B9"/>
    <w:rsid w:val="006F683C"/>
    <w:rsid w:val="006F6A3B"/>
    <w:rsid w:val="006F6C6F"/>
    <w:rsid w:val="006F6DA1"/>
    <w:rsid w:val="006F7005"/>
    <w:rsid w:val="006F75B9"/>
    <w:rsid w:val="00700CA8"/>
    <w:rsid w:val="0070486C"/>
    <w:rsid w:val="00704873"/>
    <w:rsid w:val="00704C72"/>
    <w:rsid w:val="007050C4"/>
    <w:rsid w:val="007056C4"/>
    <w:rsid w:val="00706DA5"/>
    <w:rsid w:val="007072E4"/>
    <w:rsid w:val="00710246"/>
    <w:rsid w:val="00711439"/>
    <w:rsid w:val="00711AE2"/>
    <w:rsid w:val="00711D06"/>
    <w:rsid w:val="00712C7B"/>
    <w:rsid w:val="00712DE1"/>
    <w:rsid w:val="00714308"/>
    <w:rsid w:val="007154F3"/>
    <w:rsid w:val="007164F2"/>
    <w:rsid w:val="00716ED6"/>
    <w:rsid w:val="00716FD4"/>
    <w:rsid w:val="00717012"/>
    <w:rsid w:val="0072080D"/>
    <w:rsid w:val="00720E3F"/>
    <w:rsid w:val="00721B13"/>
    <w:rsid w:val="007226BD"/>
    <w:rsid w:val="00724D89"/>
    <w:rsid w:val="00725596"/>
    <w:rsid w:val="007256B3"/>
    <w:rsid w:val="007308AA"/>
    <w:rsid w:val="00731329"/>
    <w:rsid w:val="0073145F"/>
    <w:rsid w:val="007325B7"/>
    <w:rsid w:val="0073344C"/>
    <w:rsid w:val="0073370B"/>
    <w:rsid w:val="00733E3F"/>
    <w:rsid w:val="00734964"/>
    <w:rsid w:val="0073522E"/>
    <w:rsid w:val="00735987"/>
    <w:rsid w:val="007359C5"/>
    <w:rsid w:val="0073629F"/>
    <w:rsid w:val="00740219"/>
    <w:rsid w:val="0074083F"/>
    <w:rsid w:val="007409FD"/>
    <w:rsid w:val="00740B4A"/>
    <w:rsid w:val="00740F34"/>
    <w:rsid w:val="00741F12"/>
    <w:rsid w:val="007445B0"/>
    <w:rsid w:val="00745930"/>
    <w:rsid w:val="007459BA"/>
    <w:rsid w:val="00745B5D"/>
    <w:rsid w:val="00745CA7"/>
    <w:rsid w:val="00746A28"/>
    <w:rsid w:val="00747520"/>
    <w:rsid w:val="00747FF7"/>
    <w:rsid w:val="00751299"/>
    <w:rsid w:val="00752A98"/>
    <w:rsid w:val="00753072"/>
    <w:rsid w:val="007537EB"/>
    <w:rsid w:val="0075425E"/>
    <w:rsid w:val="0075457A"/>
    <w:rsid w:val="007547DA"/>
    <w:rsid w:val="007547E4"/>
    <w:rsid w:val="00754960"/>
    <w:rsid w:val="00755B8E"/>
    <w:rsid w:val="00755F4A"/>
    <w:rsid w:val="00757F6E"/>
    <w:rsid w:val="007603F3"/>
    <w:rsid w:val="00760B21"/>
    <w:rsid w:val="0076156D"/>
    <w:rsid w:val="00761DF9"/>
    <w:rsid w:val="00761E82"/>
    <w:rsid w:val="00762400"/>
    <w:rsid w:val="00762A74"/>
    <w:rsid w:val="00762F85"/>
    <w:rsid w:val="00763006"/>
    <w:rsid w:val="0076367E"/>
    <w:rsid w:val="00763999"/>
    <w:rsid w:val="00764BD8"/>
    <w:rsid w:val="00765717"/>
    <w:rsid w:val="00766B67"/>
    <w:rsid w:val="007675B2"/>
    <w:rsid w:val="00770362"/>
    <w:rsid w:val="007705DF"/>
    <w:rsid w:val="00770AB1"/>
    <w:rsid w:val="00770C19"/>
    <w:rsid w:val="00770C51"/>
    <w:rsid w:val="00771FBE"/>
    <w:rsid w:val="00772F8E"/>
    <w:rsid w:val="00773F2C"/>
    <w:rsid w:val="00776261"/>
    <w:rsid w:val="007774B8"/>
    <w:rsid w:val="00781437"/>
    <w:rsid w:val="0078240E"/>
    <w:rsid w:val="00782684"/>
    <w:rsid w:val="00782878"/>
    <w:rsid w:val="00783D9A"/>
    <w:rsid w:val="00784104"/>
    <w:rsid w:val="007845F9"/>
    <w:rsid w:val="00784D5D"/>
    <w:rsid w:val="00785727"/>
    <w:rsid w:val="00785A3E"/>
    <w:rsid w:val="00787824"/>
    <w:rsid w:val="0079070D"/>
    <w:rsid w:val="00790D5B"/>
    <w:rsid w:val="00792905"/>
    <w:rsid w:val="00792EC7"/>
    <w:rsid w:val="007934E5"/>
    <w:rsid w:val="00794CCF"/>
    <w:rsid w:val="0079546B"/>
    <w:rsid w:val="00795C41"/>
    <w:rsid w:val="007A0377"/>
    <w:rsid w:val="007A1BFE"/>
    <w:rsid w:val="007A2F5C"/>
    <w:rsid w:val="007A3392"/>
    <w:rsid w:val="007A35E3"/>
    <w:rsid w:val="007A3897"/>
    <w:rsid w:val="007A459E"/>
    <w:rsid w:val="007A50E0"/>
    <w:rsid w:val="007A685A"/>
    <w:rsid w:val="007A7530"/>
    <w:rsid w:val="007A7CD9"/>
    <w:rsid w:val="007A7F41"/>
    <w:rsid w:val="007B00FA"/>
    <w:rsid w:val="007B1029"/>
    <w:rsid w:val="007B1155"/>
    <w:rsid w:val="007B141A"/>
    <w:rsid w:val="007B21F9"/>
    <w:rsid w:val="007B2205"/>
    <w:rsid w:val="007B2C79"/>
    <w:rsid w:val="007B2E39"/>
    <w:rsid w:val="007B3CA8"/>
    <w:rsid w:val="007B453E"/>
    <w:rsid w:val="007B4B8C"/>
    <w:rsid w:val="007B5462"/>
    <w:rsid w:val="007C1536"/>
    <w:rsid w:val="007C1B25"/>
    <w:rsid w:val="007C258D"/>
    <w:rsid w:val="007C2EF8"/>
    <w:rsid w:val="007C4210"/>
    <w:rsid w:val="007C60B6"/>
    <w:rsid w:val="007C79C7"/>
    <w:rsid w:val="007D03E7"/>
    <w:rsid w:val="007D131F"/>
    <w:rsid w:val="007D22DD"/>
    <w:rsid w:val="007D4AF1"/>
    <w:rsid w:val="007D61F3"/>
    <w:rsid w:val="007D7AFD"/>
    <w:rsid w:val="007E00B2"/>
    <w:rsid w:val="007E1A89"/>
    <w:rsid w:val="007E320C"/>
    <w:rsid w:val="007E3C44"/>
    <w:rsid w:val="007E432F"/>
    <w:rsid w:val="007E463B"/>
    <w:rsid w:val="007E4A38"/>
    <w:rsid w:val="007E6A98"/>
    <w:rsid w:val="007E6ADC"/>
    <w:rsid w:val="007E74CA"/>
    <w:rsid w:val="007E7FCD"/>
    <w:rsid w:val="007F0F35"/>
    <w:rsid w:val="007F136D"/>
    <w:rsid w:val="007F232C"/>
    <w:rsid w:val="007F3D1E"/>
    <w:rsid w:val="007F42E3"/>
    <w:rsid w:val="007F565E"/>
    <w:rsid w:val="007F70F6"/>
    <w:rsid w:val="007F7F60"/>
    <w:rsid w:val="0080023F"/>
    <w:rsid w:val="00800572"/>
    <w:rsid w:val="00801340"/>
    <w:rsid w:val="0080142E"/>
    <w:rsid w:val="0080271E"/>
    <w:rsid w:val="00802912"/>
    <w:rsid w:val="00802CB7"/>
    <w:rsid w:val="00802EE2"/>
    <w:rsid w:val="0080388D"/>
    <w:rsid w:val="00803A46"/>
    <w:rsid w:val="00803BF8"/>
    <w:rsid w:val="008040B5"/>
    <w:rsid w:val="00804101"/>
    <w:rsid w:val="008047B6"/>
    <w:rsid w:val="00805F6E"/>
    <w:rsid w:val="00806C2A"/>
    <w:rsid w:val="00810394"/>
    <w:rsid w:val="00811198"/>
    <w:rsid w:val="0081191C"/>
    <w:rsid w:val="00812595"/>
    <w:rsid w:val="008133E1"/>
    <w:rsid w:val="00814524"/>
    <w:rsid w:val="00814AE8"/>
    <w:rsid w:val="00815C35"/>
    <w:rsid w:val="008160AB"/>
    <w:rsid w:val="00817995"/>
    <w:rsid w:val="00821C3D"/>
    <w:rsid w:val="0082244F"/>
    <w:rsid w:val="00823287"/>
    <w:rsid w:val="00823C9C"/>
    <w:rsid w:val="008273DC"/>
    <w:rsid w:val="00827FDC"/>
    <w:rsid w:val="00830609"/>
    <w:rsid w:val="00830628"/>
    <w:rsid w:val="00831D4D"/>
    <w:rsid w:val="00832325"/>
    <w:rsid w:val="00832460"/>
    <w:rsid w:val="008325F5"/>
    <w:rsid w:val="00833D2A"/>
    <w:rsid w:val="00834184"/>
    <w:rsid w:val="00834427"/>
    <w:rsid w:val="0083456F"/>
    <w:rsid w:val="00835D2B"/>
    <w:rsid w:val="00836097"/>
    <w:rsid w:val="00836130"/>
    <w:rsid w:val="0083675C"/>
    <w:rsid w:val="00837A60"/>
    <w:rsid w:val="00837B56"/>
    <w:rsid w:val="008401E8"/>
    <w:rsid w:val="0084344B"/>
    <w:rsid w:val="00843B2D"/>
    <w:rsid w:val="00844362"/>
    <w:rsid w:val="0085097E"/>
    <w:rsid w:val="00850B5E"/>
    <w:rsid w:val="008517F6"/>
    <w:rsid w:val="00852506"/>
    <w:rsid w:val="00852F39"/>
    <w:rsid w:val="00853317"/>
    <w:rsid w:val="00853CFA"/>
    <w:rsid w:val="00853F38"/>
    <w:rsid w:val="008545EB"/>
    <w:rsid w:val="0085518C"/>
    <w:rsid w:val="00857D26"/>
    <w:rsid w:val="008605CB"/>
    <w:rsid w:val="008608E2"/>
    <w:rsid w:val="00860D71"/>
    <w:rsid w:val="00861723"/>
    <w:rsid w:val="00861BDB"/>
    <w:rsid w:val="00862A38"/>
    <w:rsid w:val="0086324E"/>
    <w:rsid w:val="00863B4E"/>
    <w:rsid w:val="00867961"/>
    <w:rsid w:val="00870714"/>
    <w:rsid w:val="008720BA"/>
    <w:rsid w:val="008724F2"/>
    <w:rsid w:val="00872599"/>
    <w:rsid w:val="008736F7"/>
    <w:rsid w:val="00874BDC"/>
    <w:rsid w:val="00875183"/>
    <w:rsid w:val="00876A99"/>
    <w:rsid w:val="008773FB"/>
    <w:rsid w:val="00877E98"/>
    <w:rsid w:val="00880057"/>
    <w:rsid w:val="00880BD6"/>
    <w:rsid w:val="008829F9"/>
    <w:rsid w:val="00882C02"/>
    <w:rsid w:val="00883DE7"/>
    <w:rsid w:val="00883F7A"/>
    <w:rsid w:val="00884A79"/>
    <w:rsid w:val="00884B30"/>
    <w:rsid w:val="0088578C"/>
    <w:rsid w:val="008862FE"/>
    <w:rsid w:val="00886495"/>
    <w:rsid w:val="008907DC"/>
    <w:rsid w:val="0089150F"/>
    <w:rsid w:val="008915F8"/>
    <w:rsid w:val="00892407"/>
    <w:rsid w:val="00892591"/>
    <w:rsid w:val="00892810"/>
    <w:rsid w:val="008947D4"/>
    <w:rsid w:val="0089496B"/>
    <w:rsid w:val="0089576C"/>
    <w:rsid w:val="00895BA6"/>
    <w:rsid w:val="00895F6F"/>
    <w:rsid w:val="00897630"/>
    <w:rsid w:val="008A1055"/>
    <w:rsid w:val="008A244B"/>
    <w:rsid w:val="008A2E72"/>
    <w:rsid w:val="008A3710"/>
    <w:rsid w:val="008A56E6"/>
    <w:rsid w:val="008A6FDB"/>
    <w:rsid w:val="008A77B6"/>
    <w:rsid w:val="008A7CE8"/>
    <w:rsid w:val="008A7D6C"/>
    <w:rsid w:val="008B01DE"/>
    <w:rsid w:val="008B0B07"/>
    <w:rsid w:val="008B23CC"/>
    <w:rsid w:val="008B24A0"/>
    <w:rsid w:val="008B2508"/>
    <w:rsid w:val="008B2AED"/>
    <w:rsid w:val="008B3CDC"/>
    <w:rsid w:val="008B47AE"/>
    <w:rsid w:val="008B55F8"/>
    <w:rsid w:val="008B5819"/>
    <w:rsid w:val="008B58B1"/>
    <w:rsid w:val="008B6548"/>
    <w:rsid w:val="008B704D"/>
    <w:rsid w:val="008B7DB5"/>
    <w:rsid w:val="008C0C9A"/>
    <w:rsid w:val="008C1D40"/>
    <w:rsid w:val="008C29AE"/>
    <w:rsid w:val="008C3D91"/>
    <w:rsid w:val="008C404D"/>
    <w:rsid w:val="008C535C"/>
    <w:rsid w:val="008C5AA0"/>
    <w:rsid w:val="008C627A"/>
    <w:rsid w:val="008C629E"/>
    <w:rsid w:val="008C70AA"/>
    <w:rsid w:val="008C73B9"/>
    <w:rsid w:val="008C7C5B"/>
    <w:rsid w:val="008D1D8A"/>
    <w:rsid w:val="008D1EE1"/>
    <w:rsid w:val="008D2DAF"/>
    <w:rsid w:val="008D2E98"/>
    <w:rsid w:val="008D3783"/>
    <w:rsid w:val="008D439C"/>
    <w:rsid w:val="008D453F"/>
    <w:rsid w:val="008D5F90"/>
    <w:rsid w:val="008D6660"/>
    <w:rsid w:val="008D6D54"/>
    <w:rsid w:val="008D7F11"/>
    <w:rsid w:val="008E15B6"/>
    <w:rsid w:val="008E1FB0"/>
    <w:rsid w:val="008E3523"/>
    <w:rsid w:val="008E36D2"/>
    <w:rsid w:val="008E41BA"/>
    <w:rsid w:val="008E4635"/>
    <w:rsid w:val="008E47F4"/>
    <w:rsid w:val="008E4870"/>
    <w:rsid w:val="008E5016"/>
    <w:rsid w:val="008E714E"/>
    <w:rsid w:val="008E72EF"/>
    <w:rsid w:val="008F097F"/>
    <w:rsid w:val="008F141A"/>
    <w:rsid w:val="008F182E"/>
    <w:rsid w:val="008F2A85"/>
    <w:rsid w:val="008F2B42"/>
    <w:rsid w:val="008F3722"/>
    <w:rsid w:val="008F568F"/>
    <w:rsid w:val="008F6700"/>
    <w:rsid w:val="008F67D5"/>
    <w:rsid w:val="009007EE"/>
    <w:rsid w:val="0090084B"/>
    <w:rsid w:val="00900A37"/>
    <w:rsid w:val="009010B7"/>
    <w:rsid w:val="0090122D"/>
    <w:rsid w:val="00906CFE"/>
    <w:rsid w:val="00906D34"/>
    <w:rsid w:val="00907522"/>
    <w:rsid w:val="00911E6E"/>
    <w:rsid w:val="00912412"/>
    <w:rsid w:val="00912904"/>
    <w:rsid w:val="00912F3B"/>
    <w:rsid w:val="009134E4"/>
    <w:rsid w:val="00913B9D"/>
    <w:rsid w:val="009143A8"/>
    <w:rsid w:val="00914463"/>
    <w:rsid w:val="00914A21"/>
    <w:rsid w:val="00914F18"/>
    <w:rsid w:val="009159EF"/>
    <w:rsid w:val="009161E8"/>
    <w:rsid w:val="009166A9"/>
    <w:rsid w:val="00916C14"/>
    <w:rsid w:val="00917EE9"/>
    <w:rsid w:val="00917F3D"/>
    <w:rsid w:val="00921124"/>
    <w:rsid w:val="00922DCA"/>
    <w:rsid w:val="009236C3"/>
    <w:rsid w:val="009238F3"/>
    <w:rsid w:val="00924453"/>
    <w:rsid w:val="0092598D"/>
    <w:rsid w:val="00925E45"/>
    <w:rsid w:val="00926CAA"/>
    <w:rsid w:val="009304DC"/>
    <w:rsid w:val="009330CC"/>
    <w:rsid w:val="0093320B"/>
    <w:rsid w:val="0093470C"/>
    <w:rsid w:val="00934E5E"/>
    <w:rsid w:val="00935363"/>
    <w:rsid w:val="00935795"/>
    <w:rsid w:val="009367DF"/>
    <w:rsid w:val="00940063"/>
    <w:rsid w:val="009404F5"/>
    <w:rsid w:val="00940559"/>
    <w:rsid w:val="00940AB5"/>
    <w:rsid w:val="00940F29"/>
    <w:rsid w:val="009411CC"/>
    <w:rsid w:val="009415B4"/>
    <w:rsid w:val="0094199F"/>
    <w:rsid w:val="0094337B"/>
    <w:rsid w:val="009447A9"/>
    <w:rsid w:val="00944E37"/>
    <w:rsid w:val="00945628"/>
    <w:rsid w:val="00946F5D"/>
    <w:rsid w:val="00947097"/>
    <w:rsid w:val="009473A3"/>
    <w:rsid w:val="0095092A"/>
    <w:rsid w:val="00951030"/>
    <w:rsid w:val="00952D51"/>
    <w:rsid w:val="00953325"/>
    <w:rsid w:val="009538D2"/>
    <w:rsid w:val="00955BEC"/>
    <w:rsid w:val="00956150"/>
    <w:rsid w:val="009602B5"/>
    <w:rsid w:val="00960F2E"/>
    <w:rsid w:val="009616A9"/>
    <w:rsid w:val="00961A15"/>
    <w:rsid w:val="00961A64"/>
    <w:rsid w:val="00961AD7"/>
    <w:rsid w:val="00961E31"/>
    <w:rsid w:val="0096266E"/>
    <w:rsid w:val="00962A2B"/>
    <w:rsid w:val="00962AA7"/>
    <w:rsid w:val="00962E82"/>
    <w:rsid w:val="00965123"/>
    <w:rsid w:val="00966FA5"/>
    <w:rsid w:val="0096765E"/>
    <w:rsid w:val="00967C33"/>
    <w:rsid w:val="00970E36"/>
    <w:rsid w:val="00970E67"/>
    <w:rsid w:val="009712BD"/>
    <w:rsid w:val="00971535"/>
    <w:rsid w:val="00972313"/>
    <w:rsid w:val="00973EF8"/>
    <w:rsid w:val="0097453C"/>
    <w:rsid w:val="00974BCB"/>
    <w:rsid w:val="0097597C"/>
    <w:rsid w:val="00977023"/>
    <w:rsid w:val="00977D9C"/>
    <w:rsid w:val="00981116"/>
    <w:rsid w:val="00981170"/>
    <w:rsid w:val="00982DD6"/>
    <w:rsid w:val="009832FF"/>
    <w:rsid w:val="009839BC"/>
    <w:rsid w:val="00983AFB"/>
    <w:rsid w:val="00985D80"/>
    <w:rsid w:val="0098682B"/>
    <w:rsid w:val="00986ABC"/>
    <w:rsid w:val="00987E6F"/>
    <w:rsid w:val="00990A61"/>
    <w:rsid w:val="00992AAD"/>
    <w:rsid w:val="00992CB5"/>
    <w:rsid w:val="009962CC"/>
    <w:rsid w:val="00996F08"/>
    <w:rsid w:val="009A0B35"/>
    <w:rsid w:val="009A1763"/>
    <w:rsid w:val="009A220B"/>
    <w:rsid w:val="009A2ED2"/>
    <w:rsid w:val="009A3DB7"/>
    <w:rsid w:val="009A4D2C"/>
    <w:rsid w:val="009A66EF"/>
    <w:rsid w:val="009A7EAC"/>
    <w:rsid w:val="009B1895"/>
    <w:rsid w:val="009B1D8A"/>
    <w:rsid w:val="009B1EA8"/>
    <w:rsid w:val="009B3111"/>
    <w:rsid w:val="009B37BC"/>
    <w:rsid w:val="009B3AEF"/>
    <w:rsid w:val="009B42E4"/>
    <w:rsid w:val="009B4636"/>
    <w:rsid w:val="009B4B5A"/>
    <w:rsid w:val="009B4E46"/>
    <w:rsid w:val="009B4F0A"/>
    <w:rsid w:val="009B50A8"/>
    <w:rsid w:val="009B5133"/>
    <w:rsid w:val="009B5596"/>
    <w:rsid w:val="009B5F3C"/>
    <w:rsid w:val="009B6963"/>
    <w:rsid w:val="009B6F9F"/>
    <w:rsid w:val="009B70E6"/>
    <w:rsid w:val="009B728E"/>
    <w:rsid w:val="009C0705"/>
    <w:rsid w:val="009C130C"/>
    <w:rsid w:val="009C1CF3"/>
    <w:rsid w:val="009C2024"/>
    <w:rsid w:val="009C2BAA"/>
    <w:rsid w:val="009C3C54"/>
    <w:rsid w:val="009C45AF"/>
    <w:rsid w:val="009C4BBB"/>
    <w:rsid w:val="009C4BD1"/>
    <w:rsid w:val="009C4DEE"/>
    <w:rsid w:val="009C5ADB"/>
    <w:rsid w:val="009C67CE"/>
    <w:rsid w:val="009C75AE"/>
    <w:rsid w:val="009C793A"/>
    <w:rsid w:val="009D015F"/>
    <w:rsid w:val="009D03EF"/>
    <w:rsid w:val="009D1D79"/>
    <w:rsid w:val="009D2303"/>
    <w:rsid w:val="009D247A"/>
    <w:rsid w:val="009D2879"/>
    <w:rsid w:val="009D3552"/>
    <w:rsid w:val="009D3BDA"/>
    <w:rsid w:val="009D6532"/>
    <w:rsid w:val="009D713A"/>
    <w:rsid w:val="009D7DC0"/>
    <w:rsid w:val="009E12E9"/>
    <w:rsid w:val="009E12EE"/>
    <w:rsid w:val="009E1FC6"/>
    <w:rsid w:val="009E1FDA"/>
    <w:rsid w:val="009E2032"/>
    <w:rsid w:val="009E2427"/>
    <w:rsid w:val="009E3511"/>
    <w:rsid w:val="009E3E67"/>
    <w:rsid w:val="009E45AF"/>
    <w:rsid w:val="009E5EAB"/>
    <w:rsid w:val="009E67C4"/>
    <w:rsid w:val="009E67F7"/>
    <w:rsid w:val="009E6E6F"/>
    <w:rsid w:val="009E75A9"/>
    <w:rsid w:val="009F320D"/>
    <w:rsid w:val="009F3CB9"/>
    <w:rsid w:val="009F4873"/>
    <w:rsid w:val="009F5420"/>
    <w:rsid w:val="009F6D7A"/>
    <w:rsid w:val="009F72BB"/>
    <w:rsid w:val="009F73AF"/>
    <w:rsid w:val="00A0225A"/>
    <w:rsid w:val="00A02614"/>
    <w:rsid w:val="00A03E21"/>
    <w:rsid w:val="00A040BA"/>
    <w:rsid w:val="00A05B7B"/>
    <w:rsid w:val="00A07F17"/>
    <w:rsid w:val="00A12123"/>
    <w:rsid w:val="00A13189"/>
    <w:rsid w:val="00A13D3A"/>
    <w:rsid w:val="00A1471A"/>
    <w:rsid w:val="00A14CCB"/>
    <w:rsid w:val="00A158E1"/>
    <w:rsid w:val="00A163B1"/>
    <w:rsid w:val="00A1778F"/>
    <w:rsid w:val="00A1799E"/>
    <w:rsid w:val="00A2152E"/>
    <w:rsid w:val="00A21C15"/>
    <w:rsid w:val="00A220B1"/>
    <w:rsid w:val="00A227AD"/>
    <w:rsid w:val="00A231D9"/>
    <w:rsid w:val="00A249BE"/>
    <w:rsid w:val="00A24A0E"/>
    <w:rsid w:val="00A251AB"/>
    <w:rsid w:val="00A25A64"/>
    <w:rsid w:val="00A25BD5"/>
    <w:rsid w:val="00A263E6"/>
    <w:rsid w:val="00A270AA"/>
    <w:rsid w:val="00A30B7B"/>
    <w:rsid w:val="00A315DE"/>
    <w:rsid w:val="00A32C8D"/>
    <w:rsid w:val="00A33586"/>
    <w:rsid w:val="00A372EA"/>
    <w:rsid w:val="00A41D9F"/>
    <w:rsid w:val="00A41E83"/>
    <w:rsid w:val="00A437C0"/>
    <w:rsid w:val="00A4386F"/>
    <w:rsid w:val="00A43CFE"/>
    <w:rsid w:val="00A44068"/>
    <w:rsid w:val="00A4418D"/>
    <w:rsid w:val="00A44276"/>
    <w:rsid w:val="00A4485F"/>
    <w:rsid w:val="00A44C7A"/>
    <w:rsid w:val="00A44D1D"/>
    <w:rsid w:val="00A450D3"/>
    <w:rsid w:val="00A45710"/>
    <w:rsid w:val="00A46E80"/>
    <w:rsid w:val="00A47915"/>
    <w:rsid w:val="00A47ABC"/>
    <w:rsid w:val="00A50BAD"/>
    <w:rsid w:val="00A50ECE"/>
    <w:rsid w:val="00A51A23"/>
    <w:rsid w:val="00A51A65"/>
    <w:rsid w:val="00A52426"/>
    <w:rsid w:val="00A52888"/>
    <w:rsid w:val="00A54E94"/>
    <w:rsid w:val="00A55207"/>
    <w:rsid w:val="00A561DC"/>
    <w:rsid w:val="00A565C5"/>
    <w:rsid w:val="00A56689"/>
    <w:rsid w:val="00A5670D"/>
    <w:rsid w:val="00A56727"/>
    <w:rsid w:val="00A57502"/>
    <w:rsid w:val="00A6354B"/>
    <w:rsid w:val="00A638A2"/>
    <w:rsid w:val="00A65168"/>
    <w:rsid w:val="00A651AF"/>
    <w:rsid w:val="00A65DD1"/>
    <w:rsid w:val="00A66755"/>
    <w:rsid w:val="00A66E33"/>
    <w:rsid w:val="00A67D37"/>
    <w:rsid w:val="00A700EA"/>
    <w:rsid w:val="00A70892"/>
    <w:rsid w:val="00A70942"/>
    <w:rsid w:val="00A70BE0"/>
    <w:rsid w:val="00A711DE"/>
    <w:rsid w:val="00A71A36"/>
    <w:rsid w:val="00A71BCD"/>
    <w:rsid w:val="00A71F11"/>
    <w:rsid w:val="00A722E2"/>
    <w:rsid w:val="00A72B9C"/>
    <w:rsid w:val="00A73073"/>
    <w:rsid w:val="00A7319F"/>
    <w:rsid w:val="00A73553"/>
    <w:rsid w:val="00A73A3B"/>
    <w:rsid w:val="00A73F2B"/>
    <w:rsid w:val="00A74164"/>
    <w:rsid w:val="00A74549"/>
    <w:rsid w:val="00A74D55"/>
    <w:rsid w:val="00A76517"/>
    <w:rsid w:val="00A76701"/>
    <w:rsid w:val="00A76BAE"/>
    <w:rsid w:val="00A77617"/>
    <w:rsid w:val="00A77E75"/>
    <w:rsid w:val="00A80124"/>
    <w:rsid w:val="00A8113C"/>
    <w:rsid w:val="00A82F78"/>
    <w:rsid w:val="00A837ED"/>
    <w:rsid w:val="00A86597"/>
    <w:rsid w:val="00A877BB"/>
    <w:rsid w:val="00A904F3"/>
    <w:rsid w:val="00A90BA4"/>
    <w:rsid w:val="00A91B63"/>
    <w:rsid w:val="00A928C4"/>
    <w:rsid w:val="00A93527"/>
    <w:rsid w:val="00A93AF6"/>
    <w:rsid w:val="00A93FFE"/>
    <w:rsid w:val="00A94284"/>
    <w:rsid w:val="00A945B1"/>
    <w:rsid w:val="00A95D50"/>
    <w:rsid w:val="00A96483"/>
    <w:rsid w:val="00A96FD3"/>
    <w:rsid w:val="00A970AB"/>
    <w:rsid w:val="00AA01C9"/>
    <w:rsid w:val="00AA1812"/>
    <w:rsid w:val="00AA242B"/>
    <w:rsid w:val="00AA352F"/>
    <w:rsid w:val="00AA38F2"/>
    <w:rsid w:val="00AA3B63"/>
    <w:rsid w:val="00AA422A"/>
    <w:rsid w:val="00AA4D78"/>
    <w:rsid w:val="00AA4F17"/>
    <w:rsid w:val="00AA52E4"/>
    <w:rsid w:val="00AA5491"/>
    <w:rsid w:val="00AA56F7"/>
    <w:rsid w:val="00AA5FAA"/>
    <w:rsid w:val="00AA66B9"/>
    <w:rsid w:val="00AA7A30"/>
    <w:rsid w:val="00AB0258"/>
    <w:rsid w:val="00AB0872"/>
    <w:rsid w:val="00AB0A97"/>
    <w:rsid w:val="00AB2D66"/>
    <w:rsid w:val="00AB2E64"/>
    <w:rsid w:val="00AB3BB7"/>
    <w:rsid w:val="00AB42DB"/>
    <w:rsid w:val="00AB46F8"/>
    <w:rsid w:val="00AB4A49"/>
    <w:rsid w:val="00AB4F88"/>
    <w:rsid w:val="00AB5F18"/>
    <w:rsid w:val="00AB78F8"/>
    <w:rsid w:val="00AC056F"/>
    <w:rsid w:val="00AC0655"/>
    <w:rsid w:val="00AC4901"/>
    <w:rsid w:val="00AD031F"/>
    <w:rsid w:val="00AD072C"/>
    <w:rsid w:val="00AD0FAC"/>
    <w:rsid w:val="00AD17E1"/>
    <w:rsid w:val="00AD4155"/>
    <w:rsid w:val="00AD47F1"/>
    <w:rsid w:val="00AD5136"/>
    <w:rsid w:val="00AD5FC4"/>
    <w:rsid w:val="00AD671E"/>
    <w:rsid w:val="00AD697A"/>
    <w:rsid w:val="00AD6A21"/>
    <w:rsid w:val="00AD721D"/>
    <w:rsid w:val="00AD72E0"/>
    <w:rsid w:val="00AD7491"/>
    <w:rsid w:val="00AE0011"/>
    <w:rsid w:val="00AE0304"/>
    <w:rsid w:val="00AE03A5"/>
    <w:rsid w:val="00AE085B"/>
    <w:rsid w:val="00AE0A48"/>
    <w:rsid w:val="00AE0B54"/>
    <w:rsid w:val="00AE0DE1"/>
    <w:rsid w:val="00AE3521"/>
    <w:rsid w:val="00AE3797"/>
    <w:rsid w:val="00AE382D"/>
    <w:rsid w:val="00AE399A"/>
    <w:rsid w:val="00AF0D9C"/>
    <w:rsid w:val="00AF1000"/>
    <w:rsid w:val="00AF1097"/>
    <w:rsid w:val="00AF1453"/>
    <w:rsid w:val="00AF2952"/>
    <w:rsid w:val="00AF33E0"/>
    <w:rsid w:val="00AF3635"/>
    <w:rsid w:val="00AF60D0"/>
    <w:rsid w:val="00AF6481"/>
    <w:rsid w:val="00AF7F25"/>
    <w:rsid w:val="00AF7F90"/>
    <w:rsid w:val="00B01C9A"/>
    <w:rsid w:val="00B022EB"/>
    <w:rsid w:val="00B0255B"/>
    <w:rsid w:val="00B04167"/>
    <w:rsid w:val="00B04378"/>
    <w:rsid w:val="00B05512"/>
    <w:rsid w:val="00B05A4F"/>
    <w:rsid w:val="00B05FAC"/>
    <w:rsid w:val="00B065D4"/>
    <w:rsid w:val="00B066E5"/>
    <w:rsid w:val="00B06ED5"/>
    <w:rsid w:val="00B07E9D"/>
    <w:rsid w:val="00B07F09"/>
    <w:rsid w:val="00B111A5"/>
    <w:rsid w:val="00B1156D"/>
    <w:rsid w:val="00B118A5"/>
    <w:rsid w:val="00B14D6E"/>
    <w:rsid w:val="00B14FFE"/>
    <w:rsid w:val="00B150A8"/>
    <w:rsid w:val="00B169E8"/>
    <w:rsid w:val="00B16E60"/>
    <w:rsid w:val="00B21FC2"/>
    <w:rsid w:val="00B22D9B"/>
    <w:rsid w:val="00B2319A"/>
    <w:rsid w:val="00B236C5"/>
    <w:rsid w:val="00B23F0D"/>
    <w:rsid w:val="00B24918"/>
    <w:rsid w:val="00B25151"/>
    <w:rsid w:val="00B25A0C"/>
    <w:rsid w:val="00B26C7F"/>
    <w:rsid w:val="00B3065C"/>
    <w:rsid w:val="00B30702"/>
    <w:rsid w:val="00B3430C"/>
    <w:rsid w:val="00B35163"/>
    <w:rsid w:val="00B353B2"/>
    <w:rsid w:val="00B37A5F"/>
    <w:rsid w:val="00B4137D"/>
    <w:rsid w:val="00B443B4"/>
    <w:rsid w:val="00B45AA4"/>
    <w:rsid w:val="00B45C15"/>
    <w:rsid w:val="00B46144"/>
    <w:rsid w:val="00B462AA"/>
    <w:rsid w:val="00B46A7A"/>
    <w:rsid w:val="00B50A87"/>
    <w:rsid w:val="00B51309"/>
    <w:rsid w:val="00B518EE"/>
    <w:rsid w:val="00B5277A"/>
    <w:rsid w:val="00B52A64"/>
    <w:rsid w:val="00B53918"/>
    <w:rsid w:val="00B54A06"/>
    <w:rsid w:val="00B550D4"/>
    <w:rsid w:val="00B55516"/>
    <w:rsid w:val="00B55D62"/>
    <w:rsid w:val="00B5642F"/>
    <w:rsid w:val="00B5649A"/>
    <w:rsid w:val="00B56CAC"/>
    <w:rsid w:val="00B600AD"/>
    <w:rsid w:val="00B61B30"/>
    <w:rsid w:val="00B62172"/>
    <w:rsid w:val="00B626F7"/>
    <w:rsid w:val="00B6331B"/>
    <w:rsid w:val="00B64749"/>
    <w:rsid w:val="00B66035"/>
    <w:rsid w:val="00B66DE5"/>
    <w:rsid w:val="00B701A9"/>
    <w:rsid w:val="00B70306"/>
    <w:rsid w:val="00B71E24"/>
    <w:rsid w:val="00B71E3E"/>
    <w:rsid w:val="00B726F0"/>
    <w:rsid w:val="00B73492"/>
    <w:rsid w:val="00B73E38"/>
    <w:rsid w:val="00B74B44"/>
    <w:rsid w:val="00B75644"/>
    <w:rsid w:val="00B76A87"/>
    <w:rsid w:val="00B77028"/>
    <w:rsid w:val="00B8095E"/>
    <w:rsid w:val="00B824F5"/>
    <w:rsid w:val="00B83124"/>
    <w:rsid w:val="00B841E6"/>
    <w:rsid w:val="00B84A50"/>
    <w:rsid w:val="00B84A76"/>
    <w:rsid w:val="00B84AF3"/>
    <w:rsid w:val="00B84B71"/>
    <w:rsid w:val="00B84BDB"/>
    <w:rsid w:val="00B852D5"/>
    <w:rsid w:val="00B8638B"/>
    <w:rsid w:val="00B8767D"/>
    <w:rsid w:val="00B90519"/>
    <w:rsid w:val="00B921E7"/>
    <w:rsid w:val="00B92825"/>
    <w:rsid w:val="00B929A0"/>
    <w:rsid w:val="00B92A4E"/>
    <w:rsid w:val="00B934A4"/>
    <w:rsid w:val="00B93E4A"/>
    <w:rsid w:val="00B96148"/>
    <w:rsid w:val="00B969C8"/>
    <w:rsid w:val="00B96CA7"/>
    <w:rsid w:val="00B9783F"/>
    <w:rsid w:val="00BA10C3"/>
    <w:rsid w:val="00BA1441"/>
    <w:rsid w:val="00BA1582"/>
    <w:rsid w:val="00BA1F70"/>
    <w:rsid w:val="00BA31A7"/>
    <w:rsid w:val="00BA3AB1"/>
    <w:rsid w:val="00BA48AE"/>
    <w:rsid w:val="00BA4F64"/>
    <w:rsid w:val="00BA53EC"/>
    <w:rsid w:val="00BA5581"/>
    <w:rsid w:val="00BA6376"/>
    <w:rsid w:val="00BA7585"/>
    <w:rsid w:val="00BB2696"/>
    <w:rsid w:val="00BB2913"/>
    <w:rsid w:val="00BB2B24"/>
    <w:rsid w:val="00BB2E6A"/>
    <w:rsid w:val="00BB4720"/>
    <w:rsid w:val="00BB4728"/>
    <w:rsid w:val="00BB478B"/>
    <w:rsid w:val="00BB5BAA"/>
    <w:rsid w:val="00BB5C3A"/>
    <w:rsid w:val="00BB69CE"/>
    <w:rsid w:val="00BB7CA3"/>
    <w:rsid w:val="00BC0005"/>
    <w:rsid w:val="00BC0256"/>
    <w:rsid w:val="00BC0646"/>
    <w:rsid w:val="00BC1317"/>
    <w:rsid w:val="00BC14A7"/>
    <w:rsid w:val="00BC3F2B"/>
    <w:rsid w:val="00BC4982"/>
    <w:rsid w:val="00BC532E"/>
    <w:rsid w:val="00BC5331"/>
    <w:rsid w:val="00BC5450"/>
    <w:rsid w:val="00BC547D"/>
    <w:rsid w:val="00BC54DD"/>
    <w:rsid w:val="00BD1A4B"/>
    <w:rsid w:val="00BD27BF"/>
    <w:rsid w:val="00BD291B"/>
    <w:rsid w:val="00BD7776"/>
    <w:rsid w:val="00BE1676"/>
    <w:rsid w:val="00BE1E82"/>
    <w:rsid w:val="00BE31C3"/>
    <w:rsid w:val="00BE3337"/>
    <w:rsid w:val="00BE3964"/>
    <w:rsid w:val="00BE4604"/>
    <w:rsid w:val="00BE57CB"/>
    <w:rsid w:val="00BE5ACE"/>
    <w:rsid w:val="00BE5B5E"/>
    <w:rsid w:val="00BE7508"/>
    <w:rsid w:val="00BF0230"/>
    <w:rsid w:val="00BF1708"/>
    <w:rsid w:val="00BF1BC0"/>
    <w:rsid w:val="00BF37AC"/>
    <w:rsid w:val="00BF38D1"/>
    <w:rsid w:val="00BF4008"/>
    <w:rsid w:val="00BF460C"/>
    <w:rsid w:val="00BF4988"/>
    <w:rsid w:val="00BF4AE2"/>
    <w:rsid w:val="00BF4BE9"/>
    <w:rsid w:val="00BF550C"/>
    <w:rsid w:val="00BF5AAE"/>
    <w:rsid w:val="00BF632F"/>
    <w:rsid w:val="00BF6408"/>
    <w:rsid w:val="00C0007B"/>
    <w:rsid w:val="00C000A3"/>
    <w:rsid w:val="00C008EF"/>
    <w:rsid w:val="00C00D98"/>
    <w:rsid w:val="00C01198"/>
    <w:rsid w:val="00C01271"/>
    <w:rsid w:val="00C01E88"/>
    <w:rsid w:val="00C01EAD"/>
    <w:rsid w:val="00C0252F"/>
    <w:rsid w:val="00C02625"/>
    <w:rsid w:val="00C02930"/>
    <w:rsid w:val="00C0293E"/>
    <w:rsid w:val="00C033FA"/>
    <w:rsid w:val="00C03E1C"/>
    <w:rsid w:val="00C0484B"/>
    <w:rsid w:val="00C04AF4"/>
    <w:rsid w:val="00C059BE"/>
    <w:rsid w:val="00C068E4"/>
    <w:rsid w:val="00C0722D"/>
    <w:rsid w:val="00C07368"/>
    <w:rsid w:val="00C073A5"/>
    <w:rsid w:val="00C100A6"/>
    <w:rsid w:val="00C10252"/>
    <w:rsid w:val="00C10548"/>
    <w:rsid w:val="00C10976"/>
    <w:rsid w:val="00C110E3"/>
    <w:rsid w:val="00C11B75"/>
    <w:rsid w:val="00C122CD"/>
    <w:rsid w:val="00C12C61"/>
    <w:rsid w:val="00C136E8"/>
    <w:rsid w:val="00C13E04"/>
    <w:rsid w:val="00C15602"/>
    <w:rsid w:val="00C167D8"/>
    <w:rsid w:val="00C2130E"/>
    <w:rsid w:val="00C2181E"/>
    <w:rsid w:val="00C2380D"/>
    <w:rsid w:val="00C23F20"/>
    <w:rsid w:val="00C25C16"/>
    <w:rsid w:val="00C26224"/>
    <w:rsid w:val="00C26991"/>
    <w:rsid w:val="00C2707B"/>
    <w:rsid w:val="00C30889"/>
    <w:rsid w:val="00C3127E"/>
    <w:rsid w:val="00C3160A"/>
    <w:rsid w:val="00C32BD9"/>
    <w:rsid w:val="00C34299"/>
    <w:rsid w:val="00C34F35"/>
    <w:rsid w:val="00C354EB"/>
    <w:rsid w:val="00C3588F"/>
    <w:rsid w:val="00C35D8F"/>
    <w:rsid w:val="00C365EF"/>
    <w:rsid w:val="00C37EA5"/>
    <w:rsid w:val="00C416A2"/>
    <w:rsid w:val="00C418C0"/>
    <w:rsid w:val="00C4197C"/>
    <w:rsid w:val="00C41C42"/>
    <w:rsid w:val="00C44500"/>
    <w:rsid w:val="00C445ED"/>
    <w:rsid w:val="00C45293"/>
    <w:rsid w:val="00C47F2A"/>
    <w:rsid w:val="00C5104B"/>
    <w:rsid w:val="00C511E8"/>
    <w:rsid w:val="00C51880"/>
    <w:rsid w:val="00C52AF3"/>
    <w:rsid w:val="00C52D98"/>
    <w:rsid w:val="00C52FAD"/>
    <w:rsid w:val="00C54552"/>
    <w:rsid w:val="00C54692"/>
    <w:rsid w:val="00C54AFD"/>
    <w:rsid w:val="00C565A4"/>
    <w:rsid w:val="00C57878"/>
    <w:rsid w:val="00C62148"/>
    <w:rsid w:val="00C62600"/>
    <w:rsid w:val="00C648E8"/>
    <w:rsid w:val="00C649A3"/>
    <w:rsid w:val="00C64E28"/>
    <w:rsid w:val="00C64FBD"/>
    <w:rsid w:val="00C65482"/>
    <w:rsid w:val="00C667EA"/>
    <w:rsid w:val="00C66F56"/>
    <w:rsid w:val="00C67B0B"/>
    <w:rsid w:val="00C67B12"/>
    <w:rsid w:val="00C7078C"/>
    <w:rsid w:val="00C71314"/>
    <w:rsid w:val="00C72FDF"/>
    <w:rsid w:val="00C73614"/>
    <w:rsid w:val="00C736A7"/>
    <w:rsid w:val="00C7390F"/>
    <w:rsid w:val="00C73D05"/>
    <w:rsid w:val="00C74D2A"/>
    <w:rsid w:val="00C754B9"/>
    <w:rsid w:val="00C7619B"/>
    <w:rsid w:val="00C80468"/>
    <w:rsid w:val="00C80E03"/>
    <w:rsid w:val="00C823F3"/>
    <w:rsid w:val="00C82B62"/>
    <w:rsid w:val="00C85B67"/>
    <w:rsid w:val="00C86014"/>
    <w:rsid w:val="00C87A7B"/>
    <w:rsid w:val="00C9005A"/>
    <w:rsid w:val="00C922EF"/>
    <w:rsid w:val="00C92C2C"/>
    <w:rsid w:val="00C93084"/>
    <w:rsid w:val="00C93852"/>
    <w:rsid w:val="00C94292"/>
    <w:rsid w:val="00C94A61"/>
    <w:rsid w:val="00C96581"/>
    <w:rsid w:val="00C96CC5"/>
    <w:rsid w:val="00C97642"/>
    <w:rsid w:val="00CA11E8"/>
    <w:rsid w:val="00CA19AE"/>
    <w:rsid w:val="00CA3BAD"/>
    <w:rsid w:val="00CA4B07"/>
    <w:rsid w:val="00CA53E0"/>
    <w:rsid w:val="00CA6792"/>
    <w:rsid w:val="00CA6A69"/>
    <w:rsid w:val="00CB000A"/>
    <w:rsid w:val="00CB094E"/>
    <w:rsid w:val="00CB1660"/>
    <w:rsid w:val="00CB1CC1"/>
    <w:rsid w:val="00CB2327"/>
    <w:rsid w:val="00CB2D37"/>
    <w:rsid w:val="00CB4978"/>
    <w:rsid w:val="00CB5252"/>
    <w:rsid w:val="00CB56E1"/>
    <w:rsid w:val="00CB6B08"/>
    <w:rsid w:val="00CC0D18"/>
    <w:rsid w:val="00CC0E36"/>
    <w:rsid w:val="00CC2F79"/>
    <w:rsid w:val="00CC46A6"/>
    <w:rsid w:val="00CC51EA"/>
    <w:rsid w:val="00CC55B9"/>
    <w:rsid w:val="00CC595D"/>
    <w:rsid w:val="00CC5B25"/>
    <w:rsid w:val="00CC7C8A"/>
    <w:rsid w:val="00CD0122"/>
    <w:rsid w:val="00CD04D2"/>
    <w:rsid w:val="00CD05C2"/>
    <w:rsid w:val="00CD09F9"/>
    <w:rsid w:val="00CD15FD"/>
    <w:rsid w:val="00CD1CB4"/>
    <w:rsid w:val="00CD1EEE"/>
    <w:rsid w:val="00CD3060"/>
    <w:rsid w:val="00CD3552"/>
    <w:rsid w:val="00CD4E11"/>
    <w:rsid w:val="00CD4F88"/>
    <w:rsid w:val="00CD65D4"/>
    <w:rsid w:val="00CD6921"/>
    <w:rsid w:val="00CD6C70"/>
    <w:rsid w:val="00CD772F"/>
    <w:rsid w:val="00CE0985"/>
    <w:rsid w:val="00CE145F"/>
    <w:rsid w:val="00CE154D"/>
    <w:rsid w:val="00CE2BC9"/>
    <w:rsid w:val="00CE2CEC"/>
    <w:rsid w:val="00CE55AD"/>
    <w:rsid w:val="00CE5865"/>
    <w:rsid w:val="00CE68A2"/>
    <w:rsid w:val="00CE68BE"/>
    <w:rsid w:val="00CE6CB6"/>
    <w:rsid w:val="00CE7FA4"/>
    <w:rsid w:val="00CF0BEB"/>
    <w:rsid w:val="00CF111B"/>
    <w:rsid w:val="00CF176E"/>
    <w:rsid w:val="00CF2B34"/>
    <w:rsid w:val="00CF2D1C"/>
    <w:rsid w:val="00CF41AE"/>
    <w:rsid w:val="00CF46BB"/>
    <w:rsid w:val="00CF5790"/>
    <w:rsid w:val="00CF7111"/>
    <w:rsid w:val="00D003A1"/>
    <w:rsid w:val="00D005ED"/>
    <w:rsid w:val="00D01CF2"/>
    <w:rsid w:val="00D02EEB"/>
    <w:rsid w:val="00D02F97"/>
    <w:rsid w:val="00D03241"/>
    <w:rsid w:val="00D041D7"/>
    <w:rsid w:val="00D06778"/>
    <w:rsid w:val="00D072F0"/>
    <w:rsid w:val="00D07BFA"/>
    <w:rsid w:val="00D10136"/>
    <w:rsid w:val="00D10487"/>
    <w:rsid w:val="00D124F1"/>
    <w:rsid w:val="00D12D53"/>
    <w:rsid w:val="00D138CE"/>
    <w:rsid w:val="00D13D3D"/>
    <w:rsid w:val="00D14DEE"/>
    <w:rsid w:val="00D158E0"/>
    <w:rsid w:val="00D15E00"/>
    <w:rsid w:val="00D15F27"/>
    <w:rsid w:val="00D16C31"/>
    <w:rsid w:val="00D2171A"/>
    <w:rsid w:val="00D2729A"/>
    <w:rsid w:val="00D275E0"/>
    <w:rsid w:val="00D3018F"/>
    <w:rsid w:val="00D305A8"/>
    <w:rsid w:val="00D315A5"/>
    <w:rsid w:val="00D31C2D"/>
    <w:rsid w:val="00D32D7F"/>
    <w:rsid w:val="00D339B1"/>
    <w:rsid w:val="00D33A2B"/>
    <w:rsid w:val="00D340D7"/>
    <w:rsid w:val="00D35084"/>
    <w:rsid w:val="00D35467"/>
    <w:rsid w:val="00D35EEB"/>
    <w:rsid w:val="00D35F0E"/>
    <w:rsid w:val="00D36050"/>
    <w:rsid w:val="00D37BCB"/>
    <w:rsid w:val="00D37DA2"/>
    <w:rsid w:val="00D37DCF"/>
    <w:rsid w:val="00D40065"/>
    <w:rsid w:val="00D400EA"/>
    <w:rsid w:val="00D40439"/>
    <w:rsid w:val="00D40809"/>
    <w:rsid w:val="00D4134F"/>
    <w:rsid w:val="00D41A08"/>
    <w:rsid w:val="00D43CA7"/>
    <w:rsid w:val="00D4400C"/>
    <w:rsid w:val="00D44AAF"/>
    <w:rsid w:val="00D44ABD"/>
    <w:rsid w:val="00D455F1"/>
    <w:rsid w:val="00D45D17"/>
    <w:rsid w:val="00D47472"/>
    <w:rsid w:val="00D47CF2"/>
    <w:rsid w:val="00D47FB0"/>
    <w:rsid w:val="00D50391"/>
    <w:rsid w:val="00D5303F"/>
    <w:rsid w:val="00D55059"/>
    <w:rsid w:val="00D55FD3"/>
    <w:rsid w:val="00D561B7"/>
    <w:rsid w:val="00D56442"/>
    <w:rsid w:val="00D57294"/>
    <w:rsid w:val="00D574AD"/>
    <w:rsid w:val="00D6014F"/>
    <w:rsid w:val="00D60C89"/>
    <w:rsid w:val="00D60E5F"/>
    <w:rsid w:val="00D61521"/>
    <w:rsid w:val="00D61B0A"/>
    <w:rsid w:val="00D62EFC"/>
    <w:rsid w:val="00D63773"/>
    <w:rsid w:val="00D6442B"/>
    <w:rsid w:val="00D646A8"/>
    <w:rsid w:val="00D64A46"/>
    <w:rsid w:val="00D64D16"/>
    <w:rsid w:val="00D6591B"/>
    <w:rsid w:val="00D678C3"/>
    <w:rsid w:val="00D7135A"/>
    <w:rsid w:val="00D713CB"/>
    <w:rsid w:val="00D71C22"/>
    <w:rsid w:val="00D727B0"/>
    <w:rsid w:val="00D7293C"/>
    <w:rsid w:val="00D75148"/>
    <w:rsid w:val="00D76364"/>
    <w:rsid w:val="00D76F98"/>
    <w:rsid w:val="00D77842"/>
    <w:rsid w:val="00D77A32"/>
    <w:rsid w:val="00D82314"/>
    <w:rsid w:val="00D8341D"/>
    <w:rsid w:val="00D849ED"/>
    <w:rsid w:val="00D84B46"/>
    <w:rsid w:val="00D850B8"/>
    <w:rsid w:val="00D855EF"/>
    <w:rsid w:val="00D87086"/>
    <w:rsid w:val="00D87D1D"/>
    <w:rsid w:val="00D87D98"/>
    <w:rsid w:val="00D90775"/>
    <w:rsid w:val="00D90B1B"/>
    <w:rsid w:val="00D910C4"/>
    <w:rsid w:val="00D91329"/>
    <w:rsid w:val="00D91725"/>
    <w:rsid w:val="00D91A2E"/>
    <w:rsid w:val="00D91B37"/>
    <w:rsid w:val="00D91CD3"/>
    <w:rsid w:val="00D93621"/>
    <w:rsid w:val="00D93689"/>
    <w:rsid w:val="00D93DF9"/>
    <w:rsid w:val="00D9459C"/>
    <w:rsid w:val="00D95A75"/>
    <w:rsid w:val="00D963E4"/>
    <w:rsid w:val="00D96FBF"/>
    <w:rsid w:val="00D973EC"/>
    <w:rsid w:val="00D9743E"/>
    <w:rsid w:val="00D9746E"/>
    <w:rsid w:val="00D9775B"/>
    <w:rsid w:val="00DA0000"/>
    <w:rsid w:val="00DA02F1"/>
    <w:rsid w:val="00DA06A2"/>
    <w:rsid w:val="00DA094B"/>
    <w:rsid w:val="00DA102C"/>
    <w:rsid w:val="00DA2726"/>
    <w:rsid w:val="00DA4EE7"/>
    <w:rsid w:val="00DA535F"/>
    <w:rsid w:val="00DA5520"/>
    <w:rsid w:val="00DA64C3"/>
    <w:rsid w:val="00DA6DCD"/>
    <w:rsid w:val="00DA7A0C"/>
    <w:rsid w:val="00DB0431"/>
    <w:rsid w:val="00DB08A6"/>
    <w:rsid w:val="00DB1159"/>
    <w:rsid w:val="00DB16C0"/>
    <w:rsid w:val="00DB220B"/>
    <w:rsid w:val="00DB3804"/>
    <w:rsid w:val="00DB5E15"/>
    <w:rsid w:val="00DB63C4"/>
    <w:rsid w:val="00DB73C1"/>
    <w:rsid w:val="00DB7DE9"/>
    <w:rsid w:val="00DC03BD"/>
    <w:rsid w:val="00DC1425"/>
    <w:rsid w:val="00DC19EC"/>
    <w:rsid w:val="00DC1A5F"/>
    <w:rsid w:val="00DC1C3A"/>
    <w:rsid w:val="00DC271A"/>
    <w:rsid w:val="00DC3001"/>
    <w:rsid w:val="00DC5D6E"/>
    <w:rsid w:val="00DC6029"/>
    <w:rsid w:val="00DC70AD"/>
    <w:rsid w:val="00DC730C"/>
    <w:rsid w:val="00DC7FB1"/>
    <w:rsid w:val="00DD039C"/>
    <w:rsid w:val="00DD0F00"/>
    <w:rsid w:val="00DD1277"/>
    <w:rsid w:val="00DD1369"/>
    <w:rsid w:val="00DD1387"/>
    <w:rsid w:val="00DD15BB"/>
    <w:rsid w:val="00DD1F2A"/>
    <w:rsid w:val="00DD3DA8"/>
    <w:rsid w:val="00DD5CA9"/>
    <w:rsid w:val="00DD6156"/>
    <w:rsid w:val="00DD6647"/>
    <w:rsid w:val="00DD7D3F"/>
    <w:rsid w:val="00DE0168"/>
    <w:rsid w:val="00DE10F3"/>
    <w:rsid w:val="00DE24D7"/>
    <w:rsid w:val="00DE3584"/>
    <w:rsid w:val="00DE4428"/>
    <w:rsid w:val="00DE4992"/>
    <w:rsid w:val="00DE505C"/>
    <w:rsid w:val="00DE54AE"/>
    <w:rsid w:val="00DE5929"/>
    <w:rsid w:val="00DE5993"/>
    <w:rsid w:val="00DE64AE"/>
    <w:rsid w:val="00DE6560"/>
    <w:rsid w:val="00DE6947"/>
    <w:rsid w:val="00DE6DE6"/>
    <w:rsid w:val="00DE75A4"/>
    <w:rsid w:val="00DE79E2"/>
    <w:rsid w:val="00DF1641"/>
    <w:rsid w:val="00DF41C3"/>
    <w:rsid w:val="00DF4279"/>
    <w:rsid w:val="00DF44EB"/>
    <w:rsid w:val="00DF509A"/>
    <w:rsid w:val="00DF54B3"/>
    <w:rsid w:val="00DF6F47"/>
    <w:rsid w:val="00E01050"/>
    <w:rsid w:val="00E0318E"/>
    <w:rsid w:val="00E039F6"/>
    <w:rsid w:val="00E04175"/>
    <w:rsid w:val="00E05246"/>
    <w:rsid w:val="00E05316"/>
    <w:rsid w:val="00E07246"/>
    <w:rsid w:val="00E10865"/>
    <w:rsid w:val="00E11F7F"/>
    <w:rsid w:val="00E12833"/>
    <w:rsid w:val="00E129E6"/>
    <w:rsid w:val="00E12A48"/>
    <w:rsid w:val="00E136C7"/>
    <w:rsid w:val="00E1546B"/>
    <w:rsid w:val="00E1611A"/>
    <w:rsid w:val="00E16A4D"/>
    <w:rsid w:val="00E16E48"/>
    <w:rsid w:val="00E205AC"/>
    <w:rsid w:val="00E20864"/>
    <w:rsid w:val="00E220DA"/>
    <w:rsid w:val="00E225A6"/>
    <w:rsid w:val="00E22EEE"/>
    <w:rsid w:val="00E23715"/>
    <w:rsid w:val="00E2376F"/>
    <w:rsid w:val="00E23D2C"/>
    <w:rsid w:val="00E24B7E"/>
    <w:rsid w:val="00E24D42"/>
    <w:rsid w:val="00E308F0"/>
    <w:rsid w:val="00E313CA"/>
    <w:rsid w:val="00E3204A"/>
    <w:rsid w:val="00E32339"/>
    <w:rsid w:val="00E3265C"/>
    <w:rsid w:val="00E327C3"/>
    <w:rsid w:val="00E32FE6"/>
    <w:rsid w:val="00E33DD4"/>
    <w:rsid w:val="00E35177"/>
    <w:rsid w:val="00E351E2"/>
    <w:rsid w:val="00E3530C"/>
    <w:rsid w:val="00E35D7B"/>
    <w:rsid w:val="00E36072"/>
    <w:rsid w:val="00E36C37"/>
    <w:rsid w:val="00E374B8"/>
    <w:rsid w:val="00E37B85"/>
    <w:rsid w:val="00E37C35"/>
    <w:rsid w:val="00E37FBD"/>
    <w:rsid w:val="00E4097D"/>
    <w:rsid w:val="00E40CDC"/>
    <w:rsid w:val="00E411FB"/>
    <w:rsid w:val="00E41B38"/>
    <w:rsid w:val="00E41FBF"/>
    <w:rsid w:val="00E42046"/>
    <w:rsid w:val="00E428A0"/>
    <w:rsid w:val="00E42CFE"/>
    <w:rsid w:val="00E4328F"/>
    <w:rsid w:val="00E435DE"/>
    <w:rsid w:val="00E441E0"/>
    <w:rsid w:val="00E44AB8"/>
    <w:rsid w:val="00E462E4"/>
    <w:rsid w:val="00E46894"/>
    <w:rsid w:val="00E47171"/>
    <w:rsid w:val="00E5046C"/>
    <w:rsid w:val="00E52B22"/>
    <w:rsid w:val="00E52CA8"/>
    <w:rsid w:val="00E531A4"/>
    <w:rsid w:val="00E53E0F"/>
    <w:rsid w:val="00E5575F"/>
    <w:rsid w:val="00E55C74"/>
    <w:rsid w:val="00E55EB1"/>
    <w:rsid w:val="00E5634C"/>
    <w:rsid w:val="00E56DCF"/>
    <w:rsid w:val="00E605D1"/>
    <w:rsid w:val="00E60A84"/>
    <w:rsid w:val="00E60CB2"/>
    <w:rsid w:val="00E627CC"/>
    <w:rsid w:val="00E63728"/>
    <w:rsid w:val="00E63B4E"/>
    <w:rsid w:val="00E6486C"/>
    <w:rsid w:val="00E65681"/>
    <w:rsid w:val="00E6679B"/>
    <w:rsid w:val="00E66907"/>
    <w:rsid w:val="00E66FA6"/>
    <w:rsid w:val="00E67C4F"/>
    <w:rsid w:val="00E72FB5"/>
    <w:rsid w:val="00E7385B"/>
    <w:rsid w:val="00E7460D"/>
    <w:rsid w:val="00E74AC7"/>
    <w:rsid w:val="00E75F8D"/>
    <w:rsid w:val="00E81904"/>
    <w:rsid w:val="00E8216F"/>
    <w:rsid w:val="00E829CF"/>
    <w:rsid w:val="00E835EE"/>
    <w:rsid w:val="00E836E1"/>
    <w:rsid w:val="00E83861"/>
    <w:rsid w:val="00E838B0"/>
    <w:rsid w:val="00E8571A"/>
    <w:rsid w:val="00E85FEF"/>
    <w:rsid w:val="00E87251"/>
    <w:rsid w:val="00E90B5F"/>
    <w:rsid w:val="00E90C05"/>
    <w:rsid w:val="00E911CF"/>
    <w:rsid w:val="00E918E2"/>
    <w:rsid w:val="00E91B4F"/>
    <w:rsid w:val="00E91B6E"/>
    <w:rsid w:val="00E91E95"/>
    <w:rsid w:val="00E9203E"/>
    <w:rsid w:val="00E935DD"/>
    <w:rsid w:val="00E94799"/>
    <w:rsid w:val="00E949C0"/>
    <w:rsid w:val="00E95E7B"/>
    <w:rsid w:val="00E9601C"/>
    <w:rsid w:val="00E96914"/>
    <w:rsid w:val="00E96985"/>
    <w:rsid w:val="00E96ECB"/>
    <w:rsid w:val="00E9762A"/>
    <w:rsid w:val="00E97A0B"/>
    <w:rsid w:val="00E97BCA"/>
    <w:rsid w:val="00EA0A77"/>
    <w:rsid w:val="00EA115F"/>
    <w:rsid w:val="00EA12F1"/>
    <w:rsid w:val="00EA13AB"/>
    <w:rsid w:val="00EA2106"/>
    <w:rsid w:val="00EA3816"/>
    <w:rsid w:val="00EA4348"/>
    <w:rsid w:val="00EA44CD"/>
    <w:rsid w:val="00EA485E"/>
    <w:rsid w:val="00EA4DAB"/>
    <w:rsid w:val="00EA5904"/>
    <w:rsid w:val="00EA5938"/>
    <w:rsid w:val="00EA6500"/>
    <w:rsid w:val="00EA6A92"/>
    <w:rsid w:val="00EA7160"/>
    <w:rsid w:val="00EB0DD0"/>
    <w:rsid w:val="00EB15C4"/>
    <w:rsid w:val="00EB1DBE"/>
    <w:rsid w:val="00EB206B"/>
    <w:rsid w:val="00EB2EB0"/>
    <w:rsid w:val="00EB4135"/>
    <w:rsid w:val="00EB4DCB"/>
    <w:rsid w:val="00EB518F"/>
    <w:rsid w:val="00EB5A8C"/>
    <w:rsid w:val="00EB6F4A"/>
    <w:rsid w:val="00EB7984"/>
    <w:rsid w:val="00EC24DA"/>
    <w:rsid w:val="00EC3414"/>
    <w:rsid w:val="00EC433A"/>
    <w:rsid w:val="00EC470F"/>
    <w:rsid w:val="00EC4865"/>
    <w:rsid w:val="00EC6C60"/>
    <w:rsid w:val="00EC749A"/>
    <w:rsid w:val="00EC7545"/>
    <w:rsid w:val="00EC7F59"/>
    <w:rsid w:val="00ED2083"/>
    <w:rsid w:val="00ED2419"/>
    <w:rsid w:val="00ED2795"/>
    <w:rsid w:val="00ED3D2A"/>
    <w:rsid w:val="00ED4489"/>
    <w:rsid w:val="00ED5760"/>
    <w:rsid w:val="00ED60BC"/>
    <w:rsid w:val="00ED7204"/>
    <w:rsid w:val="00ED763B"/>
    <w:rsid w:val="00ED7953"/>
    <w:rsid w:val="00ED79EB"/>
    <w:rsid w:val="00ED7A38"/>
    <w:rsid w:val="00EE53E8"/>
    <w:rsid w:val="00EE5D47"/>
    <w:rsid w:val="00EE61C7"/>
    <w:rsid w:val="00EF036B"/>
    <w:rsid w:val="00EF1AB2"/>
    <w:rsid w:val="00EF2EE8"/>
    <w:rsid w:val="00EF47D9"/>
    <w:rsid w:val="00F00F96"/>
    <w:rsid w:val="00F01388"/>
    <w:rsid w:val="00F01E69"/>
    <w:rsid w:val="00F02048"/>
    <w:rsid w:val="00F02161"/>
    <w:rsid w:val="00F02951"/>
    <w:rsid w:val="00F02C56"/>
    <w:rsid w:val="00F052EB"/>
    <w:rsid w:val="00F06529"/>
    <w:rsid w:val="00F1036E"/>
    <w:rsid w:val="00F109E8"/>
    <w:rsid w:val="00F109F7"/>
    <w:rsid w:val="00F10B06"/>
    <w:rsid w:val="00F120B8"/>
    <w:rsid w:val="00F120CA"/>
    <w:rsid w:val="00F121B5"/>
    <w:rsid w:val="00F13332"/>
    <w:rsid w:val="00F142B7"/>
    <w:rsid w:val="00F146DB"/>
    <w:rsid w:val="00F14979"/>
    <w:rsid w:val="00F14B87"/>
    <w:rsid w:val="00F14BE9"/>
    <w:rsid w:val="00F16913"/>
    <w:rsid w:val="00F1788E"/>
    <w:rsid w:val="00F201D5"/>
    <w:rsid w:val="00F20811"/>
    <w:rsid w:val="00F20B80"/>
    <w:rsid w:val="00F211A7"/>
    <w:rsid w:val="00F25343"/>
    <w:rsid w:val="00F25FBB"/>
    <w:rsid w:val="00F26C4F"/>
    <w:rsid w:val="00F32A6A"/>
    <w:rsid w:val="00F32C0A"/>
    <w:rsid w:val="00F331C7"/>
    <w:rsid w:val="00F336B7"/>
    <w:rsid w:val="00F33F10"/>
    <w:rsid w:val="00F35664"/>
    <w:rsid w:val="00F35E40"/>
    <w:rsid w:val="00F4041E"/>
    <w:rsid w:val="00F40660"/>
    <w:rsid w:val="00F41634"/>
    <w:rsid w:val="00F431C8"/>
    <w:rsid w:val="00F4441E"/>
    <w:rsid w:val="00F4483E"/>
    <w:rsid w:val="00F45643"/>
    <w:rsid w:val="00F45A25"/>
    <w:rsid w:val="00F460C3"/>
    <w:rsid w:val="00F465E3"/>
    <w:rsid w:val="00F4779D"/>
    <w:rsid w:val="00F477DB"/>
    <w:rsid w:val="00F4797D"/>
    <w:rsid w:val="00F50B5B"/>
    <w:rsid w:val="00F5125F"/>
    <w:rsid w:val="00F51358"/>
    <w:rsid w:val="00F51EAE"/>
    <w:rsid w:val="00F521A9"/>
    <w:rsid w:val="00F532D3"/>
    <w:rsid w:val="00F543B8"/>
    <w:rsid w:val="00F54DBF"/>
    <w:rsid w:val="00F5553E"/>
    <w:rsid w:val="00F55915"/>
    <w:rsid w:val="00F55954"/>
    <w:rsid w:val="00F55ADA"/>
    <w:rsid w:val="00F56B0C"/>
    <w:rsid w:val="00F573FA"/>
    <w:rsid w:val="00F601B3"/>
    <w:rsid w:val="00F60E1F"/>
    <w:rsid w:val="00F61437"/>
    <w:rsid w:val="00F61B86"/>
    <w:rsid w:val="00F61BB7"/>
    <w:rsid w:val="00F62EFD"/>
    <w:rsid w:val="00F642EE"/>
    <w:rsid w:val="00F648DC"/>
    <w:rsid w:val="00F6493F"/>
    <w:rsid w:val="00F6513E"/>
    <w:rsid w:val="00F66685"/>
    <w:rsid w:val="00F71C92"/>
    <w:rsid w:val="00F71D37"/>
    <w:rsid w:val="00F744AA"/>
    <w:rsid w:val="00F74C33"/>
    <w:rsid w:val="00F753A3"/>
    <w:rsid w:val="00F754CF"/>
    <w:rsid w:val="00F754E4"/>
    <w:rsid w:val="00F75B8C"/>
    <w:rsid w:val="00F75E23"/>
    <w:rsid w:val="00F77875"/>
    <w:rsid w:val="00F77FEB"/>
    <w:rsid w:val="00F80A86"/>
    <w:rsid w:val="00F81257"/>
    <w:rsid w:val="00F81EA4"/>
    <w:rsid w:val="00F8238B"/>
    <w:rsid w:val="00F82CEC"/>
    <w:rsid w:val="00F830EC"/>
    <w:rsid w:val="00F836C9"/>
    <w:rsid w:val="00F83F05"/>
    <w:rsid w:val="00F8560A"/>
    <w:rsid w:val="00F86E5A"/>
    <w:rsid w:val="00F87470"/>
    <w:rsid w:val="00F907E6"/>
    <w:rsid w:val="00F9117B"/>
    <w:rsid w:val="00F9120A"/>
    <w:rsid w:val="00F9196F"/>
    <w:rsid w:val="00F93295"/>
    <w:rsid w:val="00F94731"/>
    <w:rsid w:val="00F95069"/>
    <w:rsid w:val="00F95CBC"/>
    <w:rsid w:val="00F95DD4"/>
    <w:rsid w:val="00F96620"/>
    <w:rsid w:val="00F975F9"/>
    <w:rsid w:val="00FA16F3"/>
    <w:rsid w:val="00FA2543"/>
    <w:rsid w:val="00FA32FE"/>
    <w:rsid w:val="00FA3F1A"/>
    <w:rsid w:val="00FA51E2"/>
    <w:rsid w:val="00FA58D0"/>
    <w:rsid w:val="00FA59DA"/>
    <w:rsid w:val="00FA67C9"/>
    <w:rsid w:val="00FA6D9D"/>
    <w:rsid w:val="00FA701E"/>
    <w:rsid w:val="00FA7688"/>
    <w:rsid w:val="00FA7C88"/>
    <w:rsid w:val="00FB009B"/>
    <w:rsid w:val="00FB10C0"/>
    <w:rsid w:val="00FB1442"/>
    <w:rsid w:val="00FB1531"/>
    <w:rsid w:val="00FB2287"/>
    <w:rsid w:val="00FB24DE"/>
    <w:rsid w:val="00FB3015"/>
    <w:rsid w:val="00FB4220"/>
    <w:rsid w:val="00FB4278"/>
    <w:rsid w:val="00FB53C4"/>
    <w:rsid w:val="00FB64BA"/>
    <w:rsid w:val="00FB69B3"/>
    <w:rsid w:val="00FB735F"/>
    <w:rsid w:val="00FB77DE"/>
    <w:rsid w:val="00FC2D3E"/>
    <w:rsid w:val="00FC3507"/>
    <w:rsid w:val="00FC36C5"/>
    <w:rsid w:val="00FC4139"/>
    <w:rsid w:val="00FC4CAF"/>
    <w:rsid w:val="00FC4EF0"/>
    <w:rsid w:val="00FC6DB2"/>
    <w:rsid w:val="00FC70CE"/>
    <w:rsid w:val="00FC7CD5"/>
    <w:rsid w:val="00FD0100"/>
    <w:rsid w:val="00FD10E4"/>
    <w:rsid w:val="00FD190C"/>
    <w:rsid w:val="00FD3975"/>
    <w:rsid w:val="00FD4360"/>
    <w:rsid w:val="00FD4D0B"/>
    <w:rsid w:val="00FD5107"/>
    <w:rsid w:val="00FD5AC0"/>
    <w:rsid w:val="00FD60C4"/>
    <w:rsid w:val="00FD7107"/>
    <w:rsid w:val="00FD74AC"/>
    <w:rsid w:val="00FD76A6"/>
    <w:rsid w:val="00FD7F33"/>
    <w:rsid w:val="00FE20FF"/>
    <w:rsid w:val="00FE4F63"/>
    <w:rsid w:val="00FE57DB"/>
    <w:rsid w:val="00FF0606"/>
    <w:rsid w:val="00FF1F89"/>
    <w:rsid w:val="00FF20D4"/>
    <w:rsid w:val="00FF223B"/>
    <w:rsid w:val="00FF3C78"/>
    <w:rsid w:val="00FF47B7"/>
    <w:rsid w:val="00FF514F"/>
    <w:rsid w:val="00FF626E"/>
    <w:rsid w:val="00FF690B"/>
    <w:rsid w:val="00FF6E6F"/>
    <w:rsid w:val="00FF7CFF"/>
    <w:rsid w:val="061D0EDD"/>
    <w:rsid w:val="0E0D1193"/>
    <w:rsid w:val="0E223E0D"/>
    <w:rsid w:val="0F9C26DE"/>
    <w:rsid w:val="128041F3"/>
    <w:rsid w:val="13A24EE3"/>
    <w:rsid w:val="1955751F"/>
    <w:rsid w:val="1E955D67"/>
    <w:rsid w:val="1FBB4142"/>
    <w:rsid w:val="23156062"/>
    <w:rsid w:val="25695674"/>
    <w:rsid w:val="289511D7"/>
    <w:rsid w:val="2A41096D"/>
    <w:rsid w:val="2DBD4321"/>
    <w:rsid w:val="2E4C78E1"/>
    <w:rsid w:val="307D1FD3"/>
    <w:rsid w:val="361A189D"/>
    <w:rsid w:val="36A209E6"/>
    <w:rsid w:val="3986014B"/>
    <w:rsid w:val="39DE1D35"/>
    <w:rsid w:val="39E66E3B"/>
    <w:rsid w:val="3ACD3B57"/>
    <w:rsid w:val="3AE047E9"/>
    <w:rsid w:val="3C8E02FC"/>
    <w:rsid w:val="3E537F62"/>
    <w:rsid w:val="467632F5"/>
    <w:rsid w:val="4A952667"/>
    <w:rsid w:val="4AC40AD3"/>
    <w:rsid w:val="4D3D4B6D"/>
    <w:rsid w:val="4EEE4370"/>
    <w:rsid w:val="53B4627F"/>
    <w:rsid w:val="56456D2B"/>
    <w:rsid w:val="5805272B"/>
    <w:rsid w:val="5A974C33"/>
    <w:rsid w:val="5CA0048A"/>
    <w:rsid w:val="5DE920E7"/>
    <w:rsid w:val="5E547462"/>
    <w:rsid w:val="5F1A2F60"/>
    <w:rsid w:val="61737B0D"/>
    <w:rsid w:val="63C72450"/>
    <w:rsid w:val="64B415F6"/>
    <w:rsid w:val="67957E65"/>
    <w:rsid w:val="68E013E6"/>
    <w:rsid w:val="6A843983"/>
    <w:rsid w:val="6AB63143"/>
    <w:rsid w:val="6BB67CA2"/>
    <w:rsid w:val="6DD51030"/>
    <w:rsid w:val="6E8201DA"/>
    <w:rsid w:val="6F791447"/>
    <w:rsid w:val="73C117A4"/>
    <w:rsid w:val="765E5A3E"/>
    <w:rsid w:val="7E2E5C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nhideWhenUsed="0" w:uiPriority="0" w:semiHidden="0"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27"/>
    <w:qFormat/>
    <w:uiPriority w:val="0"/>
    <w:pPr>
      <w:keepNext/>
      <w:keepLines/>
      <w:spacing w:line="240" w:lineRule="auto"/>
      <w:ind w:firstLine="0" w:firstLineChars="0"/>
      <w:jc w:val="left"/>
      <w:outlineLvl w:val="0"/>
    </w:pPr>
    <w:rPr>
      <w:rFonts w:eastAsia="黑体"/>
      <w:b/>
      <w:bCs/>
      <w:kern w:val="44"/>
      <w:sz w:val="28"/>
      <w:szCs w:val="44"/>
    </w:rPr>
  </w:style>
  <w:style w:type="paragraph" w:styleId="3">
    <w:name w:val="heading 2"/>
    <w:basedOn w:val="1"/>
    <w:next w:val="1"/>
    <w:link w:val="57"/>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2"/>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76"/>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47"/>
    <w:qFormat/>
    <w:uiPriority w:val="0"/>
    <w:pPr>
      <w:spacing w:line="240" w:lineRule="auto"/>
      <w:ind w:firstLine="0" w:firstLineChars="0"/>
    </w:pPr>
    <w:rPr>
      <w:rFonts w:ascii="Calibri" w:hAnsi="Calibri" w:cs="Times New Roman"/>
      <w:sz w:val="28"/>
    </w:rPr>
  </w:style>
  <w:style w:type="paragraph" w:styleId="7">
    <w:name w:val="annotation text"/>
    <w:basedOn w:val="1"/>
    <w:link w:val="45"/>
    <w:unhideWhenUsed/>
    <w:qFormat/>
    <w:uiPriority w:val="99"/>
    <w:pPr>
      <w:jc w:val="left"/>
    </w:pPr>
  </w:style>
  <w:style w:type="paragraph" w:styleId="8">
    <w:name w:val="Body Text"/>
    <w:basedOn w:val="1"/>
    <w:next w:val="1"/>
    <w:link w:val="50"/>
    <w:qFormat/>
    <w:uiPriority w:val="0"/>
    <w:pPr>
      <w:widowControl/>
      <w:snapToGrid w:val="0"/>
      <w:spacing w:before="60" w:after="160" w:line="259" w:lineRule="auto"/>
      <w:ind w:right="113" w:firstLine="0" w:firstLineChars="0"/>
    </w:pPr>
    <w:rPr>
      <w:rFonts w:cs="Times New Roman"/>
      <w:kern w:val="0"/>
      <w:sz w:val="18"/>
      <w:szCs w:val="20"/>
    </w:rPr>
  </w:style>
  <w:style w:type="paragraph" w:styleId="9">
    <w:name w:val="Body Text Indent"/>
    <w:basedOn w:val="1"/>
    <w:link w:val="78"/>
    <w:qFormat/>
    <w:uiPriority w:val="0"/>
    <w:pPr>
      <w:spacing w:after="120" w:line="240" w:lineRule="auto"/>
      <w:ind w:left="420" w:leftChars="200" w:firstLine="0" w:firstLineChars="0"/>
    </w:pPr>
    <w:rPr>
      <w:rFonts w:ascii="Calibri" w:hAnsi="Calibri" w:cs="Times New Roman"/>
      <w:sz w:val="21"/>
      <w:szCs w:val="24"/>
    </w:rPr>
  </w:style>
  <w:style w:type="paragraph" w:styleId="10">
    <w:name w:val="List Bullet 5"/>
    <w:basedOn w:val="1"/>
    <w:qFormat/>
    <w:uiPriority w:val="0"/>
    <w:pPr>
      <w:numPr>
        <w:ilvl w:val="0"/>
        <w:numId w:val="1"/>
      </w:numPr>
      <w:tabs>
        <w:tab w:val="left" w:pos="2040"/>
        <w:tab w:val="clear" w:pos="737"/>
      </w:tabs>
      <w:spacing w:line="240" w:lineRule="auto"/>
      <w:ind w:left="2040" w:hanging="360" w:firstLineChars="0"/>
    </w:pPr>
    <w:rPr>
      <w:rFonts w:ascii="Calibri" w:hAnsi="Calibri" w:cs="Times New Roman"/>
      <w:sz w:val="21"/>
      <w:szCs w:val="24"/>
    </w:rPr>
  </w:style>
  <w:style w:type="paragraph" w:styleId="11">
    <w:name w:val="Body Text Indent 2"/>
    <w:basedOn w:val="1"/>
    <w:next w:val="1"/>
    <w:link w:val="64"/>
    <w:qFormat/>
    <w:uiPriority w:val="0"/>
    <w:pPr>
      <w:spacing w:after="120" w:line="480" w:lineRule="auto"/>
      <w:ind w:left="420" w:leftChars="200"/>
    </w:pPr>
    <w:rPr>
      <w:rFonts w:cs="Times New Roman"/>
    </w:rPr>
  </w:style>
  <w:style w:type="paragraph" w:styleId="12">
    <w:name w:val="Balloon Text"/>
    <w:basedOn w:val="1"/>
    <w:link w:val="75"/>
    <w:semiHidden/>
    <w:unhideWhenUsed/>
    <w:qFormat/>
    <w:uiPriority w:val="99"/>
    <w:pPr>
      <w:spacing w:line="240" w:lineRule="auto"/>
    </w:pPr>
    <w:rPr>
      <w:sz w:val="18"/>
      <w:szCs w:val="18"/>
    </w:rPr>
  </w:style>
  <w:style w:type="paragraph" w:styleId="13">
    <w:name w:val="footer"/>
    <w:basedOn w:val="1"/>
    <w:link w:val="34"/>
    <w:unhideWhenUsed/>
    <w:qFormat/>
    <w:uiPriority w:val="99"/>
    <w:pPr>
      <w:tabs>
        <w:tab w:val="center" w:pos="4153"/>
        <w:tab w:val="right" w:pos="8306"/>
      </w:tabs>
      <w:snapToGrid w:val="0"/>
      <w:spacing w:line="240" w:lineRule="auto"/>
      <w:jc w:val="left"/>
    </w:pPr>
    <w:rPr>
      <w:sz w:val="18"/>
      <w:szCs w:val="18"/>
    </w:rPr>
  </w:style>
  <w:style w:type="paragraph" w:styleId="14">
    <w:name w:val="header"/>
    <w:basedOn w:val="1"/>
    <w:link w:val="33"/>
    <w:unhideWhenUsed/>
    <w:qFormat/>
    <w:uiPriority w:val="99"/>
    <w:pPr>
      <w:tabs>
        <w:tab w:val="center" w:pos="4153"/>
        <w:tab w:val="right" w:pos="8306"/>
      </w:tabs>
      <w:snapToGrid w:val="0"/>
      <w:spacing w:line="240" w:lineRule="auto"/>
      <w:jc w:val="center"/>
    </w:pPr>
    <w:rPr>
      <w:sz w:val="18"/>
      <w:szCs w:val="18"/>
    </w:rPr>
  </w:style>
  <w:style w:type="paragraph" w:styleId="15">
    <w:name w:val="Subtitle"/>
    <w:basedOn w:val="1"/>
    <w:next w:val="1"/>
    <w:link w:val="66"/>
    <w:qFormat/>
    <w:uiPriority w:val="11"/>
    <w:pPr>
      <w:spacing w:before="240" w:after="60" w:line="312" w:lineRule="auto"/>
      <w:jc w:val="center"/>
      <w:outlineLvl w:val="1"/>
    </w:pPr>
    <w:rPr>
      <w:rFonts w:asciiTheme="minorHAnsi" w:hAnsiTheme="minorHAnsi" w:eastAsiaTheme="minorEastAsia"/>
      <w:b/>
      <w:bCs/>
      <w:kern w:val="28"/>
      <w:sz w:val="32"/>
      <w:szCs w:val="32"/>
    </w:rPr>
  </w:style>
  <w:style w:type="paragraph" w:styleId="16">
    <w:name w:val="List"/>
    <w:basedOn w:val="1"/>
    <w:semiHidden/>
    <w:unhideWhenUsed/>
    <w:qFormat/>
    <w:uiPriority w:val="99"/>
    <w:pPr>
      <w:ind w:left="200" w:hanging="200" w:hangingChars="200"/>
      <w:contextualSpacing/>
    </w:pPr>
  </w:style>
  <w:style w:type="paragraph" w:styleId="17">
    <w:name w:val="Body Text 2"/>
    <w:basedOn w:val="1"/>
    <w:link w:val="60"/>
    <w:qFormat/>
    <w:uiPriority w:val="0"/>
    <w:pPr>
      <w:spacing w:after="120" w:line="480" w:lineRule="auto"/>
    </w:pPr>
    <w:rPr>
      <w:rFonts w:cs="Times New Roman"/>
    </w:rPr>
  </w:style>
  <w:style w:type="paragraph" w:styleId="18">
    <w:name w:val="Normal (Web)"/>
    <w:basedOn w:val="1"/>
    <w:link w:val="88"/>
    <w:qFormat/>
    <w:uiPriority w:val="99"/>
    <w:pPr>
      <w:widowControl/>
      <w:spacing w:before="100" w:beforeAutospacing="1" w:after="100" w:afterAutospacing="1" w:line="240" w:lineRule="auto"/>
      <w:ind w:firstLine="0" w:firstLineChars="0"/>
      <w:jc w:val="left"/>
    </w:pPr>
    <w:rPr>
      <w:rFonts w:ascii="宋体" w:hAnsi="宋体" w:cs="Times New Roman"/>
      <w:kern w:val="0"/>
      <w:szCs w:val="20"/>
    </w:rPr>
  </w:style>
  <w:style w:type="paragraph" w:styleId="19">
    <w:name w:val="Title"/>
    <w:basedOn w:val="1"/>
    <w:next w:val="1"/>
    <w:link w:val="67"/>
    <w:qFormat/>
    <w:uiPriority w:val="10"/>
    <w:pPr>
      <w:adjustRightInd w:val="0"/>
      <w:snapToGrid w:val="0"/>
      <w:spacing w:line="400" w:lineRule="exact"/>
      <w:ind w:firstLine="0"/>
      <w:jc w:val="center"/>
    </w:pPr>
    <w:rPr>
      <w:rFonts w:cs="Times New Roman"/>
      <w:b/>
      <w:bCs/>
      <w:sz w:val="21"/>
      <w:szCs w:val="32"/>
    </w:rPr>
  </w:style>
  <w:style w:type="paragraph" w:styleId="20">
    <w:name w:val="annotation subject"/>
    <w:basedOn w:val="7"/>
    <w:next w:val="7"/>
    <w:link w:val="46"/>
    <w:semiHidden/>
    <w:unhideWhenUsed/>
    <w:qFormat/>
    <w:uiPriority w:val="99"/>
    <w:rPr>
      <w:b/>
      <w:bCs/>
    </w:rPr>
  </w:style>
  <w:style w:type="paragraph" w:styleId="21">
    <w:name w:val="Body Text First Indent"/>
    <w:basedOn w:val="8"/>
    <w:link w:val="63"/>
    <w:qFormat/>
    <w:uiPriority w:val="0"/>
    <w:pPr>
      <w:spacing w:before="163" w:after="0" w:line="360" w:lineRule="auto"/>
      <w:ind w:right="0" w:firstLine="422" w:firstLineChars="200"/>
      <w:jc w:val="center"/>
    </w:pPr>
    <w:rPr>
      <w:b/>
      <w:bCs/>
      <w:kern w:val="2"/>
      <w:sz w:val="21"/>
    </w:rPr>
  </w:style>
  <w:style w:type="table" w:styleId="23">
    <w:name w:val="Table Grid"/>
    <w:basedOn w:val="2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Hyperlink"/>
    <w:basedOn w:val="24"/>
    <w:unhideWhenUsed/>
    <w:qFormat/>
    <w:uiPriority w:val="99"/>
    <w:rPr>
      <w:color w:val="0563C1" w:themeColor="hyperlink"/>
      <w:u w:val="single"/>
      <w14:textFill>
        <w14:solidFill>
          <w14:schemeClr w14:val="hlink"/>
        </w14:solidFill>
      </w14:textFill>
    </w:rPr>
  </w:style>
  <w:style w:type="character" w:styleId="26">
    <w:name w:val="annotation reference"/>
    <w:basedOn w:val="24"/>
    <w:semiHidden/>
    <w:unhideWhenUsed/>
    <w:qFormat/>
    <w:uiPriority w:val="0"/>
    <w:rPr>
      <w:sz w:val="21"/>
      <w:szCs w:val="21"/>
    </w:rPr>
  </w:style>
  <w:style w:type="character" w:customStyle="1" w:styleId="27">
    <w:name w:val="标题 1 字符"/>
    <w:basedOn w:val="24"/>
    <w:link w:val="2"/>
    <w:qFormat/>
    <w:uiPriority w:val="0"/>
    <w:rPr>
      <w:rFonts w:ascii="Times New Roman" w:hAnsi="Times New Roman" w:eastAsia="黑体"/>
      <w:b/>
      <w:bCs/>
      <w:kern w:val="44"/>
      <w:sz w:val="28"/>
      <w:szCs w:val="44"/>
    </w:rPr>
  </w:style>
  <w:style w:type="paragraph" w:customStyle="1" w:styleId="28">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29">
    <w:name w:val="表2"/>
    <w:basedOn w:val="1"/>
    <w:link w:val="30"/>
    <w:qFormat/>
    <w:uiPriority w:val="0"/>
    <w:pPr>
      <w:numPr>
        <w:ilvl w:val="0"/>
        <w:numId w:val="2"/>
      </w:numPr>
      <w:ind w:left="0" w:firstLine="0" w:firstLineChars="0"/>
      <w:jc w:val="center"/>
    </w:pPr>
    <w:rPr>
      <w:b/>
      <w:sz w:val="21"/>
    </w:rPr>
  </w:style>
  <w:style w:type="character" w:customStyle="1" w:styleId="30">
    <w:name w:val="表2 字符"/>
    <w:basedOn w:val="24"/>
    <w:link w:val="29"/>
    <w:qFormat/>
    <w:uiPriority w:val="0"/>
    <w:rPr>
      <w:rFonts w:ascii="Times New Roman" w:hAnsi="Times New Roman" w:eastAsia="宋体"/>
      <w:b/>
      <w:kern w:val="2"/>
      <w:sz w:val="21"/>
      <w:szCs w:val="22"/>
    </w:rPr>
  </w:style>
  <w:style w:type="paragraph" w:customStyle="1" w:styleId="31">
    <w:name w:val="表内字"/>
    <w:basedOn w:val="1"/>
    <w:link w:val="32"/>
    <w:qFormat/>
    <w:uiPriority w:val="0"/>
    <w:pPr>
      <w:spacing w:line="240" w:lineRule="auto"/>
      <w:ind w:firstLine="0" w:firstLineChars="0"/>
      <w:jc w:val="center"/>
    </w:pPr>
    <w:rPr>
      <w:sz w:val="21"/>
    </w:rPr>
  </w:style>
  <w:style w:type="character" w:customStyle="1" w:styleId="32">
    <w:name w:val="表内字 字符"/>
    <w:basedOn w:val="24"/>
    <w:link w:val="31"/>
    <w:qFormat/>
    <w:uiPriority w:val="0"/>
    <w:rPr>
      <w:rFonts w:ascii="Times New Roman" w:hAnsi="Times New Roman" w:eastAsia="宋体"/>
    </w:rPr>
  </w:style>
  <w:style w:type="character" w:customStyle="1" w:styleId="33">
    <w:name w:val="页眉 字符"/>
    <w:basedOn w:val="24"/>
    <w:link w:val="14"/>
    <w:qFormat/>
    <w:uiPriority w:val="99"/>
    <w:rPr>
      <w:rFonts w:ascii="Times New Roman" w:hAnsi="Times New Roman" w:eastAsia="宋体"/>
      <w:sz w:val="18"/>
      <w:szCs w:val="18"/>
    </w:rPr>
  </w:style>
  <w:style w:type="character" w:customStyle="1" w:styleId="34">
    <w:name w:val="页脚 字符"/>
    <w:basedOn w:val="24"/>
    <w:link w:val="13"/>
    <w:qFormat/>
    <w:uiPriority w:val="99"/>
    <w:rPr>
      <w:rFonts w:ascii="Times New Roman" w:hAnsi="Times New Roman" w:eastAsia="宋体"/>
      <w:sz w:val="18"/>
      <w:szCs w:val="18"/>
    </w:rPr>
  </w:style>
  <w:style w:type="paragraph" w:customStyle="1" w:styleId="35">
    <w:name w:val="表1"/>
    <w:basedOn w:val="1"/>
    <w:link w:val="36"/>
    <w:qFormat/>
    <w:uiPriority w:val="0"/>
    <w:pPr>
      <w:numPr>
        <w:ilvl w:val="0"/>
        <w:numId w:val="3"/>
      </w:numPr>
      <w:spacing w:line="240" w:lineRule="auto"/>
      <w:ind w:left="0" w:firstLine="0" w:firstLineChars="0"/>
      <w:jc w:val="center"/>
    </w:pPr>
    <w:rPr>
      <w:b/>
      <w:bCs/>
      <w:kern w:val="0"/>
      <w:sz w:val="21"/>
      <w:szCs w:val="21"/>
    </w:rPr>
  </w:style>
  <w:style w:type="character" w:customStyle="1" w:styleId="36">
    <w:name w:val="表1 字符"/>
    <w:basedOn w:val="24"/>
    <w:link w:val="35"/>
    <w:qFormat/>
    <w:uiPriority w:val="0"/>
    <w:rPr>
      <w:rFonts w:ascii="Times New Roman" w:hAnsi="Times New Roman" w:eastAsia="宋体"/>
      <w:b/>
      <w:bCs/>
      <w:sz w:val="21"/>
      <w:szCs w:val="21"/>
    </w:rPr>
  </w:style>
  <w:style w:type="paragraph" w:customStyle="1" w:styleId="3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38">
    <w:name w:val="正文lh"/>
    <w:basedOn w:val="1"/>
    <w:link w:val="39"/>
    <w:qFormat/>
    <w:uiPriority w:val="0"/>
    <w:pPr>
      <w:autoSpaceDE w:val="0"/>
      <w:autoSpaceDN w:val="0"/>
      <w:adjustRightInd w:val="0"/>
      <w:snapToGrid w:val="0"/>
    </w:pPr>
    <w:rPr>
      <w:rFonts w:cs="宋体"/>
      <w:kern w:val="0"/>
      <w:sz w:val="21"/>
      <w:szCs w:val="21"/>
    </w:rPr>
  </w:style>
  <w:style w:type="character" w:customStyle="1" w:styleId="39">
    <w:name w:val="正文lh 字符"/>
    <w:link w:val="38"/>
    <w:qFormat/>
    <w:uiPriority w:val="0"/>
    <w:rPr>
      <w:rFonts w:ascii="Times New Roman" w:hAnsi="Times New Roman" w:eastAsia="宋体" w:cs="宋体"/>
      <w:kern w:val="0"/>
      <w:szCs w:val="21"/>
    </w:rPr>
  </w:style>
  <w:style w:type="paragraph" w:customStyle="1" w:styleId="40">
    <w:name w:val="表头"/>
    <w:basedOn w:val="1"/>
    <w:link w:val="41"/>
    <w:qFormat/>
    <w:uiPriority w:val="0"/>
    <w:pPr>
      <w:adjustRightInd w:val="0"/>
      <w:snapToGrid w:val="0"/>
      <w:spacing w:before="120" w:beforeLines="50"/>
      <w:ind w:firstLine="0" w:firstLineChars="0"/>
      <w:jc w:val="center"/>
    </w:pPr>
    <w:rPr>
      <w:rFonts w:cs="Times New Roman"/>
      <w:b/>
      <w:color w:val="000000"/>
      <w:kern w:val="0"/>
      <w:sz w:val="21"/>
      <w:szCs w:val="24"/>
    </w:rPr>
  </w:style>
  <w:style w:type="character" w:customStyle="1" w:styleId="41">
    <w:name w:val="表头 Char"/>
    <w:link w:val="40"/>
    <w:qFormat/>
    <w:uiPriority w:val="0"/>
    <w:rPr>
      <w:rFonts w:ascii="Times New Roman" w:hAnsi="Times New Roman" w:eastAsia="宋体" w:cs="Times New Roman"/>
      <w:b/>
      <w:color w:val="000000"/>
      <w:kern w:val="0"/>
      <w:szCs w:val="24"/>
    </w:rPr>
  </w:style>
  <w:style w:type="table" w:customStyle="1" w:styleId="42">
    <w:name w:val="网格型1"/>
    <w:basedOn w:val="22"/>
    <w:qFormat/>
    <w:uiPriority w:val="39"/>
    <w:pPr>
      <w:jc w:val="both"/>
    </w:pPr>
    <w:rPr>
      <w:rFonts w:ascii="Times New Roman" w:hAnsi="Times New Roman" w:eastAsia="宋体" w:cs="Times New Roman"/>
    </w:rPr>
    <w:tblPr>
      <w:tblBorders>
        <w:top w:val="single" w:color="auto" w:sz="12" w:space="0"/>
        <w:bottom w:val="single" w:color="auto" w:sz="12" w:space="0"/>
        <w:insideH w:val="single" w:color="auto" w:sz="4" w:space="0"/>
        <w:insideV w:val="single" w:color="auto" w:sz="4" w:space="0"/>
      </w:tblBorders>
    </w:tblPr>
    <w:tcPr>
      <w:vAlign w:val="center"/>
    </w:tcPr>
    <w:tblStylePr w:type="firstRow">
      <w:rPr>
        <w:rFonts w:ascii="宋体" w:hAnsi="宋体" w:eastAsia="宋体"/>
        <w:b/>
        <w:sz w:val="21"/>
      </w:rPr>
    </w:tblStylePr>
  </w:style>
  <w:style w:type="paragraph" w:customStyle="1" w:styleId="43">
    <w:name w:val="表4"/>
    <w:basedOn w:val="1"/>
    <w:link w:val="44"/>
    <w:qFormat/>
    <w:uiPriority w:val="0"/>
    <w:pPr>
      <w:numPr>
        <w:ilvl w:val="0"/>
        <w:numId w:val="4"/>
      </w:numPr>
      <w:spacing w:line="240" w:lineRule="auto"/>
      <w:ind w:left="0" w:firstLine="0" w:firstLineChars="0"/>
      <w:jc w:val="center"/>
    </w:pPr>
    <w:rPr>
      <w:b/>
      <w:sz w:val="21"/>
    </w:rPr>
  </w:style>
  <w:style w:type="character" w:customStyle="1" w:styleId="44">
    <w:name w:val="表4 字符"/>
    <w:basedOn w:val="24"/>
    <w:link w:val="43"/>
    <w:qFormat/>
    <w:uiPriority w:val="0"/>
    <w:rPr>
      <w:rFonts w:ascii="Times New Roman" w:hAnsi="Times New Roman" w:eastAsia="宋体"/>
      <w:b/>
    </w:rPr>
  </w:style>
  <w:style w:type="character" w:customStyle="1" w:styleId="45">
    <w:name w:val="批注文字 字符"/>
    <w:basedOn w:val="24"/>
    <w:link w:val="7"/>
    <w:qFormat/>
    <w:uiPriority w:val="99"/>
    <w:rPr>
      <w:rFonts w:ascii="Times New Roman" w:hAnsi="Times New Roman" w:eastAsia="宋体"/>
      <w:sz w:val="24"/>
    </w:rPr>
  </w:style>
  <w:style w:type="character" w:customStyle="1" w:styleId="46">
    <w:name w:val="批注主题 字符"/>
    <w:basedOn w:val="45"/>
    <w:link w:val="20"/>
    <w:semiHidden/>
    <w:qFormat/>
    <w:uiPriority w:val="99"/>
    <w:rPr>
      <w:rFonts w:ascii="Times New Roman" w:hAnsi="Times New Roman" w:eastAsia="宋体"/>
      <w:b/>
      <w:bCs/>
      <w:sz w:val="24"/>
    </w:rPr>
  </w:style>
  <w:style w:type="character" w:customStyle="1" w:styleId="47">
    <w:name w:val="正文缩进 字符"/>
    <w:link w:val="6"/>
    <w:qFormat/>
    <w:uiPriority w:val="0"/>
    <w:rPr>
      <w:rFonts w:ascii="Calibri" w:hAnsi="Calibri" w:eastAsia="宋体" w:cs="Times New Roman"/>
      <w:sz w:val="28"/>
    </w:rPr>
  </w:style>
  <w:style w:type="paragraph" w:customStyle="1" w:styleId="48">
    <w:name w:val="表3"/>
    <w:basedOn w:val="1"/>
    <w:link w:val="49"/>
    <w:qFormat/>
    <w:uiPriority w:val="0"/>
    <w:pPr>
      <w:numPr>
        <w:ilvl w:val="0"/>
        <w:numId w:val="5"/>
      </w:numPr>
      <w:spacing w:line="240" w:lineRule="auto"/>
      <w:ind w:left="0" w:firstLine="0" w:firstLineChars="0"/>
      <w:jc w:val="center"/>
    </w:pPr>
    <w:rPr>
      <w:b/>
      <w:sz w:val="21"/>
    </w:rPr>
  </w:style>
  <w:style w:type="character" w:customStyle="1" w:styleId="49">
    <w:name w:val="表3 字符"/>
    <w:basedOn w:val="24"/>
    <w:link w:val="48"/>
    <w:qFormat/>
    <w:uiPriority w:val="0"/>
    <w:rPr>
      <w:rFonts w:ascii="Times New Roman" w:hAnsi="Times New Roman" w:eastAsia="宋体"/>
      <w:b/>
    </w:rPr>
  </w:style>
  <w:style w:type="character" w:customStyle="1" w:styleId="50">
    <w:name w:val="正文文本 字符"/>
    <w:basedOn w:val="24"/>
    <w:link w:val="8"/>
    <w:qFormat/>
    <w:uiPriority w:val="0"/>
    <w:rPr>
      <w:rFonts w:ascii="Times New Roman" w:hAnsi="Times New Roman" w:eastAsia="宋体" w:cs="Times New Roman"/>
      <w:kern w:val="0"/>
      <w:sz w:val="18"/>
      <w:szCs w:val="20"/>
    </w:rPr>
  </w:style>
  <w:style w:type="character" w:styleId="51">
    <w:name w:val="Placeholder Text"/>
    <w:basedOn w:val="24"/>
    <w:semiHidden/>
    <w:qFormat/>
    <w:uiPriority w:val="99"/>
    <w:rPr>
      <w:color w:val="666666"/>
    </w:rPr>
  </w:style>
  <w:style w:type="paragraph" w:styleId="52">
    <w:name w:val="List Paragraph"/>
    <w:basedOn w:val="1"/>
    <w:qFormat/>
    <w:uiPriority w:val="34"/>
    <w:pPr>
      <w:ind w:firstLine="420"/>
    </w:pPr>
  </w:style>
  <w:style w:type="character" w:customStyle="1" w:styleId="53">
    <w:name w:val="表内字 Char"/>
    <w:qFormat/>
    <w:uiPriority w:val="0"/>
    <w:rPr>
      <w:kern w:val="2"/>
      <w:sz w:val="21"/>
      <w:szCs w:val="24"/>
    </w:rPr>
  </w:style>
  <w:style w:type="character" w:customStyle="1" w:styleId="54">
    <w:name w:val="W正文 Char"/>
    <w:link w:val="55"/>
    <w:qFormat/>
    <w:uiPriority w:val="0"/>
    <w:rPr>
      <w:sz w:val="24"/>
    </w:rPr>
  </w:style>
  <w:style w:type="paragraph" w:customStyle="1" w:styleId="55">
    <w:name w:val="W正文"/>
    <w:basedOn w:val="1"/>
    <w:link w:val="54"/>
    <w:qFormat/>
    <w:uiPriority w:val="0"/>
    <w:pPr>
      <w:adjustRightInd w:val="0"/>
      <w:snapToGrid w:val="0"/>
    </w:pPr>
    <w:rPr>
      <w:rFonts w:asciiTheme="minorHAnsi" w:hAnsiTheme="minorHAnsi" w:eastAsiaTheme="minorEastAsia"/>
    </w:rPr>
  </w:style>
  <w:style w:type="paragraph" w:customStyle="1" w:styleId="56">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character" w:customStyle="1" w:styleId="57">
    <w:name w:val="标题 2 字符"/>
    <w:basedOn w:val="24"/>
    <w:link w:val="3"/>
    <w:semiHidden/>
    <w:qFormat/>
    <w:uiPriority w:val="9"/>
    <w:rPr>
      <w:rFonts w:asciiTheme="majorHAnsi" w:hAnsiTheme="majorHAnsi" w:eastAsiaTheme="majorEastAsia" w:cstheme="majorBidi"/>
      <w:b/>
      <w:bCs/>
      <w:sz w:val="32"/>
      <w:szCs w:val="32"/>
    </w:rPr>
  </w:style>
  <w:style w:type="paragraph" w:customStyle="1" w:styleId="58">
    <w:name w:val="报告表格"/>
    <w:basedOn w:val="1"/>
    <w:link w:val="59"/>
    <w:qFormat/>
    <w:uiPriority w:val="0"/>
    <w:pPr>
      <w:autoSpaceDE w:val="0"/>
      <w:autoSpaceDN w:val="0"/>
      <w:adjustRightInd w:val="0"/>
      <w:snapToGrid w:val="0"/>
      <w:spacing w:line="240" w:lineRule="auto"/>
      <w:ind w:firstLine="0" w:firstLineChars="0"/>
    </w:pPr>
    <w:rPr>
      <w:rFonts w:cs="Times New Roman"/>
      <w:b/>
      <w:bCs/>
      <w:kern w:val="0"/>
      <w:sz w:val="21"/>
      <w:szCs w:val="20"/>
    </w:rPr>
  </w:style>
  <w:style w:type="character" w:customStyle="1" w:styleId="59">
    <w:name w:val="报告表格 Char"/>
    <w:link w:val="58"/>
    <w:qFormat/>
    <w:locked/>
    <w:uiPriority w:val="0"/>
    <w:rPr>
      <w:rFonts w:ascii="Times New Roman" w:hAnsi="Times New Roman" w:eastAsia="宋体" w:cs="Times New Roman"/>
      <w:b/>
      <w:bCs/>
      <w:sz w:val="21"/>
    </w:rPr>
  </w:style>
  <w:style w:type="character" w:customStyle="1" w:styleId="60">
    <w:name w:val="正文文本 2 字符"/>
    <w:basedOn w:val="24"/>
    <w:link w:val="17"/>
    <w:qFormat/>
    <w:uiPriority w:val="0"/>
    <w:rPr>
      <w:rFonts w:ascii="Times New Roman" w:hAnsi="Times New Roman" w:eastAsia="宋体" w:cs="Times New Roman"/>
      <w:sz w:val="24"/>
    </w:rPr>
  </w:style>
  <w:style w:type="paragraph" w:customStyle="1" w:styleId="61">
    <w:name w:val="表标题名"/>
    <w:basedOn w:val="1"/>
    <w:qFormat/>
    <w:uiPriority w:val="0"/>
    <w:pPr>
      <w:numPr>
        <w:ilvl w:val="5"/>
        <w:numId w:val="6"/>
      </w:numPr>
      <w:tabs>
        <w:tab w:val="left" w:pos="1350"/>
      </w:tabs>
      <w:autoSpaceDE w:val="0"/>
      <w:autoSpaceDN w:val="0"/>
      <w:adjustRightInd w:val="0"/>
      <w:snapToGrid w:val="0"/>
      <w:spacing w:line="320" w:lineRule="exact"/>
      <w:ind w:firstLineChars="0"/>
      <w:jc w:val="center"/>
    </w:pPr>
    <w:rPr>
      <w:rFonts w:ascii="黑体" w:hAnsi="宋体" w:eastAsia="黑体" w:cs="Times New Roman"/>
      <w:b/>
      <w:color w:val="000000"/>
      <w:sz w:val="21"/>
      <w:szCs w:val="28"/>
      <w:shd w:val="clear" w:color="auto" w:fill="FFFFFF"/>
    </w:rPr>
  </w:style>
  <w:style w:type="character" w:customStyle="1" w:styleId="62">
    <w:name w:val="标题 3 字符"/>
    <w:basedOn w:val="24"/>
    <w:link w:val="4"/>
    <w:semiHidden/>
    <w:qFormat/>
    <w:uiPriority w:val="9"/>
    <w:rPr>
      <w:rFonts w:ascii="Times New Roman" w:hAnsi="Times New Roman" w:eastAsia="宋体"/>
      <w:b/>
      <w:bCs/>
      <w:sz w:val="32"/>
      <w:szCs w:val="32"/>
    </w:rPr>
  </w:style>
  <w:style w:type="character" w:customStyle="1" w:styleId="63">
    <w:name w:val="正文文本首行缩进 字符"/>
    <w:basedOn w:val="50"/>
    <w:link w:val="21"/>
    <w:qFormat/>
    <w:uiPriority w:val="0"/>
    <w:rPr>
      <w:rFonts w:ascii="Times New Roman" w:hAnsi="Times New Roman" w:eastAsia="宋体" w:cs="Times New Roman"/>
      <w:b/>
      <w:bCs/>
      <w:kern w:val="0"/>
      <w:sz w:val="18"/>
      <w:szCs w:val="20"/>
    </w:rPr>
  </w:style>
  <w:style w:type="character" w:customStyle="1" w:styleId="64">
    <w:name w:val="正文文本缩进 2 字符"/>
    <w:basedOn w:val="24"/>
    <w:link w:val="11"/>
    <w:qFormat/>
    <w:uiPriority w:val="0"/>
    <w:rPr>
      <w:rFonts w:ascii="Times New Roman" w:hAnsi="Times New Roman" w:eastAsia="宋体" w:cs="Times New Roman"/>
      <w:sz w:val="24"/>
    </w:rPr>
  </w:style>
  <w:style w:type="character" w:customStyle="1" w:styleId="65">
    <w:name w:val="markedcontent"/>
    <w:basedOn w:val="24"/>
    <w:qFormat/>
    <w:uiPriority w:val="0"/>
  </w:style>
  <w:style w:type="character" w:customStyle="1" w:styleId="66">
    <w:name w:val="副标题 字符"/>
    <w:basedOn w:val="24"/>
    <w:link w:val="15"/>
    <w:qFormat/>
    <w:uiPriority w:val="11"/>
    <w:rPr>
      <w:b/>
      <w:bCs/>
      <w:kern w:val="28"/>
      <w:sz w:val="32"/>
      <w:szCs w:val="32"/>
    </w:rPr>
  </w:style>
  <w:style w:type="character" w:customStyle="1" w:styleId="67">
    <w:name w:val="标题 字符"/>
    <w:basedOn w:val="24"/>
    <w:link w:val="19"/>
    <w:qFormat/>
    <w:uiPriority w:val="0"/>
    <w:rPr>
      <w:rFonts w:ascii="Times New Roman" w:hAnsi="Times New Roman" w:eastAsia="宋体" w:cs="Times New Roman"/>
      <w:b/>
      <w:bCs/>
      <w:szCs w:val="32"/>
    </w:rPr>
  </w:style>
  <w:style w:type="paragraph" w:customStyle="1" w:styleId="68">
    <w:name w:val="【正文】"/>
    <w:basedOn w:val="1"/>
    <w:link w:val="69"/>
    <w:qFormat/>
    <w:uiPriority w:val="0"/>
    <w:pPr>
      <w:adjustRightInd w:val="0"/>
      <w:snapToGrid w:val="0"/>
      <w:ind w:firstLine="480"/>
      <w:jc w:val="center"/>
    </w:pPr>
    <w:rPr>
      <w:rFonts w:cs="Times New Roman"/>
      <w:szCs w:val="20"/>
    </w:rPr>
  </w:style>
  <w:style w:type="character" w:customStyle="1" w:styleId="69">
    <w:name w:val="【正文】 Char"/>
    <w:link w:val="68"/>
    <w:qFormat/>
    <w:locked/>
    <w:uiPriority w:val="0"/>
    <w:rPr>
      <w:rFonts w:ascii="Times New Roman" w:hAnsi="Times New Roman" w:eastAsia="宋体" w:cs="Times New Roman"/>
      <w:sz w:val="24"/>
      <w:szCs w:val="20"/>
    </w:rPr>
  </w:style>
  <w:style w:type="paragraph" w:customStyle="1" w:styleId="70">
    <w:name w:val="报告表正文"/>
    <w:basedOn w:val="1"/>
    <w:link w:val="71"/>
    <w:qFormat/>
    <w:uiPriority w:val="0"/>
    <w:pPr>
      <w:adjustRightInd w:val="0"/>
      <w:snapToGrid w:val="0"/>
      <w:spacing w:line="312" w:lineRule="auto"/>
      <w:ind w:left="113" w:right="113" w:firstLine="482"/>
      <w:jc w:val="left"/>
      <w:textAlignment w:val="baseline"/>
    </w:pPr>
    <w:rPr>
      <w:rFonts w:cs="Times New Roman"/>
      <w:kern w:val="0"/>
      <w:szCs w:val="20"/>
    </w:rPr>
  </w:style>
  <w:style w:type="character" w:customStyle="1" w:styleId="71">
    <w:name w:val="报告表正文 Char"/>
    <w:link w:val="70"/>
    <w:qFormat/>
    <w:locked/>
    <w:uiPriority w:val="0"/>
    <w:rPr>
      <w:rFonts w:ascii="Times New Roman" w:hAnsi="Times New Roman" w:eastAsia="宋体" w:cs="Times New Roman"/>
      <w:kern w:val="0"/>
      <w:sz w:val="24"/>
      <w:szCs w:val="20"/>
    </w:rPr>
  </w:style>
  <w:style w:type="paragraph" w:customStyle="1" w:styleId="72">
    <w:name w:val="表格文字"/>
    <w:basedOn w:val="1"/>
    <w:link w:val="73"/>
    <w:qFormat/>
    <w:uiPriority w:val="0"/>
    <w:pPr>
      <w:adjustRightInd w:val="0"/>
      <w:snapToGrid w:val="0"/>
      <w:spacing w:line="240" w:lineRule="auto"/>
      <w:ind w:firstLine="0" w:firstLineChars="0"/>
      <w:jc w:val="center"/>
    </w:pPr>
    <w:rPr>
      <w:rFonts w:cs="Times New Roman"/>
      <w:bCs/>
      <w:color w:val="C00000"/>
      <w:kern w:val="0"/>
      <w:sz w:val="21"/>
      <w:szCs w:val="21"/>
    </w:rPr>
  </w:style>
  <w:style w:type="character" w:customStyle="1" w:styleId="73">
    <w:name w:val="表格文字 Char"/>
    <w:link w:val="72"/>
    <w:qFormat/>
    <w:uiPriority w:val="0"/>
    <w:rPr>
      <w:rFonts w:ascii="Times New Roman" w:hAnsi="Times New Roman" w:eastAsia="宋体" w:cs="Times New Roman"/>
      <w:bCs/>
      <w:color w:val="C00000"/>
      <w:kern w:val="0"/>
      <w:szCs w:val="21"/>
    </w:rPr>
  </w:style>
  <w:style w:type="table" w:customStyle="1" w:styleId="74">
    <w:name w:val="三线表"/>
    <w:basedOn w:val="22"/>
    <w:qFormat/>
    <w:uiPriority w:val="99"/>
    <w:pPr>
      <w:adjustRightInd w:val="0"/>
      <w:snapToGrid w:val="0"/>
      <w:jc w:val="center"/>
    </w:pPr>
    <w:rPr>
      <w:rFonts w:ascii="Times New Roman" w:hAnsi="Times New Roman" w:eastAsia="宋体" w:cs="Times New Roman"/>
    </w:rPr>
    <w:tblPr>
      <w:tblBorders>
        <w:top w:val="single" w:color="auto" w:sz="12" w:space="0"/>
        <w:bottom w:val="single" w:color="auto" w:sz="12" w:space="0"/>
        <w:insideH w:val="single" w:color="auto" w:sz="4" w:space="0"/>
        <w:insideV w:val="single" w:color="auto" w:sz="4" w:space="0"/>
      </w:tblBorders>
    </w:tblPr>
    <w:tcPr>
      <w:vAlign w:val="center"/>
    </w:tcPr>
  </w:style>
  <w:style w:type="character" w:customStyle="1" w:styleId="75">
    <w:name w:val="批注框文本 字符"/>
    <w:basedOn w:val="24"/>
    <w:link w:val="12"/>
    <w:semiHidden/>
    <w:qFormat/>
    <w:uiPriority w:val="99"/>
    <w:rPr>
      <w:rFonts w:ascii="Times New Roman" w:hAnsi="Times New Roman" w:eastAsia="宋体"/>
      <w:sz w:val="18"/>
      <w:szCs w:val="18"/>
    </w:rPr>
  </w:style>
  <w:style w:type="character" w:customStyle="1" w:styleId="76">
    <w:name w:val="标题 4 字符"/>
    <w:basedOn w:val="24"/>
    <w:link w:val="5"/>
    <w:qFormat/>
    <w:uiPriority w:val="9"/>
    <w:rPr>
      <w:rFonts w:asciiTheme="majorHAnsi" w:hAnsiTheme="majorHAnsi" w:eastAsiaTheme="majorEastAsia" w:cstheme="majorBidi"/>
      <w:b/>
      <w:bCs/>
      <w:sz w:val="28"/>
      <w:szCs w:val="28"/>
    </w:rPr>
  </w:style>
  <w:style w:type="table" w:customStyle="1" w:styleId="77">
    <w:name w:val="Table Grid_0"/>
    <w:basedOn w:val="22"/>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8">
    <w:name w:val="正文文本缩进 字符"/>
    <w:basedOn w:val="24"/>
    <w:link w:val="9"/>
    <w:qFormat/>
    <w:uiPriority w:val="0"/>
    <w:rPr>
      <w:rFonts w:ascii="Calibri" w:hAnsi="Calibri" w:eastAsia="宋体" w:cs="Times New Roman"/>
      <w:szCs w:val="24"/>
    </w:rPr>
  </w:style>
  <w:style w:type="paragraph" w:customStyle="1" w:styleId="79">
    <w:name w:val="A-正文"/>
    <w:basedOn w:val="1"/>
    <w:link w:val="80"/>
    <w:qFormat/>
    <w:uiPriority w:val="99"/>
    <w:pPr>
      <w:ind w:firstLine="480"/>
    </w:pPr>
    <w:rPr>
      <w:rFonts w:cs="Times New Roman"/>
      <w:color w:val="00B050"/>
      <w:szCs w:val="24"/>
    </w:rPr>
  </w:style>
  <w:style w:type="character" w:customStyle="1" w:styleId="80">
    <w:name w:val="A-正文 Char"/>
    <w:link w:val="79"/>
    <w:qFormat/>
    <w:uiPriority w:val="99"/>
    <w:rPr>
      <w:rFonts w:ascii="Times New Roman" w:hAnsi="Times New Roman" w:eastAsia="宋体" w:cs="Times New Roman"/>
      <w:color w:val="00B050"/>
      <w:sz w:val="24"/>
      <w:szCs w:val="24"/>
    </w:rPr>
  </w:style>
  <w:style w:type="paragraph" w:customStyle="1" w:styleId="81">
    <w:name w:val="Table Paragraph"/>
    <w:basedOn w:val="1"/>
    <w:next w:val="1"/>
    <w:qFormat/>
    <w:uiPriority w:val="0"/>
    <w:pPr>
      <w:adjustRightInd w:val="0"/>
      <w:snapToGrid w:val="0"/>
      <w:ind w:firstLine="562"/>
      <w:jc w:val="left"/>
    </w:pPr>
    <w:rPr>
      <w:rFonts w:ascii="Calibri" w:hAnsi="Calibri" w:cs="Times New Roman"/>
      <w:kern w:val="0"/>
      <w:sz w:val="22"/>
      <w:lang w:eastAsia="en-US"/>
    </w:rPr>
  </w:style>
  <w:style w:type="paragraph" w:customStyle="1" w:styleId="82">
    <w:name w:val="0表格"/>
    <w:qFormat/>
    <w:uiPriority w:val="0"/>
    <w:pPr>
      <w:widowControl w:val="0"/>
      <w:adjustRightInd w:val="0"/>
      <w:snapToGrid w:val="0"/>
      <w:spacing w:beforeLines="30" w:line="360" w:lineRule="auto"/>
      <w:ind w:left="2200" w:hanging="2200"/>
      <w:jc w:val="center"/>
    </w:pPr>
    <w:rPr>
      <w:rFonts w:ascii="Times New Roman" w:hAnsi="Times New Roman" w:eastAsia="宋体" w:cs="宋体"/>
      <w:snapToGrid w:val="0"/>
      <w:sz w:val="21"/>
      <w:szCs w:val="21"/>
      <w:lang w:val="en-US" w:eastAsia="zh-CN" w:bidi="ar-SA"/>
    </w:rPr>
  </w:style>
  <w:style w:type="paragraph" w:customStyle="1" w:styleId="83">
    <w:name w:val="图2"/>
    <w:basedOn w:val="35"/>
    <w:next w:val="35"/>
    <w:link w:val="84"/>
    <w:qFormat/>
    <w:uiPriority w:val="0"/>
    <w:pPr>
      <w:numPr>
        <w:numId w:val="7"/>
      </w:numPr>
      <w:spacing w:line="360" w:lineRule="auto"/>
      <w:ind w:left="0" w:firstLine="0"/>
    </w:pPr>
    <w:rPr>
      <w:rFonts w:cs="Times New Roman"/>
      <w:bCs w:val="0"/>
    </w:rPr>
  </w:style>
  <w:style w:type="character" w:customStyle="1" w:styleId="84">
    <w:name w:val="图2 字符"/>
    <w:basedOn w:val="36"/>
    <w:link w:val="83"/>
    <w:qFormat/>
    <w:uiPriority w:val="0"/>
    <w:rPr>
      <w:rFonts w:ascii="Times New Roman" w:hAnsi="Times New Roman" w:eastAsia="宋体" w:cs="Times New Roman"/>
      <w:bCs w:val="0"/>
      <w:kern w:val="0"/>
      <w:sz w:val="21"/>
      <w:szCs w:val="21"/>
    </w:rPr>
  </w:style>
  <w:style w:type="paragraph" w:customStyle="1" w:styleId="85">
    <w:name w:val="图1"/>
    <w:basedOn w:val="83"/>
    <w:next w:val="83"/>
    <w:link w:val="86"/>
    <w:qFormat/>
    <w:uiPriority w:val="0"/>
    <w:pPr>
      <w:numPr>
        <w:ilvl w:val="0"/>
        <w:numId w:val="8"/>
      </w:numPr>
      <w:ind w:left="0" w:firstLine="0"/>
    </w:pPr>
  </w:style>
  <w:style w:type="character" w:customStyle="1" w:styleId="86">
    <w:name w:val="图1 字符"/>
    <w:basedOn w:val="84"/>
    <w:link w:val="85"/>
    <w:qFormat/>
    <w:uiPriority w:val="0"/>
    <w:rPr>
      <w:rFonts w:ascii="Times New Roman" w:hAnsi="Times New Roman" w:eastAsia="宋体" w:cs="Times New Roman"/>
      <w:kern w:val="0"/>
      <w:sz w:val="21"/>
      <w:szCs w:val="21"/>
    </w:rPr>
  </w:style>
  <w:style w:type="paragraph" w:customStyle="1" w:styleId="87">
    <w:name w:val="环评正文"/>
    <w:basedOn w:val="2"/>
    <w:qFormat/>
    <w:uiPriority w:val="0"/>
    <w:pPr>
      <w:keepNext w:val="0"/>
      <w:keepLines w:val="0"/>
      <w:widowControl/>
      <w:tabs>
        <w:tab w:val="left" w:pos="360"/>
      </w:tabs>
      <w:adjustRightInd w:val="0"/>
      <w:snapToGrid w:val="0"/>
      <w:spacing w:before="60" w:after="60" w:line="400" w:lineRule="exact"/>
      <w:ind w:firstLine="484"/>
      <w:outlineLvl w:val="9"/>
    </w:pPr>
    <w:rPr>
      <w:rFonts w:eastAsia="仿宋_GB2312" w:cs="Times New Roman"/>
      <w:b w:val="0"/>
      <w:sz w:val="24"/>
    </w:rPr>
  </w:style>
  <w:style w:type="character" w:customStyle="1" w:styleId="88">
    <w:name w:val="普通(网站) 字符"/>
    <w:link w:val="18"/>
    <w:qFormat/>
    <w:locked/>
    <w:uiPriority w:val="0"/>
    <w:rPr>
      <w:rFonts w:ascii="宋体" w:hAnsi="宋体" w:eastAsia="宋体" w:cs="Times New Roman"/>
      <w:sz w:val="24"/>
    </w:rPr>
  </w:style>
  <w:style w:type="character" w:customStyle="1" w:styleId="89">
    <w:name w:val="NormalCharacter"/>
    <w:qFormat/>
    <w:uiPriority w:val="0"/>
    <w:rPr>
      <w:rFonts w:ascii="Times New Roman" w:hAnsi="Times New Roman" w:eastAsia="宋体" w:cs="Times New Roman"/>
      <w:kern w:val="2"/>
      <w:sz w:val="21"/>
      <w:szCs w:val="24"/>
      <w:lang w:val="en-US" w:eastAsia="zh-CN" w:bidi="ar-SA"/>
    </w:rPr>
  </w:style>
  <w:style w:type="paragraph" w:customStyle="1" w:styleId="90">
    <w:name w:val="正文-报告表"/>
    <w:qFormat/>
    <w:uiPriority w:val="0"/>
    <w:pPr>
      <w:tabs>
        <w:tab w:val="center" w:pos="4320"/>
        <w:tab w:val="right" w:pos="8640"/>
      </w:tabs>
      <w:adjustRightInd w:val="0"/>
      <w:snapToGrid w:val="0"/>
      <w:spacing w:line="360" w:lineRule="auto"/>
      <w:ind w:firstLine="200" w:firstLineChars="200"/>
      <w:jc w:val="both"/>
      <w:textAlignment w:val="baseline"/>
    </w:pPr>
    <w:rPr>
      <w:rFonts w:ascii="Calibri" w:hAnsi="Calibri" w:eastAsia="Calibri" w:cs="Times New Roman"/>
      <w:kern w:val="2"/>
      <w:sz w:val="24"/>
      <w:szCs w:val="24"/>
      <w:lang w:val="en-US" w:eastAsia="zh-CN" w:bidi="ar-SA"/>
    </w:rPr>
  </w:style>
  <w:style w:type="character" w:customStyle="1" w:styleId="91">
    <w:name w:val="样式2 Char"/>
    <w:link w:val="92"/>
    <w:qFormat/>
    <w:uiPriority w:val="0"/>
    <w:rPr>
      <w:sz w:val="24"/>
    </w:rPr>
  </w:style>
  <w:style w:type="paragraph" w:customStyle="1" w:styleId="92">
    <w:name w:val="样式2"/>
    <w:basedOn w:val="16"/>
    <w:link w:val="91"/>
    <w:qFormat/>
    <w:uiPriority w:val="0"/>
    <w:pPr>
      <w:tabs>
        <w:tab w:val="left" w:pos="432"/>
      </w:tabs>
      <w:adjustRightInd w:val="0"/>
      <w:spacing w:beforeLines="50" w:afterLines="50" w:line="400" w:lineRule="atLeast"/>
      <w:ind w:left="432" w:hanging="432" w:firstLineChars="0"/>
      <w:contextualSpacing w:val="0"/>
      <w:textAlignment w:val="baseline"/>
    </w:pPr>
    <w:rPr>
      <w:rFonts w:asciiTheme="minorHAnsi" w:hAnsiTheme="minorHAnsi" w:eastAsiaTheme="minorEastAsia"/>
      <w:kern w:val="0"/>
      <w:szCs w:val="20"/>
    </w:rPr>
  </w:style>
  <w:style w:type="character" w:customStyle="1" w:styleId="93">
    <w:name w:val="未处理的提及1"/>
    <w:basedOn w:val="24"/>
    <w:semiHidden/>
    <w:unhideWhenUsed/>
    <w:qFormat/>
    <w:uiPriority w:val="99"/>
    <w:rPr>
      <w:color w:val="605E5C"/>
      <w:shd w:val="clear" w:color="auto" w:fill="E1DFDD"/>
    </w:rPr>
  </w:style>
  <w:style w:type="paragraph" w:customStyle="1" w:styleId="94">
    <w:name w:val="修订1"/>
    <w:hidden/>
    <w:unhideWhenUsed/>
    <w:qFormat/>
    <w:uiPriority w:val="99"/>
    <w:rPr>
      <w:rFonts w:ascii="Times New Roman" w:hAnsi="Times New Roman" w:eastAsia="宋体" w:cstheme="minorBidi"/>
      <w:kern w:val="2"/>
      <w:sz w:val="24"/>
      <w:szCs w:val="22"/>
      <w:lang w:val="en-US" w:eastAsia="zh-CN" w:bidi="ar-SA"/>
    </w:rPr>
  </w:style>
  <w:style w:type="paragraph" w:customStyle="1" w:styleId="95">
    <w:name w:val="修订2"/>
    <w:hidden/>
    <w:unhideWhenUsed/>
    <w:qFormat/>
    <w:uiPriority w:val="99"/>
    <w:rPr>
      <w:rFonts w:ascii="Times New Roman" w:hAnsi="Times New Roman" w:eastAsia="宋体" w:cstheme="minorBidi"/>
      <w:kern w:val="2"/>
      <w:sz w:val="24"/>
      <w:szCs w:val="22"/>
      <w:lang w:val="en-US" w:eastAsia="zh-CN" w:bidi="ar-SA"/>
    </w:rPr>
  </w:style>
  <w:style w:type="character" w:customStyle="1" w:styleId="96">
    <w:name w:val="未处理的提及2"/>
    <w:basedOn w:val="24"/>
    <w:semiHidden/>
    <w:unhideWhenUsed/>
    <w:qFormat/>
    <w:uiPriority w:val="99"/>
    <w:rPr>
      <w:color w:val="605E5C"/>
      <w:shd w:val="clear" w:color="auto" w:fill="E1DFDD"/>
    </w:rPr>
  </w:style>
  <w:style w:type="paragraph" w:customStyle="1" w:styleId="97">
    <w:name w:val="Revision"/>
    <w:hidden/>
    <w:semiHidden/>
    <w:qFormat/>
    <w:uiPriority w:val="99"/>
    <w:rPr>
      <w:rFonts w:ascii="Times New Roman" w:hAnsi="Times New Roman" w:eastAsia="宋体" w:cstheme="minorBidi"/>
      <w:kern w:val="2"/>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wmf"/><Relationship Id="rId3" Type="http://schemas.openxmlformats.org/officeDocument/2006/relationships/footnotes" Target="footnotes.xml"/><Relationship Id="rId29" Type="http://schemas.openxmlformats.org/officeDocument/2006/relationships/oleObject" Target="embeddings/oleObject1.bin"/><Relationship Id="rId28" Type="http://schemas.openxmlformats.org/officeDocument/2006/relationships/image" Target="media/image13.png"/><Relationship Id="rId27" Type="http://schemas.openxmlformats.org/officeDocument/2006/relationships/image" Target="media/image12.png"/><Relationship Id="rId26" Type="http://schemas.openxmlformats.org/officeDocument/2006/relationships/image" Target="media/image11.jpeg"/><Relationship Id="rId25" Type="http://schemas.openxmlformats.org/officeDocument/2006/relationships/image" Target="media/image10.jpeg"/><Relationship Id="rId24" Type="http://schemas.openxmlformats.org/officeDocument/2006/relationships/image" Target="media/image9.emf"/><Relationship Id="rId23" Type="http://schemas.openxmlformats.org/officeDocument/2006/relationships/package" Target="embeddings/Microsoft_Visio___4.vsdx"/><Relationship Id="rId22" Type="http://schemas.openxmlformats.org/officeDocument/2006/relationships/image" Target="media/image8.png"/><Relationship Id="rId21" Type="http://schemas.openxmlformats.org/officeDocument/2006/relationships/image" Target="media/image7.emf"/><Relationship Id="rId20" Type="http://schemas.openxmlformats.org/officeDocument/2006/relationships/package" Target="embeddings/Microsoft_Visio___3.vsdx"/><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package" Target="embeddings/Microsoft_Visio___2.vsdx"/><Relationship Id="rId17" Type="http://schemas.openxmlformats.org/officeDocument/2006/relationships/image" Target="media/image5.emf"/><Relationship Id="rId16" Type="http://schemas.openxmlformats.org/officeDocument/2006/relationships/package" Target="embeddings/Microsoft_Visio___1.vsdx"/><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F77B0D-A3B8-44DE-9D59-8349BBD1414B}">
  <ds:schemaRefs/>
</ds:datastoreItem>
</file>

<file path=docProps/app.xml><?xml version="1.0" encoding="utf-8"?>
<Properties xmlns="http://schemas.openxmlformats.org/officeDocument/2006/extended-properties" xmlns:vt="http://schemas.openxmlformats.org/officeDocument/2006/docPropsVTypes">
  <Template>Normal.dotm</Template>
  <Pages>77</Pages>
  <Words>4332</Words>
  <Characters>4618</Characters>
  <Lines>382</Lines>
  <Paragraphs>107</Paragraphs>
  <TotalTime>164</TotalTime>
  <ScaleCrop>false</ScaleCrop>
  <LinksUpToDate>false</LinksUpToDate>
  <CharactersWithSpaces>4661</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2025-04-07T02:58:00Z</dcterms:created>
  <dc:creator>lin WANG</dc:creator>
  <cp:lastModifiedBy>xxxx</cp:lastModifiedBy>
  <cp:lastPrinted>2024-09-18T11:53:00Z</cp:lastPrinted>
  <dcterms:modified xsi:type="dcterms:W3CDTF">2025-04-10T02:06:43Z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ADD925E9D3034F2496415A74E392F121_13</vt:lpwstr>
  </property>
  <property fmtid="{D5CDD505-2E9C-101B-9397-08002B2CF9AE}" pid="4" name="KSOTemplateDocerSaveRecord">
    <vt:lpwstr>eyJoZGlkIjoiMDZhOGMxODUwMjdlY2IzN2QwNDFlNTdlNzkwNGUyY2UiLCJ1c2VySWQiOiIxNjYxMjk4MDQ1In0=</vt:lpwstr>
  </property>
</Properties>
</file>