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833AF">
      <w:pPr>
        <w:keepNext w:val="0"/>
        <w:keepLines w:val="0"/>
        <w:widowControl/>
        <w:suppressLineNumbers w:val="0"/>
        <w:jc w:val="center"/>
        <w:rPr>
          <w:rFonts w:hint="default" w:ascii="Times New Roman" w:hAnsi="Times New Roman" w:eastAsia="宋体" w:cs="Times New Roman"/>
          <w:b/>
          <w:bCs/>
          <w:color w:val="auto"/>
          <w:kern w:val="0"/>
          <w:sz w:val="48"/>
          <w:szCs w:val="48"/>
          <w:lang w:val="en-US" w:eastAsia="zh-CN" w:bidi="ar"/>
        </w:rPr>
      </w:pPr>
      <w:bookmarkStart w:id="0" w:name="_Toc26072"/>
      <w:bookmarkEnd w:id="0"/>
      <w:bookmarkStart w:id="1" w:name="_Toc25880"/>
      <w:bookmarkEnd w:id="1"/>
      <w:bookmarkStart w:id="2" w:name="_Toc308"/>
      <w:bookmarkEnd w:id="2"/>
      <w:bookmarkStart w:id="3" w:name="_Toc23638"/>
      <w:bookmarkEnd w:id="3"/>
      <w:bookmarkStart w:id="4" w:name="_Toc19440"/>
      <w:bookmarkEnd w:id="4"/>
      <w:bookmarkStart w:id="5" w:name="_Toc3440"/>
      <w:bookmarkEnd w:id="5"/>
      <w:bookmarkStart w:id="6" w:name="_Toc21116"/>
      <w:bookmarkEnd w:id="6"/>
      <w:bookmarkStart w:id="7" w:name="_Toc9074"/>
      <w:bookmarkEnd w:id="7"/>
      <w:bookmarkStart w:id="8" w:name="_Toc13273"/>
      <w:bookmarkEnd w:id="8"/>
      <w:bookmarkStart w:id="9" w:name="_Toc14814"/>
      <w:bookmarkEnd w:id="9"/>
    </w:p>
    <w:p w14:paraId="74620377">
      <w:pPr>
        <w:keepNext w:val="0"/>
        <w:keepLines w:val="0"/>
        <w:widowControl/>
        <w:suppressLineNumbers w:val="0"/>
        <w:jc w:val="center"/>
        <w:rPr>
          <w:rFonts w:hint="default" w:ascii="Times New Roman" w:hAnsi="Times New Roman" w:eastAsia="宋体" w:cs="Times New Roman"/>
          <w:b/>
          <w:bCs/>
          <w:color w:val="auto"/>
          <w:kern w:val="0"/>
          <w:sz w:val="48"/>
          <w:szCs w:val="48"/>
          <w:lang w:val="en-US" w:eastAsia="zh-CN" w:bidi="ar"/>
        </w:rPr>
      </w:pPr>
    </w:p>
    <w:p w14:paraId="3CC7D797">
      <w:pPr>
        <w:keepNext w:val="0"/>
        <w:keepLines w:val="0"/>
        <w:widowControl/>
        <w:suppressLineNumbers w:val="0"/>
        <w:jc w:val="center"/>
        <w:rPr>
          <w:rFonts w:hint="default" w:ascii="Times New Roman" w:hAnsi="Times New Roman" w:eastAsia="宋体" w:cs="Times New Roman"/>
          <w:b/>
          <w:bCs/>
          <w:color w:val="auto"/>
          <w:kern w:val="0"/>
          <w:sz w:val="48"/>
          <w:szCs w:val="48"/>
          <w:lang w:val="en-US" w:eastAsia="zh-CN" w:bidi="ar"/>
        </w:rPr>
      </w:pPr>
    </w:p>
    <w:p w14:paraId="18D7EE8A">
      <w:pPr>
        <w:keepNext w:val="0"/>
        <w:keepLines w:val="0"/>
        <w:widowControl/>
        <w:suppressLineNumbers w:val="0"/>
        <w:jc w:val="center"/>
        <w:outlineLvl w:val="0"/>
        <w:rPr>
          <w:rFonts w:hint="default" w:ascii="Times New Roman" w:hAnsi="Times New Roman" w:eastAsia="宋体" w:cs="Times New Roman"/>
          <w:b/>
          <w:bCs/>
          <w:color w:val="auto"/>
          <w:sz w:val="56"/>
          <w:szCs w:val="56"/>
          <w:highlight w:val="none"/>
        </w:rPr>
      </w:pPr>
      <w:bookmarkStart w:id="10" w:name="_Toc15264"/>
      <w:bookmarkStart w:id="11" w:name="_Toc21019"/>
      <w:bookmarkStart w:id="12" w:name="_Toc9874"/>
      <w:bookmarkStart w:id="13" w:name="_Toc848"/>
      <w:bookmarkStart w:id="14" w:name="_Toc7850"/>
      <w:bookmarkStart w:id="15" w:name="_Toc12208"/>
      <w:r>
        <w:rPr>
          <w:rFonts w:hint="default" w:ascii="Times New Roman" w:hAnsi="Times New Roman" w:eastAsia="宋体" w:cs="Times New Roman"/>
          <w:b/>
          <w:bCs/>
          <w:color w:val="auto"/>
          <w:kern w:val="0"/>
          <w:sz w:val="48"/>
          <w:szCs w:val="48"/>
          <w:lang w:val="en-US" w:eastAsia="zh-CN" w:bidi="ar"/>
        </w:rPr>
        <w:t>大英县医疗救治救援中心综合建设项目</w:t>
      </w:r>
      <w:bookmarkEnd w:id="10"/>
      <w:bookmarkEnd w:id="11"/>
      <w:bookmarkEnd w:id="12"/>
      <w:bookmarkEnd w:id="13"/>
      <w:bookmarkEnd w:id="14"/>
      <w:bookmarkEnd w:id="15"/>
    </w:p>
    <w:p w14:paraId="765FC037">
      <w:pPr>
        <w:ind w:firstLine="0" w:firstLineChars="0"/>
        <w:jc w:val="center"/>
        <w:rPr>
          <w:rFonts w:hint="default" w:ascii="Times New Roman" w:hAnsi="Times New Roman" w:eastAsia="宋体" w:cs="Times New Roman"/>
          <w:color w:val="auto"/>
          <w:spacing w:val="2"/>
          <w:w w:val="130"/>
          <w:sz w:val="48"/>
          <w:szCs w:val="48"/>
          <w:highlight w:val="none"/>
        </w:rPr>
      </w:pPr>
    </w:p>
    <w:p w14:paraId="4947F699">
      <w:pPr>
        <w:ind w:firstLine="0" w:firstLineChars="0"/>
        <w:jc w:val="center"/>
        <w:outlineLvl w:val="0"/>
        <w:rPr>
          <w:rFonts w:hint="default" w:ascii="Times New Roman" w:hAnsi="Times New Roman" w:eastAsia="宋体" w:cs="Times New Roman"/>
          <w:bCs/>
          <w:color w:val="auto"/>
          <w:sz w:val="72"/>
          <w:szCs w:val="48"/>
          <w:highlight w:val="none"/>
        </w:rPr>
      </w:pPr>
      <w:bookmarkStart w:id="16" w:name="_Toc14065"/>
      <w:bookmarkStart w:id="17" w:name="_Toc32027"/>
      <w:bookmarkStart w:id="18" w:name="_Toc2448"/>
      <w:bookmarkStart w:id="19" w:name="_Toc4484"/>
      <w:bookmarkStart w:id="20" w:name="_Toc27678"/>
      <w:bookmarkStart w:id="21" w:name="_Toc30837"/>
      <w:r>
        <w:rPr>
          <w:rFonts w:hint="default" w:ascii="Times New Roman" w:hAnsi="Times New Roman" w:eastAsia="宋体" w:cs="Times New Roman"/>
          <w:b/>
          <w:color w:val="auto"/>
          <w:sz w:val="72"/>
          <w:szCs w:val="48"/>
          <w:highlight w:val="none"/>
        </w:rPr>
        <w:t>环境影响报告书</w:t>
      </w:r>
      <w:bookmarkEnd w:id="16"/>
      <w:bookmarkEnd w:id="17"/>
      <w:bookmarkEnd w:id="18"/>
      <w:bookmarkEnd w:id="19"/>
      <w:bookmarkEnd w:id="20"/>
      <w:bookmarkEnd w:id="21"/>
    </w:p>
    <w:p w14:paraId="6BAA00F0">
      <w:pPr>
        <w:snapToGrid w:val="0"/>
        <w:spacing w:line="240" w:lineRule="auto"/>
        <w:ind w:firstLine="0" w:firstLineChars="0"/>
        <w:jc w:val="center"/>
        <w:rPr>
          <w:rFonts w:hint="default" w:ascii="Times New Roman" w:hAnsi="Times New Roman" w:eastAsia="宋体" w:cs="Times New Roman"/>
          <w:b/>
          <w:color w:val="auto"/>
          <w:sz w:val="30"/>
          <w:highlight w:val="none"/>
        </w:rPr>
      </w:pPr>
      <w:r>
        <w:rPr>
          <w:rFonts w:hint="default" w:ascii="Times New Roman" w:hAnsi="Times New Roman" w:eastAsia="宋体" w:cs="Times New Roman"/>
          <w:b/>
          <w:color w:val="auto"/>
          <w:spacing w:val="20"/>
          <w:sz w:val="30"/>
          <w:highlight w:val="none"/>
        </w:rPr>
        <w:t>ENVIRONMENTAL IMPACT ASSESSMEN TREPORT</w:t>
      </w:r>
    </w:p>
    <w:p w14:paraId="775512C3">
      <w:pPr>
        <w:snapToGrid w:val="0"/>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32"/>
          <w:highlight w:val="none"/>
        </w:rPr>
        <mc:AlternateContent>
          <mc:Choice Requires="wps">
            <w:drawing>
              <wp:anchor distT="0" distB="0" distL="114300" distR="114300" simplePos="0" relativeHeight="251660288" behindDoc="0" locked="0" layoutInCell="0" allowOverlap="1">
                <wp:simplePos x="0" y="0"/>
                <wp:positionH relativeFrom="column">
                  <wp:posOffset>76200</wp:posOffset>
                </wp:positionH>
                <wp:positionV relativeFrom="paragraph">
                  <wp:posOffset>-5715</wp:posOffset>
                </wp:positionV>
                <wp:extent cx="5182235" cy="8890"/>
                <wp:effectExtent l="0" t="25400" r="18415" b="41910"/>
                <wp:wrapNone/>
                <wp:docPr id="43" name="直接连接符 43"/>
                <wp:cNvGraphicFramePr/>
                <a:graphic xmlns:a="http://schemas.openxmlformats.org/drawingml/2006/main">
                  <a:graphicData uri="http://schemas.microsoft.com/office/word/2010/wordprocessingShape">
                    <wps:wsp>
                      <wps:cNvCnPr/>
                      <wps:spPr>
                        <a:xfrm flipV="1">
                          <a:off x="0" y="0"/>
                          <a:ext cx="5182235" cy="8890"/>
                        </a:xfrm>
                        <a:prstGeom prst="line">
                          <a:avLst/>
                        </a:prstGeom>
                        <a:ln w="50800" cap="flat" cmpd="sng">
                          <a:solidFill>
                            <a:srgbClr val="000000"/>
                          </a:solidFill>
                          <a:prstDash val="solid"/>
                          <a:headEnd type="none" w="sm" len="sm"/>
                          <a:tailEnd type="none" w="sm" len="sm"/>
                        </a:ln>
                        <a:effectLst/>
                      </wps:spPr>
                      <wps:bodyPr/>
                    </wps:wsp>
                  </a:graphicData>
                </a:graphic>
              </wp:anchor>
            </w:drawing>
          </mc:Choice>
          <mc:Fallback>
            <w:pict>
              <v:line id="_x0000_s1026" o:spid="_x0000_s1026" o:spt="20" style="position:absolute;left:0pt;flip:y;margin-left:6pt;margin-top:-0.45pt;height:0.7pt;width:408.05pt;z-index:251660288;mso-width-relative:page;mso-height-relative:page;" filled="f" stroked="t" coordsize="21600,21600" o:allowincell="f" o:gfxdata="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L4+LdQAAAAFAQAADwAAAAAAAAABACAAAAAiAAAAZHJzL2Rvd25yZXYu&#10;eG1sUEsBAhQAFAAAAAgAh07iQPFJRqj/AQAA8gMAAA4AAAAAAAAAAQAgAAAAIwEAAGRycy9lMm9E&#10;b2MueG1sUEsFBgAAAAAGAAYAWQEAAJQFAAAAAA==&#10;">
                <v:fill on="f" focussize="0,0"/>
                <v:stroke weight="4pt" color="#000000" joinstyle="round" startarrowwidth="narrow" startarrowlength="short" endarrowwidth="narrow" endarrowlength="short"/>
                <v:imagedata o:title=""/>
                <o:lock v:ext="edit" aspectratio="f"/>
              </v:line>
            </w:pict>
          </mc:Fallback>
        </mc:AlternateContent>
      </w:r>
      <w:r>
        <w:rPr>
          <w:rFonts w:hint="default" w:ascii="Times New Roman" w:hAnsi="Times New Roman" w:eastAsia="宋体" w:cs="Times New Roman"/>
          <w:color w:val="auto"/>
          <w:sz w:val="30"/>
          <w:highlight w:val="none"/>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76200</wp:posOffset>
                </wp:positionV>
                <wp:extent cx="5182235" cy="635"/>
                <wp:effectExtent l="0" t="0" r="0" b="0"/>
                <wp:wrapNone/>
                <wp:docPr id="44" name="直接连接符 44"/>
                <wp:cNvGraphicFramePr/>
                <a:graphic xmlns:a="http://schemas.openxmlformats.org/drawingml/2006/main">
                  <a:graphicData uri="http://schemas.microsoft.com/office/word/2010/wordprocessingShape">
                    <wps:wsp>
                      <wps:cNvCnPr/>
                      <wps:spPr>
                        <a:xfrm>
                          <a:off x="0" y="0"/>
                          <a:ext cx="5182235" cy="635"/>
                        </a:xfrm>
                        <a:prstGeom prst="line">
                          <a:avLst/>
                        </a:prstGeom>
                        <a:ln w="12700" cap="flat" cmpd="sng">
                          <a:solidFill>
                            <a:srgbClr val="000000"/>
                          </a:solidFill>
                          <a:prstDash val="solid"/>
                          <a:headEnd type="none" w="sm" len="sm"/>
                          <a:tailEnd type="none" w="sm" len="sm"/>
                        </a:ln>
                        <a:effectLst/>
                      </wps:spPr>
                      <wps:bodyPr/>
                    </wps:wsp>
                  </a:graphicData>
                </a:graphic>
              </wp:anchor>
            </w:drawing>
          </mc:Choice>
          <mc:Fallback>
            <w:pict>
              <v:line id="_x0000_s1026" o:spid="_x0000_s1026" o:spt="20" style="position:absolute;left:0pt;margin-left:6pt;margin-top:6pt;height:0.05pt;width:408.05pt;z-index:251661312;mso-width-relative:page;mso-height-relative:page;" filled="f" stroked="t" coordsize="21600,21600" o:gfxdata="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SSTD+0gAAAAgBAAAPAAAAAAAAAAEAIAAAACIAAABkcnMvZG93bnJldi54bWxQSwECFAAUAAAA&#10;CACHTuJALGUVW/QBAADnAwAADgAAAAAAAAABACAAAAAhAQAAZHJzL2Uyb0RvYy54bWxQSwUGAAAA&#10;AAYABgBZAQAAhwUAAAAA&#10;">
                <v:fill on="f" focussize="0,0"/>
                <v:stroke weight="1pt" color="#000000" joinstyle="round" startarrowwidth="narrow" startarrowlength="short" endarrowwidth="narrow" endarrowlength="short"/>
                <v:imagedata o:title=""/>
                <o:lock v:ext="edit" aspectratio="f"/>
              </v:line>
            </w:pict>
          </mc:Fallback>
        </mc:AlternateContent>
      </w:r>
    </w:p>
    <w:p w14:paraId="27A65DE8">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sz w:val="36"/>
          <w:szCs w:val="36"/>
          <w:highlight w:val="none"/>
          <w:lang w:eastAsia="zh-CN"/>
        </w:rPr>
      </w:pPr>
      <w:r>
        <w:rPr>
          <w:rFonts w:hint="eastAsia" w:ascii="Times New Roman" w:hAnsi="Times New Roman" w:eastAsia="宋体" w:cs="Times New Roman"/>
          <w:b/>
          <w:bCs/>
          <w:color w:val="auto"/>
          <w:sz w:val="36"/>
          <w:szCs w:val="36"/>
          <w:highlight w:val="none"/>
          <w:lang w:eastAsia="zh-CN"/>
        </w:rPr>
        <w:t>（</w:t>
      </w:r>
      <w:r>
        <w:rPr>
          <w:rFonts w:hint="eastAsia" w:ascii="Times New Roman" w:hAnsi="Times New Roman" w:eastAsia="宋体" w:cs="Times New Roman"/>
          <w:b/>
          <w:bCs/>
          <w:color w:val="auto"/>
          <w:sz w:val="36"/>
          <w:szCs w:val="36"/>
          <w:highlight w:val="none"/>
          <w:lang w:val="en-US" w:eastAsia="zh-CN"/>
        </w:rPr>
        <w:t>报批本</w:t>
      </w:r>
      <w:r>
        <w:rPr>
          <w:rFonts w:hint="eastAsia" w:ascii="Times New Roman" w:hAnsi="Times New Roman" w:eastAsia="宋体" w:cs="Times New Roman"/>
          <w:b/>
          <w:bCs/>
          <w:color w:val="auto"/>
          <w:sz w:val="36"/>
          <w:szCs w:val="36"/>
          <w:highlight w:val="none"/>
          <w:lang w:eastAsia="zh-CN"/>
        </w:rPr>
        <w:t>）</w:t>
      </w:r>
    </w:p>
    <w:p w14:paraId="6B682A6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96"/>
          <w:szCs w:val="160"/>
          <w:highlight w:val="none"/>
        </w:rPr>
      </w:pPr>
    </w:p>
    <w:p w14:paraId="3A7A900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96"/>
          <w:szCs w:val="160"/>
          <w:highlight w:val="none"/>
        </w:rPr>
      </w:pPr>
    </w:p>
    <w:p w14:paraId="64708072">
      <w:pPr>
        <w:ind w:firstLine="960"/>
        <w:rPr>
          <w:rFonts w:hint="default" w:ascii="Times New Roman" w:hAnsi="Times New Roman" w:eastAsia="宋体" w:cs="Times New Roman"/>
          <w:color w:val="auto"/>
          <w:sz w:val="48"/>
          <w:szCs w:val="56"/>
          <w:highlight w:val="none"/>
        </w:rPr>
      </w:pPr>
    </w:p>
    <w:p w14:paraId="3B99AC1D">
      <w:pPr>
        <w:ind w:firstLine="960"/>
        <w:rPr>
          <w:rFonts w:hint="default" w:ascii="Times New Roman" w:hAnsi="Times New Roman" w:eastAsia="宋体" w:cs="Times New Roman"/>
          <w:color w:val="auto"/>
          <w:sz w:val="48"/>
          <w:szCs w:val="56"/>
          <w:highlight w:val="none"/>
        </w:rPr>
      </w:pPr>
    </w:p>
    <w:p w14:paraId="001D9E68">
      <w:pPr>
        <w:ind w:firstLine="960"/>
        <w:rPr>
          <w:rFonts w:hint="default" w:ascii="Times New Roman" w:hAnsi="Times New Roman" w:eastAsia="宋体" w:cs="Times New Roman"/>
          <w:color w:val="auto"/>
          <w:sz w:val="48"/>
          <w:szCs w:val="56"/>
          <w:highlight w:val="none"/>
        </w:rPr>
      </w:pPr>
    </w:p>
    <w:p w14:paraId="0756AE87">
      <w:pPr>
        <w:adjustRightInd w:val="0"/>
        <w:ind w:firstLine="0" w:firstLineChars="0"/>
        <w:jc w:val="center"/>
        <w:outlineLvl w:val="0"/>
        <w:rPr>
          <w:rFonts w:hint="default" w:ascii="Times New Roman" w:hAnsi="Times New Roman" w:eastAsia="宋体" w:cs="Times New Roman"/>
          <w:b/>
          <w:bCs/>
          <w:color w:val="auto"/>
          <w:sz w:val="32"/>
          <w:szCs w:val="32"/>
          <w:highlight w:val="none"/>
        </w:rPr>
      </w:pPr>
      <w:bookmarkStart w:id="22" w:name="_Toc24657"/>
      <w:bookmarkStart w:id="23" w:name="_Toc31247"/>
      <w:bookmarkStart w:id="24" w:name="_Toc24674"/>
      <w:bookmarkStart w:id="25" w:name="_Toc27161"/>
      <w:bookmarkStart w:id="26" w:name="_Toc18615"/>
      <w:bookmarkStart w:id="27" w:name="_Toc2618"/>
      <w:r>
        <w:rPr>
          <w:rFonts w:hint="default" w:ascii="Times New Roman" w:hAnsi="Times New Roman" w:eastAsia="宋体" w:cs="Times New Roman"/>
          <w:b/>
          <w:bCs/>
          <w:color w:val="auto"/>
          <w:sz w:val="32"/>
          <w:szCs w:val="32"/>
          <w:highlight w:val="none"/>
        </w:rPr>
        <w:t>建设单位：大英县禾鑫城市建设投资有限公司</w:t>
      </w:r>
      <w:bookmarkEnd w:id="22"/>
      <w:bookmarkEnd w:id="23"/>
      <w:bookmarkEnd w:id="24"/>
      <w:bookmarkEnd w:id="25"/>
      <w:bookmarkEnd w:id="26"/>
      <w:bookmarkEnd w:id="27"/>
    </w:p>
    <w:p w14:paraId="18024AD3">
      <w:pPr>
        <w:adjustRightInd w:val="0"/>
        <w:ind w:firstLine="0" w:firstLineChars="0"/>
        <w:jc w:val="center"/>
        <w:outlineLvl w:val="0"/>
        <w:rPr>
          <w:rFonts w:hint="default" w:ascii="Times New Roman" w:hAnsi="Times New Roman" w:eastAsia="宋体" w:cs="Times New Roman"/>
          <w:b/>
          <w:bCs/>
          <w:color w:val="auto"/>
          <w:sz w:val="32"/>
          <w:szCs w:val="32"/>
          <w:highlight w:val="none"/>
        </w:rPr>
      </w:pPr>
      <w:bookmarkStart w:id="28" w:name="_Toc20063"/>
      <w:bookmarkStart w:id="29" w:name="_Toc26285"/>
      <w:bookmarkStart w:id="30" w:name="_Toc10603"/>
      <w:bookmarkStart w:id="31" w:name="_Toc19401"/>
      <w:bookmarkStart w:id="32" w:name="_Toc26669"/>
      <w:bookmarkStart w:id="33" w:name="_Toc2126"/>
      <w:r>
        <w:rPr>
          <w:rFonts w:hint="default" w:ascii="Times New Roman" w:hAnsi="Times New Roman" w:eastAsia="宋体" w:cs="Times New Roman"/>
          <w:b/>
          <w:bCs/>
          <w:color w:val="auto"/>
          <w:sz w:val="32"/>
          <w:szCs w:val="32"/>
          <w:highlight w:val="none"/>
        </w:rPr>
        <w:t>编制单位：四川乐水清山环保技术咨询有限公司</w:t>
      </w:r>
      <w:bookmarkEnd w:id="28"/>
      <w:bookmarkEnd w:id="29"/>
      <w:bookmarkEnd w:id="30"/>
      <w:bookmarkEnd w:id="31"/>
      <w:bookmarkEnd w:id="32"/>
      <w:bookmarkEnd w:id="33"/>
    </w:p>
    <w:p w14:paraId="6A60A041">
      <w:pPr>
        <w:ind w:firstLine="0" w:firstLineChars="0"/>
        <w:jc w:val="center"/>
        <w:rPr>
          <w:rFonts w:hint="default" w:ascii="Times New Roman" w:hAnsi="Times New Roman" w:eastAsia="宋体" w:cs="Times New Roman"/>
          <w:b/>
          <w:bCs/>
          <w:color w:val="auto"/>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32"/>
          <w:szCs w:val="32"/>
          <w:highlight w:val="none"/>
        </w:rPr>
        <w:t>二〇二</w:t>
      </w:r>
      <w:r>
        <w:rPr>
          <w:rFonts w:hint="default" w:ascii="Times New Roman" w:hAnsi="Times New Roman" w:eastAsia="宋体" w:cs="Times New Roman"/>
          <w:b/>
          <w:bCs/>
          <w:color w:val="auto"/>
          <w:sz w:val="32"/>
          <w:szCs w:val="32"/>
          <w:highlight w:val="none"/>
          <w:lang w:val="en-US" w:eastAsia="zh-CN"/>
        </w:rPr>
        <w:t>二</w:t>
      </w:r>
      <w:r>
        <w:rPr>
          <w:rFonts w:hint="default" w:ascii="Times New Roman" w:hAnsi="Times New Roman" w:eastAsia="宋体" w:cs="Times New Roman"/>
          <w:b/>
          <w:bCs/>
          <w:color w:val="auto"/>
          <w:sz w:val="32"/>
          <w:szCs w:val="32"/>
          <w:highlight w:val="none"/>
        </w:rPr>
        <w:t>年</w:t>
      </w:r>
      <w:r>
        <w:rPr>
          <w:rFonts w:hint="default" w:ascii="Times New Roman" w:hAnsi="Times New Roman" w:eastAsia="宋体" w:cs="Times New Roman"/>
          <w:b/>
          <w:bCs/>
          <w:color w:val="auto"/>
          <w:sz w:val="32"/>
          <w:szCs w:val="32"/>
          <w:highlight w:val="none"/>
          <w:lang w:val="en-US" w:eastAsia="zh-CN"/>
        </w:rPr>
        <w:t>十二</w:t>
      </w:r>
      <w:r>
        <w:rPr>
          <w:rFonts w:hint="default" w:ascii="Times New Roman" w:hAnsi="Times New Roman" w:eastAsia="宋体" w:cs="Times New Roman"/>
          <w:b/>
          <w:bCs/>
          <w:color w:val="auto"/>
          <w:sz w:val="32"/>
          <w:szCs w:val="32"/>
          <w:highlight w:val="none"/>
        </w:rPr>
        <w:t>月</w:t>
      </w:r>
    </w:p>
    <w:sdt>
      <w:sdtPr>
        <w:rPr>
          <w:rFonts w:hint="default" w:ascii="Times New Roman" w:hAnsi="Times New Roman" w:eastAsia="宋体" w:cs="Times New Roman"/>
          <w:color w:val="auto"/>
          <w:kern w:val="2"/>
          <w:sz w:val="21"/>
          <w:szCs w:val="24"/>
          <w:lang w:val="en-US" w:eastAsia="zh-CN" w:bidi="ar-SA"/>
        </w:rPr>
        <w:id w:val="147466058"/>
        <w15:color w:val="DBDBDB"/>
        <w:docPartObj>
          <w:docPartGallery w:val="Table of Contents"/>
          <w:docPartUnique/>
        </w:docPartObj>
      </w:sdtPr>
      <w:sdtEndPr>
        <w:rPr>
          <w:rFonts w:hint="default" w:ascii="Times New Roman" w:hAnsi="Times New Roman" w:eastAsia="宋体" w:cs="Times New Roman"/>
          <w:bCs/>
          <w:i w:val="0"/>
          <w:iCs w:val="0"/>
          <w:caps w:val="0"/>
          <w:color w:val="auto"/>
          <w:spacing w:val="0"/>
          <w:kern w:val="0"/>
          <w:sz w:val="24"/>
          <w:szCs w:val="24"/>
          <w:u w:val="none"/>
          <w:shd w:val="clear" w:fill="FFFFFF"/>
          <w:lang w:val="en-US" w:eastAsia="zh-CN" w:bidi="ar"/>
        </w:rPr>
      </w:sdtEndPr>
      <w:sdtContent>
        <w:p w14:paraId="5E2A43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Cs/>
              <w:i w:val="0"/>
              <w:iCs w:val="0"/>
              <w:caps w:val="0"/>
              <w:color w:val="auto"/>
              <w:spacing w:val="0"/>
              <w:kern w:val="2"/>
              <w:sz w:val="21"/>
              <w:szCs w:val="24"/>
              <w:u w:val="none"/>
              <w:shd w:val="clear" w:fill="FFFFFF"/>
              <w:lang w:val="en-US" w:eastAsia="zh-CN" w:bidi="ar-SA"/>
            </w:rPr>
          </w:pPr>
          <w:r>
            <w:rPr>
              <w:rFonts w:hint="default" w:ascii="Times New Roman" w:hAnsi="Times New Roman" w:eastAsia="宋体" w:cs="Times New Roman"/>
              <w:b/>
              <w:bCs/>
              <w:color w:val="auto"/>
              <w:sz w:val="32"/>
              <w:szCs w:val="32"/>
            </w:rPr>
            <w:t>目</w:t>
          </w:r>
          <w:r>
            <w:rPr>
              <w:rFonts w:hint="default" w:ascii="Times New Roman" w:hAnsi="Times New Roman" w:eastAsia="宋体" w:cs="Times New Roman"/>
              <w:b/>
              <w:bCs/>
              <w:color w:val="auto"/>
              <w:sz w:val="32"/>
              <w:szCs w:val="32"/>
              <w:lang w:val="en-US" w:eastAsia="zh-CN"/>
            </w:rPr>
            <w:t xml:space="preserve">  </w:t>
          </w:r>
          <w:r>
            <w:rPr>
              <w:rFonts w:hint="default" w:ascii="Times New Roman" w:hAnsi="Times New Roman" w:eastAsia="宋体" w:cs="Times New Roman"/>
              <w:b/>
              <w:bCs/>
              <w:color w:val="auto"/>
              <w:sz w:val="32"/>
              <w:szCs w:val="32"/>
            </w:rPr>
            <w:t>录</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TOC \o "1-3" \h \u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p>
        <w:p w14:paraId="413E8A95">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24"/>
              <w:szCs w:val="24"/>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spacing w:val="0"/>
              <w:sz w:val="24"/>
              <w:szCs w:val="24"/>
              <w:shd w:val="clear" w:fill="FFFFFF"/>
              <w:lang w:val="en-US" w:eastAsia="zh-CN"/>
            </w:rPr>
            <w:instrText xml:space="preserve"> HYPERLINK \l _Toc14604 </w:instrText>
          </w:r>
          <w:r>
            <w:rPr>
              <w:rFonts w:hint="default" w:ascii="Times New Roman" w:hAnsi="Times New Roman" w:eastAsia="宋体" w:cs="Times New Roman"/>
              <w:b/>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b/>
              <w:bCs/>
              <w:sz w:val="24"/>
              <w:szCs w:val="24"/>
            </w:rPr>
            <w:t>前</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言</w:t>
          </w:r>
          <w:r>
            <w:rPr>
              <w:b/>
              <w:bCs/>
              <w:sz w:val="24"/>
              <w:szCs w:val="24"/>
            </w:rPr>
            <w:tab/>
          </w:r>
          <w:r>
            <w:rPr>
              <w:b/>
              <w:bCs/>
              <w:sz w:val="24"/>
              <w:szCs w:val="24"/>
            </w:rPr>
            <w:fldChar w:fldCharType="begin"/>
          </w:r>
          <w:r>
            <w:rPr>
              <w:b/>
              <w:bCs/>
              <w:sz w:val="24"/>
              <w:szCs w:val="24"/>
            </w:rPr>
            <w:instrText xml:space="preserve"> PAGEREF _Toc14604 \h </w:instrText>
          </w:r>
          <w:r>
            <w:rPr>
              <w:b/>
              <w:bCs/>
              <w:sz w:val="24"/>
              <w:szCs w:val="24"/>
            </w:rPr>
            <w:fldChar w:fldCharType="separate"/>
          </w:r>
          <w:r>
            <w:rPr>
              <w:b/>
              <w:bCs/>
              <w:sz w:val="24"/>
              <w:szCs w:val="24"/>
            </w:rPr>
            <w:t>1</w:t>
          </w:r>
          <w:r>
            <w:rPr>
              <w:b/>
              <w:bCs/>
              <w:sz w:val="24"/>
              <w:szCs w:val="24"/>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214EF2C9">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spacing w:val="0"/>
              <w:sz w:val="24"/>
              <w:szCs w:val="24"/>
              <w:shd w:val="clear" w:fill="FFFFFF"/>
              <w:lang w:val="en-US" w:eastAsia="zh-CN"/>
            </w:rPr>
            <w:instrText xml:space="preserve"> HYPERLINK \l _Toc26364 </w:instrText>
          </w:r>
          <w:r>
            <w:rPr>
              <w:rFonts w:hint="default" w:ascii="Times New Roman" w:hAnsi="Times New Roman" w:eastAsia="宋体" w:cs="Times New Roman"/>
              <w:b/>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b/>
              <w:bCs/>
              <w:sz w:val="24"/>
              <w:szCs w:val="24"/>
              <w:lang w:val="en-US" w:eastAsia="zh-CN"/>
            </w:rPr>
            <w:t>1 总论</w:t>
          </w:r>
          <w:r>
            <w:rPr>
              <w:b/>
              <w:bCs/>
              <w:sz w:val="24"/>
              <w:szCs w:val="24"/>
            </w:rPr>
            <w:tab/>
          </w:r>
          <w:r>
            <w:rPr>
              <w:b/>
              <w:bCs/>
              <w:sz w:val="24"/>
              <w:szCs w:val="24"/>
            </w:rPr>
            <w:fldChar w:fldCharType="begin"/>
          </w:r>
          <w:r>
            <w:rPr>
              <w:b/>
              <w:bCs/>
              <w:sz w:val="24"/>
              <w:szCs w:val="24"/>
            </w:rPr>
            <w:instrText xml:space="preserve"> PAGEREF _Toc26364 \h </w:instrText>
          </w:r>
          <w:r>
            <w:rPr>
              <w:b/>
              <w:bCs/>
              <w:sz w:val="24"/>
              <w:szCs w:val="24"/>
            </w:rPr>
            <w:fldChar w:fldCharType="separate"/>
          </w:r>
          <w:r>
            <w:rPr>
              <w:b/>
              <w:bCs/>
              <w:sz w:val="24"/>
              <w:szCs w:val="24"/>
            </w:rPr>
            <w:t>3</w:t>
          </w:r>
          <w:r>
            <w:rPr>
              <w:b/>
              <w:bCs/>
              <w:sz w:val="24"/>
              <w:szCs w:val="24"/>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378FFC8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_Toc25830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 评价目的及原则</w:t>
          </w:r>
          <w:r>
            <w:rPr>
              <w:sz w:val="24"/>
              <w:szCs w:val="24"/>
            </w:rPr>
            <w:tab/>
          </w:r>
          <w:r>
            <w:rPr>
              <w:sz w:val="24"/>
              <w:szCs w:val="24"/>
            </w:rPr>
            <w:fldChar w:fldCharType="begin"/>
          </w:r>
          <w:r>
            <w:rPr>
              <w:sz w:val="24"/>
              <w:szCs w:val="24"/>
            </w:rPr>
            <w:instrText xml:space="preserve"> PAGEREF _Toc25830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7D3F77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_Toc14695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1.1.1评价目的</w:t>
          </w:r>
          <w:r>
            <w:rPr>
              <w:sz w:val="24"/>
              <w:szCs w:val="24"/>
            </w:rPr>
            <w:tab/>
          </w:r>
          <w:r>
            <w:rPr>
              <w:sz w:val="24"/>
              <w:szCs w:val="24"/>
            </w:rPr>
            <w:fldChar w:fldCharType="begin"/>
          </w:r>
          <w:r>
            <w:rPr>
              <w:sz w:val="24"/>
              <w:szCs w:val="24"/>
            </w:rPr>
            <w:instrText xml:space="preserve"> PAGEREF _Toc14695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DE424FF">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_Toc24787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1.1.2评价原则及指导思想</w:t>
          </w:r>
          <w:r>
            <w:rPr>
              <w:sz w:val="24"/>
              <w:szCs w:val="24"/>
            </w:rPr>
            <w:tab/>
          </w:r>
          <w:r>
            <w:rPr>
              <w:sz w:val="24"/>
              <w:szCs w:val="24"/>
            </w:rPr>
            <w:fldChar w:fldCharType="begin"/>
          </w:r>
          <w:r>
            <w:rPr>
              <w:sz w:val="24"/>
              <w:szCs w:val="24"/>
            </w:rPr>
            <w:instrText xml:space="preserve"> PAGEREF _Toc24787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444059A">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_Toc3249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1.2 编制依据</w:t>
          </w:r>
          <w:r>
            <w:rPr>
              <w:sz w:val="24"/>
              <w:szCs w:val="24"/>
            </w:rPr>
            <w:tab/>
          </w:r>
          <w:r>
            <w:rPr>
              <w:sz w:val="24"/>
              <w:szCs w:val="24"/>
            </w:rPr>
            <w:fldChar w:fldCharType="begin"/>
          </w:r>
          <w:r>
            <w:rPr>
              <w:sz w:val="24"/>
              <w:szCs w:val="24"/>
            </w:rPr>
            <w:instrText xml:space="preserve"> PAGEREF _Toc3249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0FF633C">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_Toc12261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1.2.1法律法规和规范性文件</w:t>
          </w:r>
          <w:r>
            <w:rPr>
              <w:sz w:val="24"/>
              <w:szCs w:val="24"/>
            </w:rPr>
            <w:tab/>
          </w:r>
          <w:r>
            <w:rPr>
              <w:sz w:val="24"/>
              <w:szCs w:val="24"/>
            </w:rPr>
            <w:fldChar w:fldCharType="begin"/>
          </w:r>
          <w:r>
            <w:rPr>
              <w:sz w:val="24"/>
              <w:szCs w:val="24"/>
            </w:rPr>
            <w:instrText xml:space="preserve"> PAGEREF _Toc12261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A477DD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_Toc27223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1.2.2 技术导则</w:t>
          </w:r>
          <w:r>
            <w:rPr>
              <w:sz w:val="24"/>
              <w:szCs w:val="24"/>
            </w:rPr>
            <w:tab/>
          </w:r>
          <w:r>
            <w:rPr>
              <w:sz w:val="24"/>
              <w:szCs w:val="24"/>
            </w:rPr>
            <w:fldChar w:fldCharType="begin"/>
          </w:r>
          <w:r>
            <w:rPr>
              <w:sz w:val="24"/>
              <w:szCs w:val="24"/>
            </w:rPr>
            <w:instrText xml:space="preserve"> PAGEREF _Toc27223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A0C2EA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_Toc17799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1.2.3任务相关文件</w:t>
          </w:r>
          <w:r>
            <w:rPr>
              <w:sz w:val="24"/>
              <w:szCs w:val="24"/>
            </w:rPr>
            <w:tab/>
          </w:r>
          <w:r>
            <w:rPr>
              <w:sz w:val="24"/>
              <w:szCs w:val="24"/>
            </w:rPr>
            <w:fldChar w:fldCharType="begin"/>
          </w:r>
          <w:r>
            <w:rPr>
              <w:sz w:val="24"/>
              <w:szCs w:val="24"/>
            </w:rPr>
            <w:instrText xml:space="preserve"> PAGEREF _Toc17799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89EA01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_Toc28756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1.3 相关政策符合性分析</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6A2D64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_Toc26372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 xml:space="preserve">1.3.1 </w:t>
          </w:r>
          <w:r>
            <w:rPr>
              <w:rFonts w:hint="eastAsia" w:ascii="Times New Roman" w:hAnsi="Times New Roman" w:eastAsia="宋体" w:cs="Times New Roman"/>
              <w:sz w:val="24"/>
              <w:szCs w:val="24"/>
              <w:lang w:val="en-US" w:eastAsia="zh-CN"/>
            </w:rPr>
            <w:t>产业政策</w:t>
          </w:r>
          <w:r>
            <w:rPr>
              <w:rFonts w:hint="default" w:ascii="Times New Roman" w:hAnsi="Times New Roman" w:eastAsia="宋体" w:cs="Times New Roman"/>
              <w:sz w:val="24"/>
              <w:szCs w:val="24"/>
              <w:lang w:val="en-US" w:eastAsia="zh-CN"/>
            </w:rPr>
            <w:t>符合性</w:t>
          </w:r>
          <w:r>
            <w:rPr>
              <w:rFonts w:hint="eastAsia" w:ascii="Times New Roman" w:hAnsi="Times New Roman" w:eastAsia="宋体" w:cs="Times New Roman"/>
              <w:sz w:val="24"/>
              <w:szCs w:val="24"/>
              <w:lang w:val="en-US" w:eastAsia="zh-CN"/>
            </w:rPr>
            <w:t>分析</w:t>
          </w:r>
          <w:r>
            <w:rPr>
              <w:sz w:val="24"/>
              <w:szCs w:val="24"/>
            </w:rPr>
            <w:tab/>
          </w:r>
          <w:r>
            <w:rPr>
              <w:sz w:val="24"/>
              <w:szCs w:val="24"/>
            </w:rPr>
            <w:fldChar w:fldCharType="begin"/>
          </w:r>
          <w:r>
            <w:rPr>
              <w:sz w:val="24"/>
              <w:szCs w:val="24"/>
            </w:rPr>
            <w:instrText xml:space="preserve"> PAGEREF _Toc26372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7E8D06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_Toc3599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1.3.2</w:t>
          </w:r>
          <w:r>
            <w:rPr>
              <w:rFonts w:hint="eastAsia" w:ascii="Times New Roman" w:hAnsi="Times New Roman" w:eastAsia="宋体" w:cs="Times New Roman"/>
              <w:sz w:val="24"/>
              <w:szCs w:val="24"/>
              <w:lang w:val="en-US" w:eastAsia="zh-CN"/>
            </w:rPr>
            <w:t>其他政策</w:t>
          </w:r>
          <w:r>
            <w:rPr>
              <w:rFonts w:hint="default" w:ascii="Times New Roman" w:hAnsi="Times New Roman" w:eastAsia="宋体" w:cs="Times New Roman"/>
              <w:sz w:val="24"/>
              <w:szCs w:val="24"/>
              <w:lang w:val="en-US" w:eastAsia="zh-CN"/>
            </w:rPr>
            <w:t>符合性分析</w:t>
          </w:r>
          <w:r>
            <w:rPr>
              <w:sz w:val="24"/>
              <w:szCs w:val="24"/>
            </w:rPr>
            <w:tab/>
          </w:r>
          <w:r>
            <w:rPr>
              <w:sz w:val="24"/>
              <w:szCs w:val="24"/>
            </w:rPr>
            <w:fldChar w:fldCharType="begin"/>
          </w:r>
          <w:r>
            <w:rPr>
              <w:sz w:val="24"/>
              <w:szCs w:val="24"/>
            </w:rPr>
            <w:instrText xml:space="preserve"> PAGEREF _Toc3599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8FBE113">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_Toc18121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1.4 与相关规划符合性分析</w:t>
          </w:r>
          <w:r>
            <w:rPr>
              <w:sz w:val="24"/>
              <w:szCs w:val="24"/>
            </w:rPr>
            <w:tab/>
          </w:r>
          <w:r>
            <w:rPr>
              <w:sz w:val="24"/>
              <w:szCs w:val="24"/>
            </w:rPr>
            <w:fldChar w:fldCharType="begin"/>
          </w:r>
          <w:r>
            <w:rPr>
              <w:sz w:val="24"/>
              <w:szCs w:val="24"/>
            </w:rPr>
            <w:instrText xml:space="preserve"> PAGEREF _Toc18121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5B5CB81">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_Toc32240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1.4.1 用地规划符合性分析</w:t>
          </w:r>
          <w:r>
            <w:rPr>
              <w:sz w:val="24"/>
              <w:szCs w:val="24"/>
            </w:rPr>
            <w:tab/>
          </w:r>
          <w:r>
            <w:rPr>
              <w:sz w:val="24"/>
              <w:szCs w:val="24"/>
            </w:rPr>
            <w:fldChar w:fldCharType="begin"/>
          </w:r>
          <w:r>
            <w:rPr>
              <w:sz w:val="24"/>
              <w:szCs w:val="24"/>
            </w:rPr>
            <w:instrText xml:space="preserve"> PAGEREF _Toc32240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BCC468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_Toc8072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1.4.2 项目“三线一单”符合性分析</w:t>
          </w:r>
          <w:r>
            <w:rPr>
              <w:sz w:val="24"/>
              <w:szCs w:val="24"/>
            </w:rPr>
            <w:tab/>
          </w:r>
          <w:r>
            <w:rPr>
              <w:sz w:val="24"/>
              <w:szCs w:val="24"/>
            </w:rPr>
            <w:fldChar w:fldCharType="begin"/>
          </w:r>
          <w:r>
            <w:rPr>
              <w:sz w:val="24"/>
              <w:szCs w:val="24"/>
            </w:rPr>
            <w:instrText xml:space="preserve"> PAGEREF _Toc8072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E58BE4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_Toc18247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评价因子与评价标准</w:t>
          </w:r>
          <w:r>
            <w:rPr>
              <w:sz w:val="24"/>
              <w:szCs w:val="24"/>
            </w:rPr>
            <w:tab/>
          </w:r>
          <w:r>
            <w:rPr>
              <w:sz w:val="24"/>
              <w:szCs w:val="24"/>
            </w:rPr>
            <w:fldChar w:fldCharType="begin"/>
          </w:r>
          <w:r>
            <w:rPr>
              <w:sz w:val="24"/>
              <w:szCs w:val="24"/>
            </w:rPr>
            <w:instrText xml:space="preserve"> PAGEREF _Toc18247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381A74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_Toc9357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highlight w:val="none"/>
              <w:lang w:eastAsia="zh-CN"/>
            </w:rPr>
            <w:t>环境影响因素识别</w:t>
          </w:r>
          <w:r>
            <w:rPr>
              <w:sz w:val="24"/>
              <w:szCs w:val="24"/>
            </w:rPr>
            <w:tab/>
          </w:r>
          <w:r>
            <w:rPr>
              <w:sz w:val="24"/>
              <w:szCs w:val="24"/>
            </w:rPr>
            <w:fldChar w:fldCharType="begin"/>
          </w:r>
          <w:r>
            <w:rPr>
              <w:sz w:val="24"/>
              <w:szCs w:val="24"/>
            </w:rPr>
            <w:instrText xml:space="preserve"> PAGEREF _Toc9357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54C2CA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_Toc16918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eastAsia" w:ascii="Times New Roman" w:hAnsi="Times New Roman" w:eastAsia="宋体" w:cs="Times New Roman"/>
              <w:sz w:val="24"/>
              <w:szCs w:val="24"/>
              <w:lang w:val="en-US" w:eastAsia="zh-CN"/>
            </w:rPr>
            <w:t>1.5.2</w:t>
          </w:r>
          <w:r>
            <w:rPr>
              <w:rFonts w:hint="default" w:ascii="Times New Roman" w:hAnsi="Times New Roman" w:eastAsia="宋体" w:cs="Times New Roman"/>
              <w:sz w:val="24"/>
              <w:szCs w:val="24"/>
              <w:lang w:val="en-US" w:eastAsia="zh-CN"/>
            </w:rPr>
            <w:t>评价因子</w:t>
          </w:r>
          <w:r>
            <w:rPr>
              <w:sz w:val="24"/>
              <w:szCs w:val="24"/>
            </w:rPr>
            <w:tab/>
          </w:r>
          <w:r>
            <w:rPr>
              <w:sz w:val="24"/>
              <w:szCs w:val="24"/>
            </w:rPr>
            <w:fldChar w:fldCharType="begin"/>
          </w:r>
          <w:r>
            <w:rPr>
              <w:sz w:val="24"/>
              <w:szCs w:val="24"/>
            </w:rPr>
            <w:instrText xml:space="preserve"> PAGEREF _Toc16918 \h </w:instrText>
          </w:r>
          <w:r>
            <w:rPr>
              <w:sz w:val="24"/>
              <w:szCs w:val="24"/>
            </w:rPr>
            <w:fldChar w:fldCharType="separate"/>
          </w:r>
          <w:r>
            <w:rPr>
              <w:sz w:val="24"/>
              <w:szCs w:val="24"/>
            </w:rPr>
            <w:t>24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A3511E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_Toc32290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评价标准</w:t>
          </w:r>
          <w:r>
            <w:rPr>
              <w:sz w:val="24"/>
              <w:szCs w:val="24"/>
            </w:rPr>
            <w:tab/>
          </w:r>
          <w:r>
            <w:rPr>
              <w:sz w:val="24"/>
              <w:szCs w:val="24"/>
            </w:rPr>
            <w:fldChar w:fldCharType="begin"/>
          </w:r>
          <w:r>
            <w:rPr>
              <w:sz w:val="24"/>
              <w:szCs w:val="24"/>
            </w:rPr>
            <w:instrText xml:space="preserve"> PAGEREF _Toc32290 \h </w:instrText>
          </w:r>
          <w:r>
            <w:rPr>
              <w:sz w:val="24"/>
              <w:szCs w:val="24"/>
            </w:rPr>
            <w:fldChar w:fldCharType="separate"/>
          </w:r>
          <w:r>
            <w:rPr>
              <w:sz w:val="24"/>
              <w:szCs w:val="24"/>
            </w:rPr>
            <w:t>24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F32AB2B">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_Toc28840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环境影响评价等级的确定</w:t>
          </w:r>
          <w:r>
            <w:rPr>
              <w:sz w:val="24"/>
              <w:szCs w:val="24"/>
            </w:rPr>
            <w:tab/>
          </w:r>
          <w:r>
            <w:rPr>
              <w:sz w:val="24"/>
              <w:szCs w:val="24"/>
            </w:rPr>
            <w:fldChar w:fldCharType="begin"/>
          </w:r>
          <w:r>
            <w:rPr>
              <w:sz w:val="24"/>
              <w:szCs w:val="24"/>
            </w:rPr>
            <w:instrText xml:space="preserve"> PAGEREF _Toc28840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C09A471">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_Toc15884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.1 大气环境评价工作等级划分</w:t>
          </w:r>
          <w:r>
            <w:rPr>
              <w:sz w:val="24"/>
              <w:szCs w:val="24"/>
            </w:rPr>
            <w:tab/>
          </w:r>
          <w:r>
            <w:rPr>
              <w:sz w:val="24"/>
              <w:szCs w:val="24"/>
            </w:rPr>
            <w:fldChar w:fldCharType="begin"/>
          </w:r>
          <w:r>
            <w:rPr>
              <w:sz w:val="24"/>
              <w:szCs w:val="24"/>
            </w:rPr>
            <w:instrText xml:space="preserve"> PAGEREF _Toc15884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FBC204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_Toc29574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.2 地表水评价工作等级</w:t>
          </w:r>
          <w:r>
            <w:rPr>
              <w:sz w:val="24"/>
              <w:szCs w:val="24"/>
            </w:rPr>
            <w:tab/>
          </w:r>
          <w:r>
            <w:rPr>
              <w:sz w:val="24"/>
              <w:szCs w:val="24"/>
            </w:rPr>
            <w:fldChar w:fldCharType="begin"/>
          </w:r>
          <w:r>
            <w:rPr>
              <w:sz w:val="24"/>
              <w:szCs w:val="24"/>
            </w:rPr>
            <w:instrText xml:space="preserve"> PAGEREF _Toc29574 \h </w:instrText>
          </w:r>
          <w:r>
            <w:rPr>
              <w:sz w:val="24"/>
              <w:szCs w:val="24"/>
            </w:rPr>
            <w:fldChar w:fldCharType="separate"/>
          </w:r>
          <w:r>
            <w:rPr>
              <w:sz w:val="24"/>
              <w:szCs w:val="24"/>
            </w:rPr>
            <w:t>30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422411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_Toc13714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.3地下水环境评价工作等级</w:t>
          </w:r>
          <w:r>
            <w:rPr>
              <w:sz w:val="24"/>
              <w:szCs w:val="24"/>
            </w:rPr>
            <w:tab/>
          </w:r>
          <w:r>
            <w:rPr>
              <w:sz w:val="24"/>
              <w:szCs w:val="24"/>
            </w:rPr>
            <w:fldChar w:fldCharType="begin"/>
          </w:r>
          <w:r>
            <w:rPr>
              <w:sz w:val="24"/>
              <w:szCs w:val="24"/>
            </w:rPr>
            <w:instrText xml:space="preserve"> PAGEREF _Toc13714 \h </w:instrText>
          </w:r>
          <w:r>
            <w:rPr>
              <w:sz w:val="24"/>
              <w:szCs w:val="24"/>
            </w:rPr>
            <w:fldChar w:fldCharType="separate"/>
          </w:r>
          <w:r>
            <w:rPr>
              <w:sz w:val="24"/>
              <w:szCs w:val="24"/>
            </w:rPr>
            <w:t>31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A60984E">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_Toc16551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.4 声环境评价工作等级</w:t>
          </w:r>
          <w:r>
            <w:rPr>
              <w:sz w:val="24"/>
              <w:szCs w:val="24"/>
            </w:rPr>
            <w:tab/>
          </w:r>
          <w:r>
            <w:rPr>
              <w:sz w:val="24"/>
              <w:szCs w:val="24"/>
            </w:rPr>
            <w:fldChar w:fldCharType="begin"/>
          </w:r>
          <w:r>
            <w:rPr>
              <w:sz w:val="24"/>
              <w:szCs w:val="24"/>
            </w:rPr>
            <w:instrText xml:space="preserve"> PAGEREF _Toc16551 \h </w:instrText>
          </w:r>
          <w:r>
            <w:rPr>
              <w:sz w:val="24"/>
              <w:szCs w:val="24"/>
            </w:rPr>
            <w:fldChar w:fldCharType="separate"/>
          </w:r>
          <w:r>
            <w:rPr>
              <w:sz w:val="24"/>
              <w:szCs w:val="24"/>
            </w:rPr>
            <w:t>32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F08261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_Toc28250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.5 生态评价工作等级</w:t>
          </w:r>
          <w:r>
            <w:rPr>
              <w:sz w:val="24"/>
              <w:szCs w:val="24"/>
            </w:rPr>
            <w:tab/>
          </w:r>
          <w:r>
            <w:rPr>
              <w:sz w:val="24"/>
              <w:szCs w:val="24"/>
            </w:rPr>
            <w:fldChar w:fldCharType="begin"/>
          </w:r>
          <w:r>
            <w:rPr>
              <w:sz w:val="24"/>
              <w:szCs w:val="24"/>
            </w:rPr>
            <w:instrText xml:space="preserve"> PAGEREF _Toc28250 \h </w:instrText>
          </w:r>
          <w:r>
            <w:rPr>
              <w:sz w:val="24"/>
              <w:szCs w:val="24"/>
            </w:rPr>
            <w:fldChar w:fldCharType="separate"/>
          </w:r>
          <w:r>
            <w:rPr>
              <w:sz w:val="24"/>
              <w:szCs w:val="24"/>
            </w:rPr>
            <w:t>32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E9F02C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_Toc20477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.6环境风险评价等级划分</w:t>
          </w:r>
          <w:r>
            <w:rPr>
              <w:sz w:val="24"/>
              <w:szCs w:val="24"/>
            </w:rPr>
            <w:tab/>
          </w:r>
          <w:r>
            <w:rPr>
              <w:sz w:val="24"/>
              <w:szCs w:val="24"/>
            </w:rPr>
            <w:fldChar w:fldCharType="begin"/>
          </w:r>
          <w:r>
            <w:rPr>
              <w:sz w:val="24"/>
              <w:szCs w:val="24"/>
            </w:rPr>
            <w:instrText xml:space="preserve"> PAGEREF _Toc20477 \h </w:instrText>
          </w:r>
          <w:r>
            <w:rPr>
              <w:sz w:val="24"/>
              <w:szCs w:val="24"/>
            </w:rPr>
            <w:fldChar w:fldCharType="separate"/>
          </w:r>
          <w:r>
            <w:rPr>
              <w:sz w:val="24"/>
              <w:szCs w:val="24"/>
            </w:rPr>
            <w:t>33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2B65E9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_Toc3058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.7土壤环境评价等级划分</w:t>
          </w:r>
          <w:r>
            <w:rPr>
              <w:sz w:val="24"/>
              <w:szCs w:val="24"/>
            </w:rPr>
            <w:tab/>
          </w:r>
          <w:r>
            <w:rPr>
              <w:sz w:val="24"/>
              <w:szCs w:val="24"/>
            </w:rPr>
            <w:fldChar w:fldCharType="begin"/>
          </w:r>
          <w:r>
            <w:rPr>
              <w:sz w:val="24"/>
              <w:szCs w:val="24"/>
            </w:rPr>
            <w:instrText xml:space="preserve"> PAGEREF _Toc3058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C2B808B">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_Toc7497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评价范围</w:t>
          </w:r>
          <w:r>
            <w:rPr>
              <w:sz w:val="24"/>
              <w:szCs w:val="24"/>
            </w:rPr>
            <w:tab/>
          </w:r>
          <w:r>
            <w:rPr>
              <w:sz w:val="24"/>
              <w:szCs w:val="24"/>
            </w:rPr>
            <w:fldChar w:fldCharType="begin"/>
          </w:r>
          <w:r>
            <w:rPr>
              <w:sz w:val="24"/>
              <w:szCs w:val="24"/>
            </w:rPr>
            <w:instrText xml:space="preserve"> PAGEREF _Toc7497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34748A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_Toc32571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.1环境空气评价范围</w:t>
          </w:r>
          <w:r>
            <w:rPr>
              <w:sz w:val="24"/>
              <w:szCs w:val="24"/>
            </w:rPr>
            <w:tab/>
          </w:r>
          <w:r>
            <w:rPr>
              <w:sz w:val="24"/>
              <w:szCs w:val="24"/>
            </w:rPr>
            <w:fldChar w:fldCharType="begin"/>
          </w:r>
          <w:r>
            <w:rPr>
              <w:sz w:val="24"/>
              <w:szCs w:val="24"/>
            </w:rPr>
            <w:instrText xml:space="preserve"> PAGEREF _Toc32571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C83EBE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_Toc31621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.2 地表水环境影响评价范围</w:t>
          </w:r>
          <w:r>
            <w:rPr>
              <w:sz w:val="24"/>
              <w:szCs w:val="24"/>
            </w:rPr>
            <w:tab/>
          </w:r>
          <w:r>
            <w:rPr>
              <w:sz w:val="24"/>
              <w:szCs w:val="24"/>
            </w:rPr>
            <w:fldChar w:fldCharType="begin"/>
          </w:r>
          <w:r>
            <w:rPr>
              <w:sz w:val="24"/>
              <w:szCs w:val="24"/>
            </w:rPr>
            <w:instrText xml:space="preserve"> PAGEREF _Toc31621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A0B66B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_Toc19637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.3地下水环境影响评价范围</w:t>
          </w:r>
          <w:r>
            <w:rPr>
              <w:sz w:val="24"/>
              <w:szCs w:val="24"/>
            </w:rPr>
            <w:tab/>
          </w:r>
          <w:r>
            <w:rPr>
              <w:sz w:val="24"/>
              <w:szCs w:val="24"/>
            </w:rPr>
            <w:fldChar w:fldCharType="begin"/>
          </w:r>
          <w:r>
            <w:rPr>
              <w:sz w:val="24"/>
              <w:szCs w:val="24"/>
            </w:rPr>
            <w:instrText xml:space="preserve"> PAGEREF _Toc19637 \h </w:instrText>
          </w:r>
          <w:r>
            <w:rPr>
              <w:sz w:val="24"/>
              <w:szCs w:val="24"/>
            </w:rPr>
            <w:fldChar w:fldCharType="separate"/>
          </w:r>
          <w:r>
            <w:rPr>
              <w:sz w:val="24"/>
              <w:szCs w:val="24"/>
            </w:rPr>
            <w:t>35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908885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_Toc16810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.4 声环境评价范围</w:t>
          </w:r>
          <w:r>
            <w:rPr>
              <w:sz w:val="24"/>
              <w:szCs w:val="24"/>
            </w:rPr>
            <w:tab/>
          </w:r>
          <w:r>
            <w:rPr>
              <w:sz w:val="24"/>
              <w:szCs w:val="24"/>
            </w:rPr>
            <w:fldChar w:fldCharType="begin"/>
          </w:r>
          <w:r>
            <w:rPr>
              <w:sz w:val="24"/>
              <w:szCs w:val="24"/>
            </w:rPr>
            <w:instrText xml:space="preserve"> PAGEREF _Toc16810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106ACA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_Toc14641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.5土壤环境评价范围</w:t>
          </w:r>
          <w:r>
            <w:rPr>
              <w:sz w:val="24"/>
              <w:szCs w:val="24"/>
            </w:rPr>
            <w:tab/>
          </w:r>
          <w:r>
            <w:rPr>
              <w:sz w:val="24"/>
              <w:szCs w:val="24"/>
            </w:rPr>
            <w:fldChar w:fldCharType="begin"/>
          </w:r>
          <w:r>
            <w:rPr>
              <w:sz w:val="24"/>
              <w:szCs w:val="24"/>
            </w:rPr>
            <w:instrText xml:space="preserve"> PAGEREF _Toc14641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F26768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_Toc24472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.6生态环境评价范围</w:t>
          </w:r>
          <w:r>
            <w:rPr>
              <w:sz w:val="24"/>
              <w:szCs w:val="24"/>
            </w:rPr>
            <w:tab/>
          </w:r>
          <w:r>
            <w:rPr>
              <w:sz w:val="24"/>
              <w:szCs w:val="24"/>
            </w:rPr>
            <w:fldChar w:fldCharType="begin"/>
          </w:r>
          <w:r>
            <w:rPr>
              <w:sz w:val="24"/>
              <w:szCs w:val="24"/>
            </w:rPr>
            <w:instrText xml:space="preserve"> PAGEREF _Toc24472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4C3A06F">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_Toc19796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.7风险环境评价范围</w:t>
          </w:r>
          <w:r>
            <w:rPr>
              <w:sz w:val="24"/>
              <w:szCs w:val="24"/>
            </w:rPr>
            <w:tab/>
          </w:r>
          <w:r>
            <w:rPr>
              <w:sz w:val="24"/>
              <w:szCs w:val="24"/>
            </w:rPr>
            <w:fldChar w:fldCharType="begin"/>
          </w:r>
          <w:r>
            <w:rPr>
              <w:sz w:val="24"/>
              <w:szCs w:val="24"/>
            </w:rPr>
            <w:instrText xml:space="preserve"> PAGEREF _Toc19796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3DD522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_Toc26125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评价重点、内容</w:t>
          </w:r>
          <w:r>
            <w:rPr>
              <w:sz w:val="24"/>
              <w:szCs w:val="24"/>
            </w:rPr>
            <w:tab/>
          </w:r>
          <w:r>
            <w:rPr>
              <w:sz w:val="24"/>
              <w:szCs w:val="24"/>
            </w:rPr>
            <w:fldChar w:fldCharType="begin"/>
          </w:r>
          <w:r>
            <w:rPr>
              <w:sz w:val="24"/>
              <w:szCs w:val="24"/>
            </w:rPr>
            <w:instrText xml:space="preserve"> PAGEREF _Toc26125 \h </w:instrText>
          </w:r>
          <w:r>
            <w:rPr>
              <w:sz w:val="24"/>
              <w:szCs w:val="24"/>
            </w:rPr>
            <w:fldChar w:fldCharType="separate"/>
          </w:r>
          <w:r>
            <w:rPr>
              <w:sz w:val="24"/>
              <w:szCs w:val="24"/>
            </w:rPr>
            <w:t>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EEDF81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_Toc11710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lang w:val="en-US" w:eastAsia="zh-CN"/>
            </w:rPr>
            <w:t>项目外环境关系及环境保护目标</w:t>
          </w:r>
          <w:r>
            <w:rPr>
              <w:sz w:val="24"/>
              <w:szCs w:val="24"/>
            </w:rPr>
            <w:tab/>
          </w:r>
          <w:r>
            <w:rPr>
              <w:sz w:val="24"/>
              <w:szCs w:val="24"/>
            </w:rPr>
            <w:fldChar w:fldCharType="begin"/>
          </w:r>
          <w:r>
            <w:rPr>
              <w:sz w:val="24"/>
              <w:szCs w:val="24"/>
            </w:rPr>
            <w:instrText xml:space="preserve"> PAGEREF _Toc11710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418389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_Toc18873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.1 外环境关系</w:t>
          </w:r>
          <w:r>
            <w:rPr>
              <w:sz w:val="24"/>
              <w:szCs w:val="24"/>
            </w:rPr>
            <w:tab/>
          </w:r>
          <w:r>
            <w:rPr>
              <w:sz w:val="24"/>
              <w:szCs w:val="24"/>
            </w:rPr>
            <w:fldChar w:fldCharType="begin"/>
          </w:r>
          <w:r>
            <w:rPr>
              <w:sz w:val="24"/>
              <w:szCs w:val="24"/>
            </w:rPr>
            <w:instrText xml:space="preserve"> PAGEREF _Toc18873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5A8123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_Toc18994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.2主要环境保护目标</w:t>
          </w:r>
          <w:r>
            <w:rPr>
              <w:sz w:val="24"/>
              <w:szCs w:val="24"/>
            </w:rPr>
            <w:tab/>
          </w:r>
          <w:r>
            <w:rPr>
              <w:sz w:val="24"/>
              <w:szCs w:val="24"/>
            </w:rPr>
            <w:fldChar w:fldCharType="begin"/>
          </w:r>
          <w:r>
            <w:rPr>
              <w:sz w:val="24"/>
              <w:szCs w:val="24"/>
            </w:rPr>
            <w:instrText xml:space="preserve"> PAGEREF _Toc18994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6135E8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_Toc28921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 xml:space="preserve"> 评价程序</w:t>
          </w:r>
          <w:r>
            <w:rPr>
              <w:sz w:val="24"/>
              <w:szCs w:val="24"/>
            </w:rPr>
            <w:tab/>
          </w:r>
          <w:r>
            <w:rPr>
              <w:sz w:val="24"/>
              <w:szCs w:val="24"/>
            </w:rPr>
            <w:fldChar w:fldCharType="begin"/>
          </w:r>
          <w:r>
            <w:rPr>
              <w:sz w:val="24"/>
              <w:szCs w:val="24"/>
            </w:rPr>
            <w:instrText xml:space="preserve"> PAGEREF _Toc28921 \h </w:instrText>
          </w:r>
          <w:r>
            <w:rPr>
              <w:sz w:val="24"/>
              <w:szCs w:val="24"/>
            </w:rPr>
            <w:fldChar w:fldCharType="separate"/>
          </w:r>
          <w:r>
            <w:rPr>
              <w:sz w:val="24"/>
              <w:szCs w:val="24"/>
            </w:rPr>
            <w:t>39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1462EA4">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_Toc22021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2工程概况</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_Toc22021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40</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3A4A8A4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_Toc28686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lang w:val="en-US" w:eastAsia="zh-CN"/>
            </w:rPr>
            <w:t>建设项目概况</w:t>
          </w:r>
          <w:r>
            <w:rPr>
              <w:sz w:val="24"/>
              <w:szCs w:val="24"/>
            </w:rPr>
            <w:tab/>
          </w:r>
          <w:r>
            <w:rPr>
              <w:sz w:val="24"/>
              <w:szCs w:val="24"/>
            </w:rPr>
            <w:fldChar w:fldCharType="begin"/>
          </w:r>
          <w:r>
            <w:rPr>
              <w:sz w:val="24"/>
              <w:szCs w:val="24"/>
            </w:rPr>
            <w:instrText xml:space="preserve"> PAGEREF _Toc28686 \h </w:instrText>
          </w:r>
          <w:r>
            <w:rPr>
              <w:sz w:val="24"/>
              <w:szCs w:val="24"/>
            </w:rPr>
            <w:fldChar w:fldCharType="separate"/>
          </w:r>
          <w:r>
            <w:rPr>
              <w:sz w:val="24"/>
              <w:szCs w:val="24"/>
            </w:rPr>
            <w:t>40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23E4759">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_Toc27995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2.1.1 项目名称、建设性质、投资总额</w:t>
          </w:r>
          <w:r>
            <w:rPr>
              <w:sz w:val="24"/>
              <w:szCs w:val="24"/>
            </w:rPr>
            <w:tab/>
          </w:r>
          <w:r>
            <w:rPr>
              <w:sz w:val="24"/>
              <w:szCs w:val="24"/>
            </w:rPr>
            <w:fldChar w:fldCharType="begin"/>
          </w:r>
          <w:r>
            <w:rPr>
              <w:sz w:val="24"/>
              <w:szCs w:val="24"/>
            </w:rPr>
            <w:instrText xml:space="preserve"> PAGEREF _Toc27995 \h </w:instrText>
          </w:r>
          <w:r>
            <w:rPr>
              <w:sz w:val="24"/>
              <w:szCs w:val="24"/>
            </w:rPr>
            <w:fldChar w:fldCharType="separate"/>
          </w:r>
          <w:r>
            <w:rPr>
              <w:sz w:val="24"/>
              <w:szCs w:val="24"/>
            </w:rPr>
            <w:t>40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72A8527">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_Toc27178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2.1.2建设规模及内容</w:t>
          </w:r>
          <w:r>
            <w:rPr>
              <w:sz w:val="24"/>
              <w:szCs w:val="24"/>
            </w:rPr>
            <w:tab/>
          </w:r>
          <w:r>
            <w:rPr>
              <w:sz w:val="24"/>
              <w:szCs w:val="24"/>
            </w:rPr>
            <w:fldChar w:fldCharType="begin"/>
          </w:r>
          <w:r>
            <w:rPr>
              <w:sz w:val="24"/>
              <w:szCs w:val="24"/>
            </w:rPr>
            <w:instrText xml:space="preserve"> PAGEREF _Toc27178 \h </w:instrText>
          </w:r>
          <w:r>
            <w:rPr>
              <w:sz w:val="24"/>
              <w:szCs w:val="24"/>
            </w:rPr>
            <w:fldChar w:fldCharType="separate"/>
          </w:r>
          <w:r>
            <w:rPr>
              <w:sz w:val="24"/>
              <w:szCs w:val="24"/>
            </w:rPr>
            <w:t>40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5D3D5E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_Toc20686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2.1.3生产制度</w:t>
          </w:r>
          <w:r>
            <w:rPr>
              <w:sz w:val="24"/>
              <w:szCs w:val="24"/>
            </w:rPr>
            <w:tab/>
          </w:r>
          <w:r>
            <w:rPr>
              <w:sz w:val="24"/>
              <w:szCs w:val="24"/>
            </w:rPr>
            <w:fldChar w:fldCharType="begin"/>
          </w:r>
          <w:r>
            <w:rPr>
              <w:sz w:val="24"/>
              <w:szCs w:val="24"/>
            </w:rPr>
            <w:instrText xml:space="preserve"> PAGEREF _Toc20686 \h </w:instrText>
          </w:r>
          <w:r>
            <w:rPr>
              <w:sz w:val="24"/>
              <w:szCs w:val="24"/>
            </w:rPr>
            <w:fldChar w:fldCharType="separate"/>
          </w:r>
          <w:r>
            <w:rPr>
              <w:sz w:val="24"/>
              <w:szCs w:val="24"/>
            </w:rPr>
            <w:t>41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1DD5BB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_Toc5151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2.1.4建设内容</w:t>
          </w:r>
          <w:r>
            <w:rPr>
              <w:sz w:val="24"/>
              <w:szCs w:val="24"/>
            </w:rPr>
            <w:tab/>
          </w:r>
          <w:r>
            <w:rPr>
              <w:sz w:val="24"/>
              <w:szCs w:val="24"/>
            </w:rPr>
            <w:fldChar w:fldCharType="begin"/>
          </w:r>
          <w:r>
            <w:rPr>
              <w:sz w:val="24"/>
              <w:szCs w:val="24"/>
            </w:rPr>
            <w:instrText xml:space="preserve"> PAGEREF _Toc5151 \h </w:instrText>
          </w:r>
          <w:r>
            <w:rPr>
              <w:sz w:val="24"/>
              <w:szCs w:val="24"/>
            </w:rPr>
            <w:fldChar w:fldCharType="separate"/>
          </w:r>
          <w:r>
            <w:rPr>
              <w:sz w:val="24"/>
              <w:szCs w:val="24"/>
            </w:rPr>
            <w:t>41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1FC50BE">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_Toc31010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2.1.5项目原辅材料及能源消耗</w:t>
          </w:r>
          <w:r>
            <w:rPr>
              <w:sz w:val="24"/>
              <w:szCs w:val="24"/>
            </w:rPr>
            <w:tab/>
          </w:r>
          <w:r>
            <w:rPr>
              <w:sz w:val="24"/>
              <w:szCs w:val="24"/>
            </w:rPr>
            <w:fldChar w:fldCharType="begin"/>
          </w:r>
          <w:r>
            <w:rPr>
              <w:sz w:val="24"/>
              <w:szCs w:val="24"/>
            </w:rPr>
            <w:instrText xml:space="preserve"> PAGEREF _Toc31010 \h </w:instrText>
          </w:r>
          <w:r>
            <w:rPr>
              <w:sz w:val="24"/>
              <w:szCs w:val="24"/>
            </w:rPr>
            <w:fldChar w:fldCharType="separate"/>
          </w:r>
          <w:r>
            <w:rPr>
              <w:sz w:val="24"/>
              <w:szCs w:val="24"/>
            </w:rPr>
            <w:t>46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370B41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_Toc16161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2.1.6项目主要设备</w:t>
          </w:r>
          <w:r>
            <w:rPr>
              <w:sz w:val="24"/>
              <w:szCs w:val="24"/>
            </w:rPr>
            <w:tab/>
          </w:r>
          <w:r>
            <w:rPr>
              <w:sz w:val="24"/>
              <w:szCs w:val="24"/>
            </w:rPr>
            <w:fldChar w:fldCharType="begin"/>
          </w:r>
          <w:r>
            <w:rPr>
              <w:sz w:val="24"/>
              <w:szCs w:val="24"/>
            </w:rPr>
            <w:instrText xml:space="preserve"> PAGEREF _Toc16161 \h </w:instrText>
          </w:r>
          <w:r>
            <w:rPr>
              <w:sz w:val="24"/>
              <w:szCs w:val="24"/>
            </w:rPr>
            <w:fldChar w:fldCharType="separate"/>
          </w:r>
          <w:r>
            <w:rPr>
              <w:sz w:val="24"/>
              <w:szCs w:val="24"/>
            </w:rPr>
            <w:t>47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B89B4B7">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_Toc18490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2.2项目总平面布置</w:t>
          </w:r>
          <w:r>
            <w:rPr>
              <w:sz w:val="24"/>
              <w:szCs w:val="24"/>
            </w:rPr>
            <w:tab/>
          </w:r>
          <w:r>
            <w:rPr>
              <w:sz w:val="24"/>
              <w:szCs w:val="24"/>
            </w:rPr>
            <w:fldChar w:fldCharType="begin"/>
          </w:r>
          <w:r>
            <w:rPr>
              <w:sz w:val="24"/>
              <w:szCs w:val="24"/>
            </w:rPr>
            <w:instrText xml:space="preserve"> PAGEREF _Toc18490 \h </w:instrText>
          </w:r>
          <w:r>
            <w:rPr>
              <w:sz w:val="24"/>
              <w:szCs w:val="24"/>
            </w:rPr>
            <w:fldChar w:fldCharType="separate"/>
          </w:r>
          <w:r>
            <w:rPr>
              <w:sz w:val="24"/>
              <w:szCs w:val="24"/>
            </w:rPr>
            <w:t>50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A758AC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_Toc11553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2.2.1总平面布置</w:t>
          </w:r>
          <w:r>
            <w:rPr>
              <w:sz w:val="24"/>
              <w:szCs w:val="24"/>
            </w:rPr>
            <w:tab/>
          </w:r>
          <w:r>
            <w:rPr>
              <w:sz w:val="24"/>
              <w:szCs w:val="24"/>
            </w:rPr>
            <w:fldChar w:fldCharType="begin"/>
          </w:r>
          <w:r>
            <w:rPr>
              <w:sz w:val="24"/>
              <w:szCs w:val="24"/>
            </w:rPr>
            <w:instrText xml:space="preserve"> PAGEREF _Toc11553 \h </w:instrText>
          </w:r>
          <w:r>
            <w:rPr>
              <w:sz w:val="24"/>
              <w:szCs w:val="24"/>
            </w:rPr>
            <w:fldChar w:fldCharType="separate"/>
          </w:r>
          <w:r>
            <w:rPr>
              <w:sz w:val="24"/>
              <w:szCs w:val="24"/>
            </w:rPr>
            <w:t>50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24F64F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_Toc2446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 公用工程</w:t>
          </w:r>
          <w:r>
            <w:rPr>
              <w:sz w:val="24"/>
              <w:szCs w:val="24"/>
            </w:rPr>
            <w:tab/>
          </w:r>
          <w:r>
            <w:rPr>
              <w:sz w:val="24"/>
              <w:szCs w:val="24"/>
            </w:rPr>
            <w:fldChar w:fldCharType="begin"/>
          </w:r>
          <w:r>
            <w:rPr>
              <w:sz w:val="24"/>
              <w:szCs w:val="24"/>
            </w:rPr>
            <w:instrText xml:space="preserve"> PAGEREF _Toc2446 \h </w:instrText>
          </w:r>
          <w:r>
            <w:rPr>
              <w:sz w:val="24"/>
              <w:szCs w:val="24"/>
            </w:rPr>
            <w:fldChar w:fldCharType="separate"/>
          </w:r>
          <w:r>
            <w:rPr>
              <w:sz w:val="24"/>
              <w:szCs w:val="24"/>
            </w:rPr>
            <w:t>53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C0ABE1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_Toc28623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2.3.1 给排水系统</w:t>
          </w:r>
          <w:r>
            <w:rPr>
              <w:sz w:val="24"/>
              <w:szCs w:val="24"/>
            </w:rPr>
            <w:tab/>
          </w:r>
          <w:r>
            <w:rPr>
              <w:sz w:val="24"/>
              <w:szCs w:val="24"/>
            </w:rPr>
            <w:fldChar w:fldCharType="begin"/>
          </w:r>
          <w:r>
            <w:rPr>
              <w:sz w:val="24"/>
              <w:szCs w:val="24"/>
            </w:rPr>
            <w:instrText xml:space="preserve"> PAGEREF _Toc28623 \h </w:instrText>
          </w:r>
          <w:r>
            <w:rPr>
              <w:sz w:val="24"/>
              <w:szCs w:val="24"/>
            </w:rPr>
            <w:fldChar w:fldCharType="separate"/>
          </w:r>
          <w:r>
            <w:rPr>
              <w:sz w:val="24"/>
              <w:szCs w:val="24"/>
            </w:rPr>
            <w:t>53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E1C428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_Toc13219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2.3.2 供电工程</w:t>
          </w:r>
          <w:r>
            <w:rPr>
              <w:sz w:val="24"/>
              <w:szCs w:val="24"/>
            </w:rPr>
            <w:tab/>
          </w:r>
          <w:r>
            <w:rPr>
              <w:sz w:val="24"/>
              <w:szCs w:val="24"/>
            </w:rPr>
            <w:fldChar w:fldCharType="begin"/>
          </w:r>
          <w:r>
            <w:rPr>
              <w:sz w:val="24"/>
              <w:szCs w:val="24"/>
            </w:rPr>
            <w:instrText xml:space="preserve"> PAGEREF _Toc13219 \h </w:instrText>
          </w:r>
          <w:r>
            <w:rPr>
              <w:sz w:val="24"/>
              <w:szCs w:val="24"/>
            </w:rPr>
            <w:fldChar w:fldCharType="separate"/>
          </w:r>
          <w:r>
            <w:rPr>
              <w:sz w:val="24"/>
              <w:szCs w:val="24"/>
            </w:rPr>
            <w:t>60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546736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_Toc2258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2.3.3 供热工程</w:t>
          </w:r>
          <w:r>
            <w:rPr>
              <w:sz w:val="24"/>
              <w:szCs w:val="24"/>
            </w:rPr>
            <w:tab/>
          </w:r>
          <w:r>
            <w:rPr>
              <w:sz w:val="24"/>
              <w:szCs w:val="24"/>
            </w:rPr>
            <w:fldChar w:fldCharType="begin"/>
          </w:r>
          <w:r>
            <w:rPr>
              <w:sz w:val="24"/>
              <w:szCs w:val="24"/>
            </w:rPr>
            <w:instrText xml:space="preserve"> PAGEREF _Toc2258 \h </w:instrText>
          </w:r>
          <w:r>
            <w:rPr>
              <w:sz w:val="24"/>
              <w:szCs w:val="24"/>
            </w:rPr>
            <w:fldChar w:fldCharType="separate"/>
          </w:r>
          <w:r>
            <w:rPr>
              <w:sz w:val="24"/>
              <w:szCs w:val="24"/>
            </w:rPr>
            <w:t>61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4BE81DD">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_Toc23022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2.3.4供气</w:t>
          </w:r>
          <w:r>
            <w:rPr>
              <w:sz w:val="24"/>
              <w:szCs w:val="24"/>
            </w:rPr>
            <w:tab/>
          </w:r>
          <w:r>
            <w:rPr>
              <w:sz w:val="24"/>
              <w:szCs w:val="24"/>
            </w:rPr>
            <w:fldChar w:fldCharType="begin"/>
          </w:r>
          <w:r>
            <w:rPr>
              <w:sz w:val="24"/>
              <w:szCs w:val="24"/>
            </w:rPr>
            <w:instrText xml:space="preserve"> PAGEREF _Toc23022 \h </w:instrText>
          </w:r>
          <w:r>
            <w:rPr>
              <w:sz w:val="24"/>
              <w:szCs w:val="24"/>
            </w:rPr>
            <w:fldChar w:fldCharType="separate"/>
          </w:r>
          <w:r>
            <w:rPr>
              <w:sz w:val="24"/>
              <w:szCs w:val="24"/>
            </w:rPr>
            <w:t>61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1438F2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_Toc7312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2.3.5 暖通及空调系统 、循环冷却水系统</w:t>
          </w:r>
          <w:r>
            <w:rPr>
              <w:sz w:val="24"/>
              <w:szCs w:val="24"/>
            </w:rPr>
            <w:tab/>
          </w:r>
          <w:r>
            <w:rPr>
              <w:sz w:val="24"/>
              <w:szCs w:val="24"/>
            </w:rPr>
            <w:fldChar w:fldCharType="begin"/>
          </w:r>
          <w:r>
            <w:rPr>
              <w:sz w:val="24"/>
              <w:szCs w:val="24"/>
            </w:rPr>
            <w:instrText xml:space="preserve"> PAGEREF _Toc7312 \h </w:instrText>
          </w:r>
          <w:r>
            <w:rPr>
              <w:sz w:val="24"/>
              <w:szCs w:val="24"/>
            </w:rPr>
            <w:fldChar w:fldCharType="separate"/>
          </w:r>
          <w:r>
            <w:rPr>
              <w:sz w:val="24"/>
              <w:szCs w:val="24"/>
            </w:rPr>
            <w:t>61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6B3E45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_Toc31485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2.3.6新风系统</w:t>
          </w:r>
          <w:r>
            <w:rPr>
              <w:sz w:val="24"/>
              <w:szCs w:val="24"/>
            </w:rPr>
            <w:tab/>
          </w:r>
          <w:r>
            <w:rPr>
              <w:sz w:val="24"/>
              <w:szCs w:val="24"/>
            </w:rPr>
            <w:fldChar w:fldCharType="begin"/>
          </w:r>
          <w:r>
            <w:rPr>
              <w:sz w:val="24"/>
              <w:szCs w:val="24"/>
            </w:rPr>
            <w:instrText xml:space="preserve"> PAGEREF _Toc31485 \h </w:instrText>
          </w:r>
          <w:r>
            <w:rPr>
              <w:sz w:val="24"/>
              <w:szCs w:val="24"/>
            </w:rPr>
            <w:fldChar w:fldCharType="separate"/>
          </w:r>
          <w:r>
            <w:rPr>
              <w:sz w:val="24"/>
              <w:szCs w:val="24"/>
            </w:rPr>
            <w:t>63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D5E97A6">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_Toc21547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2.4项目劳动定员及工作制度</w:t>
          </w:r>
          <w:r>
            <w:rPr>
              <w:sz w:val="24"/>
              <w:szCs w:val="24"/>
            </w:rPr>
            <w:tab/>
          </w:r>
          <w:r>
            <w:rPr>
              <w:sz w:val="24"/>
              <w:szCs w:val="24"/>
            </w:rPr>
            <w:fldChar w:fldCharType="begin"/>
          </w:r>
          <w:r>
            <w:rPr>
              <w:sz w:val="24"/>
              <w:szCs w:val="24"/>
            </w:rPr>
            <w:instrText xml:space="preserve"> PAGEREF _Toc21547 \h </w:instrText>
          </w:r>
          <w:r>
            <w:rPr>
              <w:sz w:val="24"/>
              <w:szCs w:val="24"/>
            </w:rPr>
            <w:fldChar w:fldCharType="separate"/>
          </w:r>
          <w:r>
            <w:rPr>
              <w:sz w:val="24"/>
              <w:szCs w:val="24"/>
            </w:rPr>
            <w:t>63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1F4C2A5">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_Toc24734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3.工程分析</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_Toc24734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65</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401AF79A">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_Toc29891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3.1 施工期工艺流程及产污位置</w:t>
          </w:r>
          <w:r>
            <w:rPr>
              <w:sz w:val="24"/>
              <w:szCs w:val="24"/>
            </w:rPr>
            <w:tab/>
          </w:r>
          <w:r>
            <w:rPr>
              <w:sz w:val="24"/>
              <w:szCs w:val="24"/>
            </w:rPr>
            <w:fldChar w:fldCharType="begin"/>
          </w:r>
          <w:r>
            <w:rPr>
              <w:sz w:val="24"/>
              <w:szCs w:val="24"/>
            </w:rPr>
            <w:instrText xml:space="preserve"> PAGEREF _Toc29891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975367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_Toc29157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施工期主要污染工序</w:t>
          </w:r>
          <w:r>
            <w:rPr>
              <w:sz w:val="24"/>
              <w:szCs w:val="24"/>
            </w:rPr>
            <w:tab/>
          </w:r>
          <w:r>
            <w:rPr>
              <w:sz w:val="24"/>
              <w:szCs w:val="24"/>
            </w:rPr>
            <w:fldChar w:fldCharType="begin"/>
          </w:r>
          <w:r>
            <w:rPr>
              <w:sz w:val="24"/>
              <w:szCs w:val="24"/>
            </w:rPr>
            <w:instrText xml:space="preserve"> PAGEREF _Toc29157 \h </w:instrText>
          </w:r>
          <w:r>
            <w:rPr>
              <w:sz w:val="24"/>
              <w:szCs w:val="24"/>
            </w:rPr>
            <w:fldChar w:fldCharType="separate"/>
          </w:r>
          <w:r>
            <w:rPr>
              <w:sz w:val="24"/>
              <w:szCs w:val="24"/>
            </w:rPr>
            <w:t>65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B851C3C">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_Toc25600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施工期污染物排放及治理</w:t>
          </w:r>
          <w:r>
            <w:rPr>
              <w:sz w:val="24"/>
              <w:szCs w:val="24"/>
            </w:rPr>
            <w:tab/>
          </w:r>
          <w:r>
            <w:rPr>
              <w:sz w:val="24"/>
              <w:szCs w:val="24"/>
            </w:rPr>
            <w:fldChar w:fldCharType="begin"/>
          </w:r>
          <w:r>
            <w:rPr>
              <w:sz w:val="24"/>
              <w:szCs w:val="24"/>
            </w:rPr>
            <w:instrText xml:space="preserve"> PAGEREF _Toc25600 \h </w:instrText>
          </w:r>
          <w:r>
            <w:rPr>
              <w:sz w:val="24"/>
              <w:szCs w:val="24"/>
            </w:rPr>
            <w:fldChar w:fldCharType="separate"/>
          </w:r>
          <w:r>
            <w:rPr>
              <w:sz w:val="24"/>
              <w:szCs w:val="24"/>
            </w:rPr>
            <w:t>66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05F081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_Toc20125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运营期工程分析</w:t>
          </w:r>
          <w:r>
            <w:rPr>
              <w:sz w:val="24"/>
              <w:szCs w:val="24"/>
            </w:rPr>
            <w:tab/>
          </w:r>
          <w:r>
            <w:rPr>
              <w:sz w:val="24"/>
              <w:szCs w:val="24"/>
            </w:rPr>
            <w:fldChar w:fldCharType="begin"/>
          </w:r>
          <w:r>
            <w:rPr>
              <w:sz w:val="24"/>
              <w:szCs w:val="24"/>
            </w:rPr>
            <w:instrText xml:space="preserve"> PAGEREF _Toc20125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5EDB18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_Toc5036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.1运营期工艺流程及产污环节</w:t>
          </w:r>
          <w:r>
            <w:rPr>
              <w:sz w:val="24"/>
              <w:szCs w:val="24"/>
            </w:rPr>
            <w:tab/>
          </w:r>
          <w:r>
            <w:rPr>
              <w:sz w:val="24"/>
              <w:szCs w:val="24"/>
            </w:rPr>
            <w:fldChar w:fldCharType="begin"/>
          </w:r>
          <w:r>
            <w:rPr>
              <w:sz w:val="24"/>
              <w:szCs w:val="24"/>
            </w:rPr>
            <w:instrText xml:space="preserve"> PAGEREF _Toc5036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C5A3FAF">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_Toc7869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3.2.2 项目工艺流程产污位置</w:t>
          </w:r>
          <w:r>
            <w:rPr>
              <w:sz w:val="24"/>
              <w:szCs w:val="24"/>
            </w:rPr>
            <w:tab/>
          </w:r>
          <w:r>
            <w:rPr>
              <w:sz w:val="24"/>
              <w:szCs w:val="24"/>
            </w:rPr>
            <w:fldChar w:fldCharType="begin"/>
          </w:r>
          <w:r>
            <w:rPr>
              <w:sz w:val="24"/>
              <w:szCs w:val="24"/>
            </w:rPr>
            <w:instrText xml:space="preserve"> PAGEREF _Toc7869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A7A49E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_Toc8345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3.2.3营运污染物排放及治理措施</w:t>
          </w:r>
          <w:r>
            <w:rPr>
              <w:sz w:val="24"/>
              <w:szCs w:val="24"/>
            </w:rPr>
            <w:tab/>
          </w:r>
          <w:r>
            <w:rPr>
              <w:sz w:val="24"/>
              <w:szCs w:val="24"/>
            </w:rPr>
            <w:fldChar w:fldCharType="begin"/>
          </w:r>
          <w:r>
            <w:rPr>
              <w:sz w:val="24"/>
              <w:szCs w:val="24"/>
            </w:rPr>
            <w:instrText xml:space="preserve"> PAGEREF _Toc8345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D514FA0">
          <w:pPr>
            <w:pStyle w:val="4"/>
            <w:keepNext w:val="0"/>
            <w:keepLines w:val="0"/>
            <w:pageBreakBefore w:val="0"/>
            <w:widowControl w:val="0"/>
            <w:tabs>
              <w:tab w:val="right" w:pos="3600"/>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_Toc8886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ab/>
          </w:r>
          <w:r>
            <w:rPr>
              <w:rFonts w:hint="default" w:ascii="Times New Roman" w:hAnsi="Times New Roman" w:eastAsia="宋体" w:cs="Times New Roman"/>
              <w:sz w:val="24"/>
              <w:szCs w:val="24"/>
              <w:lang w:val="en-US" w:eastAsia="zh-CN"/>
            </w:rPr>
            <w:t>4运营期污染物产生及排放情况统计</w:t>
          </w:r>
          <w:r>
            <w:rPr>
              <w:sz w:val="24"/>
              <w:szCs w:val="24"/>
            </w:rPr>
            <w:tab/>
          </w:r>
          <w:r>
            <w:rPr>
              <w:sz w:val="24"/>
              <w:szCs w:val="24"/>
            </w:rPr>
            <w:fldChar w:fldCharType="begin"/>
          </w:r>
          <w:r>
            <w:rPr>
              <w:sz w:val="24"/>
              <w:szCs w:val="24"/>
            </w:rPr>
            <w:instrText xml:space="preserve"> PAGEREF _Toc8886 \h </w:instrText>
          </w:r>
          <w:r>
            <w:rPr>
              <w:sz w:val="24"/>
              <w:szCs w:val="24"/>
            </w:rPr>
            <w:fldChar w:fldCharType="separate"/>
          </w:r>
          <w:r>
            <w:rPr>
              <w:sz w:val="24"/>
              <w:szCs w:val="24"/>
            </w:rPr>
            <w:t>97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6D79DD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_Toc19438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3.2.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非正常工况排放污染源分析</w:t>
          </w:r>
          <w:r>
            <w:rPr>
              <w:sz w:val="24"/>
              <w:szCs w:val="24"/>
            </w:rPr>
            <w:tab/>
          </w:r>
          <w:r>
            <w:rPr>
              <w:sz w:val="24"/>
              <w:szCs w:val="24"/>
            </w:rPr>
            <w:fldChar w:fldCharType="begin"/>
          </w:r>
          <w:r>
            <w:rPr>
              <w:sz w:val="24"/>
              <w:szCs w:val="24"/>
            </w:rPr>
            <w:instrText xml:space="preserve"> PAGEREF _Toc19438 \h </w:instrText>
          </w:r>
          <w:r>
            <w:rPr>
              <w:sz w:val="24"/>
              <w:szCs w:val="24"/>
            </w:rPr>
            <w:fldChar w:fldCharType="separate"/>
          </w:r>
          <w:r>
            <w:rPr>
              <w:sz w:val="24"/>
              <w:szCs w:val="24"/>
            </w:rPr>
            <w:t>100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2A1306C">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_Toc27569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4环境现状调查与评价</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_Toc27569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101</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616ACADA">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_Toc18429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4.1自然环境概况</w:t>
          </w:r>
          <w:r>
            <w:rPr>
              <w:sz w:val="24"/>
              <w:szCs w:val="24"/>
            </w:rPr>
            <w:tab/>
          </w:r>
          <w:r>
            <w:rPr>
              <w:sz w:val="24"/>
              <w:szCs w:val="24"/>
            </w:rPr>
            <w:fldChar w:fldCharType="begin"/>
          </w:r>
          <w:r>
            <w:rPr>
              <w:sz w:val="24"/>
              <w:szCs w:val="24"/>
            </w:rPr>
            <w:instrText xml:space="preserve"> PAGEREF _Toc18429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D66D03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_Toc235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4.1.1地理位置</w:t>
          </w:r>
          <w:r>
            <w:rPr>
              <w:sz w:val="24"/>
              <w:szCs w:val="24"/>
            </w:rPr>
            <w:tab/>
          </w:r>
          <w:r>
            <w:rPr>
              <w:sz w:val="24"/>
              <w:szCs w:val="24"/>
            </w:rPr>
            <w:fldChar w:fldCharType="begin"/>
          </w:r>
          <w:r>
            <w:rPr>
              <w:sz w:val="24"/>
              <w:szCs w:val="24"/>
            </w:rPr>
            <w:instrText xml:space="preserve"> PAGEREF _Toc235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B25B0C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_Toc1145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4.1.2水文</w:t>
          </w:r>
          <w:r>
            <w:rPr>
              <w:sz w:val="24"/>
              <w:szCs w:val="24"/>
            </w:rPr>
            <w:tab/>
          </w:r>
          <w:r>
            <w:rPr>
              <w:sz w:val="24"/>
              <w:szCs w:val="24"/>
            </w:rPr>
            <w:fldChar w:fldCharType="begin"/>
          </w:r>
          <w:r>
            <w:rPr>
              <w:sz w:val="24"/>
              <w:szCs w:val="24"/>
            </w:rPr>
            <w:instrText xml:space="preserve"> PAGEREF _Toc1145 \h </w:instrText>
          </w:r>
          <w:r>
            <w:rPr>
              <w:sz w:val="24"/>
              <w:szCs w:val="24"/>
            </w:rPr>
            <w:fldChar w:fldCharType="separate"/>
          </w:r>
          <w:r>
            <w:rPr>
              <w:sz w:val="24"/>
              <w:szCs w:val="24"/>
            </w:rPr>
            <w:t>101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43011D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_Toc3448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4.1.3气候气象</w:t>
          </w:r>
          <w:r>
            <w:rPr>
              <w:sz w:val="24"/>
              <w:szCs w:val="24"/>
            </w:rPr>
            <w:tab/>
          </w:r>
          <w:r>
            <w:rPr>
              <w:sz w:val="24"/>
              <w:szCs w:val="24"/>
            </w:rPr>
            <w:fldChar w:fldCharType="begin"/>
          </w:r>
          <w:r>
            <w:rPr>
              <w:sz w:val="24"/>
              <w:szCs w:val="24"/>
            </w:rPr>
            <w:instrText xml:space="preserve"> PAGEREF _Toc3448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F9BF0FC">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_Toc7028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4.1.4自然资源</w:t>
          </w:r>
          <w:r>
            <w:rPr>
              <w:sz w:val="24"/>
              <w:szCs w:val="24"/>
            </w:rPr>
            <w:tab/>
          </w:r>
          <w:r>
            <w:rPr>
              <w:sz w:val="24"/>
              <w:szCs w:val="24"/>
            </w:rPr>
            <w:fldChar w:fldCharType="begin"/>
          </w:r>
          <w:r>
            <w:rPr>
              <w:sz w:val="24"/>
              <w:szCs w:val="24"/>
            </w:rPr>
            <w:instrText xml:space="preserve"> PAGEREF _Toc7028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7A7EF41">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_Toc2761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周边污染源分析</w:t>
          </w:r>
          <w:r>
            <w:rPr>
              <w:sz w:val="24"/>
              <w:szCs w:val="24"/>
            </w:rPr>
            <w:tab/>
          </w:r>
          <w:r>
            <w:rPr>
              <w:sz w:val="24"/>
              <w:szCs w:val="24"/>
            </w:rPr>
            <w:fldChar w:fldCharType="begin"/>
          </w:r>
          <w:r>
            <w:rPr>
              <w:sz w:val="24"/>
              <w:szCs w:val="24"/>
            </w:rPr>
            <w:instrText xml:space="preserve"> PAGEREF _Toc2761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BD07E7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_Toc18082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4.3 与项目有关的原有环境问题</w:t>
          </w:r>
          <w:r>
            <w:rPr>
              <w:sz w:val="24"/>
              <w:szCs w:val="24"/>
            </w:rPr>
            <w:tab/>
          </w:r>
          <w:r>
            <w:rPr>
              <w:sz w:val="24"/>
              <w:szCs w:val="24"/>
            </w:rPr>
            <w:fldChar w:fldCharType="begin"/>
          </w:r>
          <w:r>
            <w:rPr>
              <w:sz w:val="24"/>
              <w:szCs w:val="24"/>
            </w:rPr>
            <w:instrText xml:space="preserve"> PAGEREF _Toc18082 \h </w:instrText>
          </w:r>
          <w:r>
            <w:rPr>
              <w:sz w:val="24"/>
              <w:szCs w:val="24"/>
            </w:rPr>
            <w:fldChar w:fldCharType="separate"/>
          </w:r>
          <w:r>
            <w:rPr>
              <w:sz w:val="24"/>
              <w:szCs w:val="24"/>
            </w:rPr>
            <w:t>103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9FCD79B">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_Toc16843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5.环境质量现状调查</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_Toc16843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104</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5FC98616">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_Toc23940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5.1</w:t>
          </w:r>
          <w:r>
            <w:rPr>
              <w:rFonts w:hint="default" w:ascii="Times New Roman" w:hAnsi="Times New Roman" w:eastAsia="宋体" w:cs="Times New Roman"/>
              <w:sz w:val="24"/>
              <w:szCs w:val="24"/>
            </w:rPr>
            <w:t>环境质量现状调查及评价</w:t>
          </w:r>
          <w:r>
            <w:rPr>
              <w:sz w:val="24"/>
              <w:szCs w:val="24"/>
            </w:rPr>
            <w:tab/>
          </w:r>
          <w:r>
            <w:rPr>
              <w:sz w:val="24"/>
              <w:szCs w:val="24"/>
            </w:rPr>
            <w:fldChar w:fldCharType="begin"/>
          </w:r>
          <w:r>
            <w:rPr>
              <w:sz w:val="24"/>
              <w:szCs w:val="24"/>
            </w:rPr>
            <w:instrText xml:space="preserve"> PAGEREF _Toc23940 \h </w:instrText>
          </w:r>
          <w:r>
            <w:rPr>
              <w:sz w:val="24"/>
              <w:szCs w:val="24"/>
            </w:rPr>
            <w:fldChar w:fldCharType="separate"/>
          </w:r>
          <w:r>
            <w:rPr>
              <w:sz w:val="24"/>
              <w:szCs w:val="24"/>
            </w:rPr>
            <w:t>104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EA7901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_Toc31024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5.1</w:t>
          </w:r>
          <w:r>
            <w:rPr>
              <w:rFonts w:hint="default" w:ascii="Times New Roman" w:hAnsi="Times New Roman" w:eastAsia="宋体" w:cs="Times New Roman"/>
              <w:sz w:val="24"/>
              <w:szCs w:val="24"/>
            </w:rPr>
            <w:t>.1大气环境现状调查</w:t>
          </w:r>
          <w:r>
            <w:rPr>
              <w:sz w:val="24"/>
              <w:szCs w:val="24"/>
            </w:rPr>
            <w:tab/>
          </w:r>
          <w:r>
            <w:rPr>
              <w:sz w:val="24"/>
              <w:szCs w:val="24"/>
            </w:rPr>
            <w:fldChar w:fldCharType="begin"/>
          </w:r>
          <w:r>
            <w:rPr>
              <w:sz w:val="24"/>
              <w:szCs w:val="24"/>
            </w:rPr>
            <w:instrText xml:space="preserve"> PAGEREF _Toc31024 \h </w:instrText>
          </w:r>
          <w:r>
            <w:rPr>
              <w:sz w:val="24"/>
              <w:szCs w:val="24"/>
            </w:rPr>
            <w:fldChar w:fldCharType="separate"/>
          </w:r>
          <w:r>
            <w:rPr>
              <w:sz w:val="24"/>
              <w:szCs w:val="24"/>
            </w:rPr>
            <w:t>104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64852E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_Toc4828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.2地表水环境质量现状调查</w:t>
          </w:r>
          <w:r>
            <w:rPr>
              <w:sz w:val="24"/>
              <w:szCs w:val="24"/>
            </w:rPr>
            <w:tab/>
          </w:r>
          <w:r>
            <w:rPr>
              <w:sz w:val="24"/>
              <w:szCs w:val="24"/>
            </w:rPr>
            <w:fldChar w:fldCharType="begin"/>
          </w:r>
          <w:r>
            <w:rPr>
              <w:sz w:val="24"/>
              <w:szCs w:val="24"/>
            </w:rPr>
            <w:instrText xml:space="preserve"> PAGEREF _Toc4828 \h </w:instrText>
          </w:r>
          <w:r>
            <w:rPr>
              <w:sz w:val="24"/>
              <w:szCs w:val="24"/>
            </w:rPr>
            <w:fldChar w:fldCharType="separate"/>
          </w:r>
          <w:r>
            <w:rPr>
              <w:sz w:val="24"/>
              <w:szCs w:val="24"/>
            </w:rPr>
            <w:t>106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685B8F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_Toc13666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5.1</w:t>
          </w:r>
          <w:r>
            <w:rPr>
              <w:rFonts w:hint="default" w:ascii="Times New Roman" w:hAnsi="Times New Roman" w:eastAsia="宋体" w:cs="Times New Roman"/>
              <w:sz w:val="24"/>
              <w:szCs w:val="24"/>
            </w:rPr>
            <w:t>.3声环境现状调查</w:t>
          </w:r>
          <w:r>
            <w:rPr>
              <w:sz w:val="24"/>
              <w:szCs w:val="24"/>
            </w:rPr>
            <w:tab/>
          </w:r>
          <w:r>
            <w:rPr>
              <w:sz w:val="24"/>
              <w:szCs w:val="24"/>
            </w:rPr>
            <w:fldChar w:fldCharType="begin"/>
          </w:r>
          <w:r>
            <w:rPr>
              <w:sz w:val="24"/>
              <w:szCs w:val="24"/>
            </w:rPr>
            <w:instrText xml:space="preserve"> PAGEREF _Toc13666 \h </w:instrText>
          </w:r>
          <w:r>
            <w:rPr>
              <w:sz w:val="24"/>
              <w:szCs w:val="24"/>
            </w:rPr>
            <w:fldChar w:fldCharType="separate"/>
          </w:r>
          <w:r>
            <w:rPr>
              <w:sz w:val="24"/>
              <w:szCs w:val="24"/>
            </w:rPr>
            <w:t>107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F9CF11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_Toc4697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5.1.4地下水监测</w:t>
          </w:r>
          <w:r>
            <w:rPr>
              <w:sz w:val="24"/>
              <w:szCs w:val="24"/>
            </w:rPr>
            <w:tab/>
          </w:r>
          <w:r>
            <w:rPr>
              <w:sz w:val="24"/>
              <w:szCs w:val="24"/>
            </w:rPr>
            <w:fldChar w:fldCharType="begin"/>
          </w:r>
          <w:r>
            <w:rPr>
              <w:sz w:val="24"/>
              <w:szCs w:val="24"/>
            </w:rPr>
            <w:instrText xml:space="preserve"> PAGEREF _Toc4697 \h </w:instrText>
          </w:r>
          <w:r>
            <w:rPr>
              <w:sz w:val="24"/>
              <w:szCs w:val="24"/>
            </w:rPr>
            <w:fldChar w:fldCharType="separate"/>
          </w:r>
          <w:r>
            <w:rPr>
              <w:sz w:val="24"/>
              <w:szCs w:val="24"/>
            </w:rPr>
            <w:t>108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85BB35E">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_Toc1260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5.1.5土壤环境质量</w:t>
          </w:r>
          <w:r>
            <w:rPr>
              <w:sz w:val="24"/>
              <w:szCs w:val="24"/>
            </w:rPr>
            <w:tab/>
          </w:r>
          <w:r>
            <w:rPr>
              <w:sz w:val="24"/>
              <w:szCs w:val="24"/>
            </w:rPr>
            <w:fldChar w:fldCharType="begin"/>
          </w:r>
          <w:r>
            <w:rPr>
              <w:sz w:val="24"/>
              <w:szCs w:val="24"/>
            </w:rPr>
            <w:instrText xml:space="preserve"> PAGEREF _Toc1260 \h </w:instrText>
          </w:r>
          <w:r>
            <w:rPr>
              <w:sz w:val="24"/>
              <w:szCs w:val="24"/>
            </w:rPr>
            <w:fldChar w:fldCharType="separate"/>
          </w:r>
          <w:r>
            <w:rPr>
              <w:sz w:val="24"/>
              <w:szCs w:val="24"/>
            </w:rPr>
            <w:t>111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09B18F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_Toc19805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bCs w:val="0"/>
              <w:i w:val="0"/>
              <w:iCs w:val="0"/>
              <w:caps w:val="0"/>
              <w:spacing w:val="0"/>
              <w:kern w:val="0"/>
              <w:sz w:val="24"/>
              <w:szCs w:val="24"/>
              <w:shd w:val="clear" w:fill="FFFFFF"/>
              <w:lang w:val="en-US" w:eastAsia="zh-CN" w:bidi="ar"/>
            </w:rPr>
            <w:t>5.1.6生态环境现状</w:t>
          </w:r>
          <w:r>
            <w:rPr>
              <w:sz w:val="24"/>
              <w:szCs w:val="24"/>
            </w:rPr>
            <w:tab/>
          </w:r>
          <w:r>
            <w:rPr>
              <w:sz w:val="24"/>
              <w:szCs w:val="24"/>
            </w:rPr>
            <w:fldChar w:fldCharType="begin"/>
          </w:r>
          <w:r>
            <w:rPr>
              <w:sz w:val="24"/>
              <w:szCs w:val="24"/>
            </w:rPr>
            <w:instrText xml:space="preserve"> PAGEREF _Toc19805 \h </w:instrText>
          </w:r>
          <w:r>
            <w:rPr>
              <w:sz w:val="24"/>
              <w:szCs w:val="24"/>
            </w:rPr>
            <w:fldChar w:fldCharType="separate"/>
          </w:r>
          <w:r>
            <w:rPr>
              <w:sz w:val="24"/>
              <w:szCs w:val="24"/>
            </w:rPr>
            <w:t>111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2B245E0">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_Toc20786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6环境影响预测与评价</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_Toc20786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113</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40FDAE5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_Toc24042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.1施工期环境影响评价</w:t>
          </w:r>
          <w:r>
            <w:rPr>
              <w:sz w:val="24"/>
              <w:szCs w:val="24"/>
            </w:rPr>
            <w:tab/>
          </w:r>
          <w:r>
            <w:rPr>
              <w:sz w:val="24"/>
              <w:szCs w:val="24"/>
            </w:rPr>
            <w:fldChar w:fldCharType="begin"/>
          </w:r>
          <w:r>
            <w:rPr>
              <w:sz w:val="24"/>
              <w:szCs w:val="24"/>
            </w:rPr>
            <w:instrText xml:space="preserve"> PAGEREF _Toc24042 \h </w:instrText>
          </w:r>
          <w:r>
            <w:rPr>
              <w:sz w:val="24"/>
              <w:szCs w:val="24"/>
            </w:rPr>
            <w:fldChar w:fldCharType="separate"/>
          </w:r>
          <w:r>
            <w:rPr>
              <w:sz w:val="24"/>
              <w:szCs w:val="24"/>
            </w:rPr>
            <w:t>113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1E6116E">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_Toc8204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6.1.1施工期大气环境影响分析</w:t>
          </w:r>
          <w:r>
            <w:rPr>
              <w:sz w:val="24"/>
              <w:szCs w:val="24"/>
            </w:rPr>
            <w:tab/>
          </w:r>
          <w:r>
            <w:rPr>
              <w:sz w:val="24"/>
              <w:szCs w:val="24"/>
            </w:rPr>
            <w:fldChar w:fldCharType="begin"/>
          </w:r>
          <w:r>
            <w:rPr>
              <w:sz w:val="24"/>
              <w:szCs w:val="24"/>
            </w:rPr>
            <w:instrText xml:space="preserve"> PAGEREF _Toc8204 \h </w:instrText>
          </w:r>
          <w:r>
            <w:rPr>
              <w:sz w:val="24"/>
              <w:szCs w:val="24"/>
            </w:rPr>
            <w:fldChar w:fldCharType="separate"/>
          </w:r>
          <w:r>
            <w:rPr>
              <w:sz w:val="24"/>
              <w:szCs w:val="24"/>
            </w:rPr>
            <w:t>113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FFBC00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_Toc8109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6.1.2 施工期地表水环境影响分析</w:t>
          </w:r>
          <w:r>
            <w:rPr>
              <w:sz w:val="24"/>
              <w:szCs w:val="24"/>
            </w:rPr>
            <w:tab/>
          </w:r>
          <w:r>
            <w:rPr>
              <w:sz w:val="24"/>
              <w:szCs w:val="24"/>
            </w:rPr>
            <w:fldChar w:fldCharType="begin"/>
          </w:r>
          <w:r>
            <w:rPr>
              <w:sz w:val="24"/>
              <w:szCs w:val="24"/>
            </w:rPr>
            <w:instrText xml:space="preserve"> PAGEREF _Toc8109 \h </w:instrText>
          </w:r>
          <w:r>
            <w:rPr>
              <w:sz w:val="24"/>
              <w:szCs w:val="24"/>
            </w:rPr>
            <w:fldChar w:fldCharType="separate"/>
          </w:r>
          <w:r>
            <w:rPr>
              <w:sz w:val="24"/>
              <w:szCs w:val="24"/>
            </w:rPr>
            <w:t>114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8165C1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_Toc17309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6.1.3 地下水环境影响分析</w:t>
          </w:r>
          <w:r>
            <w:rPr>
              <w:sz w:val="24"/>
              <w:szCs w:val="24"/>
            </w:rPr>
            <w:tab/>
          </w:r>
          <w:r>
            <w:rPr>
              <w:sz w:val="24"/>
              <w:szCs w:val="24"/>
            </w:rPr>
            <w:fldChar w:fldCharType="begin"/>
          </w:r>
          <w:r>
            <w:rPr>
              <w:sz w:val="24"/>
              <w:szCs w:val="24"/>
            </w:rPr>
            <w:instrText xml:space="preserve"> PAGEREF _Toc17309 \h </w:instrText>
          </w:r>
          <w:r>
            <w:rPr>
              <w:sz w:val="24"/>
              <w:szCs w:val="24"/>
            </w:rPr>
            <w:fldChar w:fldCharType="separate"/>
          </w:r>
          <w:r>
            <w:rPr>
              <w:sz w:val="24"/>
              <w:szCs w:val="24"/>
            </w:rPr>
            <w:t>115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F5BE8B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_Toc32494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6.1.4 施工噪声对周围声环境的影响</w:t>
          </w:r>
          <w:r>
            <w:rPr>
              <w:sz w:val="24"/>
              <w:szCs w:val="24"/>
            </w:rPr>
            <w:tab/>
          </w:r>
          <w:r>
            <w:rPr>
              <w:sz w:val="24"/>
              <w:szCs w:val="24"/>
            </w:rPr>
            <w:fldChar w:fldCharType="begin"/>
          </w:r>
          <w:r>
            <w:rPr>
              <w:sz w:val="24"/>
              <w:szCs w:val="24"/>
            </w:rPr>
            <w:instrText xml:space="preserve"> PAGEREF _Toc32494 \h </w:instrText>
          </w:r>
          <w:r>
            <w:rPr>
              <w:sz w:val="24"/>
              <w:szCs w:val="24"/>
            </w:rPr>
            <w:fldChar w:fldCharType="separate"/>
          </w:r>
          <w:r>
            <w:rPr>
              <w:sz w:val="24"/>
              <w:szCs w:val="24"/>
            </w:rPr>
            <w:t>116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8B13A2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_Toc18942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6.1.5 施工期固体废物影响分析</w:t>
          </w:r>
          <w:r>
            <w:rPr>
              <w:sz w:val="24"/>
              <w:szCs w:val="24"/>
            </w:rPr>
            <w:tab/>
          </w:r>
          <w:r>
            <w:rPr>
              <w:sz w:val="24"/>
              <w:szCs w:val="24"/>
            </w:rPr>
            <w:fldChar w:fldCharType="begin"/>
          </w:r>
          <w:r>
            <w:rPr>
              <w:sz w:val="24"/>
              <w:szCs w:val="24"/>
            </w:rPr>
            <w:instrText xml:space="preserve"> PAGEREF _Toc18942 \h </w:instrText>
          </w:r>
          <w:r>
            <w:rPr>
              <w:sz w:val="24"/>
              <w:szCs w:val="24"/>
            </w:rPr>
            <w:fldChar w:fldCharType="separate"/>
          </w:r>
          <w:r>
            <w:rPr>
              <w:sz w:val="24"/>
              <w:szCs w:val="24"/>
            </w:rPr>
            <w:t>118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85C9BF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_Toc25390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6.1.6 施工期的生态环境影响分析</w:t>
          </w:r>
          <w:r>
            <w:rPr>
              <w:sz w:val="24"/>
              <w:szCs w:val="24"/>
            </w:rPr>
            <w:tab/>
          </w:r>
          <w:r>
            <w:rPr>
              <w:sz w:val="24"/>
              <w:szCs w:val="24"/>
            </w:rPr>
            <w:fldChar w:fldCharType="begin"/>
          </w:r>
          <w:r>
            <w:rPr>
              <w:sz w:val="24"/>
              <w:szCs w:val="24"/>
            </w:rPr>
            <w:instrText xml:space="preserve"> PAGEREF _Toc25390 \h </w:instrText>
          </w:r>
          <w:r>
            <w:rPr>
              <w:sz w:val="24"/>
              <w:szCs w:val="24"/>
            </w:rPr>
            <w:fldChar w:fldCharType="separate"/>
          </w:r>
          <w:r>
            <w:rPr>
              <w:sz w:val="24"/>
              <w:szCs w:val="24"/>
            </w:rPr>
            <w:t>118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35001BE">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_Toc22842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6.1.7 施工期环境影响分析小结</w:t>
          </w:r>
          <w:r>
            <w:rPr>
              <w:sz w:val="24"/>
              <w:szCs w:val="24"/>
            </w:rPr>
            <w:tab/>
          </w:r>
          <w:r>
            <w:rPr>
              <w:sz w:val="24"/>
              <w:szCs w:val="24"/>
            </w:rPr>
            <w:fldChar w:fldCharType="begin"/>
          </w:r>
          <w:r>
            <w:rPr>
              <w:sz w:val="24"/>
              <w:szCs w:val="24"/>
            </w:rPr>
            <w:instrText xml:space="preserve"> PAGEREF _Toc22842 \h </w:instrText>
          </w:r>
          <w:r>
            <w:rPr>
              <w:sz w:val="24"/>
              <w:szCs w:val="24"/>
            </w:rPr>
            <w:fldChar w:fldCharType="separate"/>
          </w:r>
          <w:r>
            <w:rPr>
              <w:sz w:val="24"/>
              <w:szCs w:val="24"/>
            </w:rPr>
            <w:t>119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6B04E3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_Toc32210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6.2 项目营运期大气环境影响分析</w:t>
          </w:r>
          <w:r>
            <w:rPr>
              <w:sz w:val="24"/>
              <w:szCs w:val="24"/>
            </w:rPr>
            <w:tab/>
          </w:r>
          <w:r>
            <w:rPr>
              <w:sz w:val="24"/>
              <w:szCs w:val="24"/>
            </w:rPr>
            <w:fldChar w:fldCharType="begin"/>
          </w:r>
          <w:r>
            <w:rPr>
              <w:sz w:val="24"/>
              <w:szCs w:val="24"/>
            </w:rPr>
            <w:instrText xml:space="preserve"> PAGEREF _Toc32210 \h </w:instrText>
          </w:r>
          <w:r>
            <w:rPr>
              <w:sz w:val="24"/>
              <w:szCs w:val="24"/>
            </w:rPr>
            <w:fldChar w:fldCharType="separate"/>
          </w:r>
          <w:r>
            <w:rPr>
              <w:sz w:val="24"/>
              <w:szCs w:val="24"/>
            </w:rPr>
            <w:t>119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6C790C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_Toc32557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6.2.1 大气污染产生及治理</w:t>
          </w:r>
          <w:r>
            <w:rPr>
              <w:sz w:val="24"/>
              <w:szCs w:val="24"/>
            </w:rPr>
            <w:tab/>
          </w:r>
          <w:r>
            <w:rPr>
              <w:sz w:val="24"/>
              <w:szCs w:val="24"/>
            </w:rPr>
            <w:fldChar w:fldCharType="begin"/>
          </w:r>
          <w:r>
            <w:rPr>
              <w:sz w:val="24"/>
              <w:szCs w:val="24"/>
            </w:rPr>
            <w:instrText xml:space="preserve"> PAGEREF _Toc32557 \h </w:instrText>
          </w:r>
          <w:r>
            <w:rPr>
              <w:sz w:val="24"/>
              <w:szCs w:val="24"/>
            </w:rPr>
            <w:fldChar w:fldCharType="separate"/>
          </w:r>
          <w:r>
            <w:rPr>
              <w:sz w:val="24"/>
              <w:szCs w:val="24"/>
            </w:rPr>
            <w:t>119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E9434E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_Toc954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6.3 营运期地表水环境影响分析</w:t>
          </w:r>
          <w:r>
            <w:rPr>
              <w:sz w:val="24"/>
              <w:szCs w:val="24"/>
            </w:rPr>
            <w:tab/>
          </w:r>
          <w:r>
            <w:rPr>
              <w:sz w:val="24"/>
              <w:szCs w:val="24"/>
            </w:rPr>
            <w:fldChar w:fldCharType="begin"/>
          </w:r>
          <w:r>
            <w:rPr>
              <w:sz w:val="24"/>
              <w:szCs w:val="24"/>
            </w:rPr>
            <w:instrText xml:space="preserve"> PAGEREF _Toc954 \h </w:instrText>
          </w:r>
          <w:r>
            <w:rPr>
              <w:sz w:val="24"/>
              <w:szCs w:val="24"/>
            </w:rPr>
            <w:fldChar w:fldCharType="separate"/>
          </w:r>
          <w:r>
            <w:rPr>
              <w:sz w:val="24"/>
              <w:szCs w:val="24"/>
            </w:rPr>
            <w:t>125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1C75999">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_Toc10319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6.3.1 废水产生情况</w:t>
          </w:r>
          <w:r>
            <w:rPr>
              <w:sz w:val="24"/>
              <w:szCs w:val="24"/>
            </w:rPr>
            <w:tab/>
          </w:r>
          <w:r>
            <w:rPr>
              <w:sz w:val="24"/>
              <w:szCs w:val="24"/>
            </w:rPr>
            <w:fldChar w:fldCharType="begin"/>
          </w:r>
          <w:r>
            <w:rPr>
              <w:sz w:val="24"/>
              <w:szCs w:val="24"/>
            </w:rPr>
            <w:instrText xml:space="preserve"> PAGEREF _Toc10319 \h </w:instrText>
          </w:r>
          <w:r>
            <w:rPr>
              <w:sz w:val="24"/>
              <w:szCs w:val="24"/>
            </w:rPr>
            <w:fldChar w:fldCharType="separate"/>
          </w:r>
          <w:r>
            <w:rPr>
              <w:sz w:val="24"/>
              <w:szCs w:val="24"/>
            </w:rPr>
            <w:t>125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506D17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_Toc2174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6.3.2项目排水方案</w:t>
          </w:r>
          <w:r>
            <w:rPr>
              <w:sz w:val="24"/>
              <w:szCs w:val="24"/>
            </w:rPr>
            <w:tab/>
          </w:r>
          <w:r>
            <w:rPr>
              <w:sz w:val="24"/>
              <w:szCs w:val="24"/>
            </w:rPr>
            <w:fldChar w:fldCharType="begin"/>
          </w:r>
          <w:r>
            <w:rPr>
              <w:sz w:val="24"/>
              <w:szCs w:val="24"/>
            </w:rPr>
            <w:instrText xml:space="preserve"> PAGEREF _Toc2174 \h </w:instrText>
          </w:r>
          <w:r>
            <w:rPr>
              <w:sz w:val="24"/>
              <w:szCs w:val="24"/>
            </w:rPr>
            <w:fldChar w:fldCharType="separate"/>
          </w:r>
          <w:r>
            <w:rPr>
              <w:sz w:val="24"/>
              <w:szCs w:val="24"/>
            </w:rPr>
            <w:t>125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F15073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_Toc29911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6.3.3评价等级判定</w:t>
          </w:r>
          <w:r>
            <w:rPr>
              <w:sz w:val="24"/>
              <w:szCs w:val="24"/>
            </w:rPr>
            <w:tab/>
          </w:r>
          <w:r>
            <w:rPr>
              <w:sz w:val="24"/>
              <w:szCs w:val="24"/>
            </w:rPr>
            <w:fldChar w:fldCharType="begin"/>
          </w:r>
          <w:r>
            <w:rPr>
              <w:sz w:val="24"/>
              <w:szCs w:val="24"/>
            </w:rPr>
            <w:instrText xml:space="preserve"> PAGEREF _Toc29911 \h </w:instrText>
          </w:r>
          <w:r>
            <w:rPr>
              <w:sz w:val="24"/>
              <w:szCs w:val="24"/>
            </w:rPr>
            <w:fldChar w:fldCharType="separate"/>
          </w:r>
          <w:r>
            <w:rPr>
              <w:sz w:val="24"/>
              <w:szCs w:val="24"/>
            </w:rPr>
            <w:t>125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EAA141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_Toc25866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6.3.4各废水处理设施规模合理性分析</w:t>
          </w:r>
          <w:r>
            <w:rPr>
              <w:sz w:val="24"/>
              <w:szCs w:val="24"/>
            </w:rPr>
            <w:tab/>
          </w:r>
          <w:r>
            <w:rPr>
              <w:sz w:val="24"/>
              <w:szCs w:val="24"/>
            </w:rPr>
            <w:fldChar w:fldCharType="begin"/>
          </w:r>
          <w:r>
            <w:rPr>
              <w:sz w:val="24"/>
              <w:szCs w:val="24"/>
            </w:rPr>
            <w:instrText xml:space="preserve"> PAGEREF _Toc25866 \h </w:instrText>
          </w:r>
          <w:r>
            <w:rPr>
              <w:sz w:val="24"/>
              <w:szCs w:val="24"/>
            </w:rPr>
            <w:fldChar w:fldCharType="separate"/>
          </w:r>
          <w:r>
            <w:rPr>
              <w:sz w:val="24"/>
              <w:szCs w:val="24"/>
            </w:rPr>
            <w:t>126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011996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_Toc22845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6.4 地下水环境影响评价</w:t>
          </w:r>
          <w:r>
            <w:rPr>
              <w:sz w:val="24"/>
              <w:szCs w:val="24"/>
            </w:rPr>
            <w:tab/>
          </w:r>
          <w:r>
            <w:rPr>
              <w:sz w:val="24"/>
              <w:szCs w:val="24"/>
            </w:rPr>
            <w:fldChar w:fldCharType="begin"/>
          </w:r>
          <w:r>
            <w:rPr>
              <w:sz w:val="24"/>
              <w:szCs w:val="24"/>
            </w:rPr>
            <w:instrText xml:space="preserve"> PAGEREF _Toc22845 \h </w:instrText>
          </w:r>
          <w:r>
            <w:rPr>
              <w:sz w:val="24"/>
              <w:szCs w:val="24"/>
            </w:rPr>
            <w:fldChar w:fldCharType="separate"/>
          </w:r>
          <w:r>
            <w:rPr>
              <w:sz w:val="24"/>
              <w:szCs w:val="24"/>
            </w:rPr>
            <w:t>132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5A5329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_Toc29597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6.4.1 评价范围</w:t>
          </w:r>
          <w:r>
            <w:rPr>
              <w:sz w:val="24"/>
              <w:szCs w:val="24"/>
            </w:rPr>
            <w:tab/>
          </w:r>
          <w:r>
            <w:rPr>
              <w:sz w:val="24"/>
              <w:szCs w:val="24"/>
            </w:rPr>
            <w:fldChar w:fldCharType="begin"/>
          </w:r>
          <w:r>
            <w:rPr>
              <w:sz w:val="24"/>
              <w:szCs w:val="24"/>
            </w:rPr>
            <w:instrText xml:space="preserve"> PAGEREF _Toc29597 \h </w:instrText>
          </w:r>
          <w:r>
            <w:rPr>
              <w:sz w:val="24"/>
              <w:szCs w:val="24"/>
            </w:rPr>
            <w:fldChar w:fldCharType="separate"/>
          </w:r>
          <w:r>
            <w:rPr>
              <w:sz w:val="24"/>
              <w:szCs w:val="24"/>
            </w:rPr>
            <w:t>132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D70600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_Toc6222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6.4.2 项目及周边水文地质概况</w:t>
          </w:r>
          <w:r>
            <w:rPr>
              <w:sz w:val="24"/>
              <w:szCs w:val="24"/>
            </w:rPr>
            <w:tab/>
          </w:r>
          <w:r>
            <w:rPr>
              <w:sz w:val="24"/>
              <w:szCs w:val="24"/>
            </w:rPr>
            <w:fldChar w:fldCharType="begin"/>
          </w:r>
          <w:r>
            <w:rPr>
              <w:sz w:val="24"/>
              <w:szCs w:val="24"/>
            </w:rPr>
            <w:instrText xml:space="preserve"> PAGEREF _Toc6222 \h </w:instrText>
          </w:r>
          <w:r>
            <w:rPr>
              <w:sz w:val="24"/>
              <w:szCs w:val="24"/>
            </w:rPr>
            <w:fldChar w:fldCharType="separate"/>
          </w:r>
          <w:r>
            <w:rPr>
              <w:sz w:val="24"/>
              <w:szCs w:val="24"/>
            </w:rPr>
            <w:t>132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D322E69">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_Toc19021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6.4.3 地下水污染防治措施</w:t>
          </w:r>
          <w:r>
            <w:rPr>
              <w:sz w:val="24"/>
              <w:szCs w:val="24"/>
            </w:rPr>
            <w:tab/>
          </w:r>
          <w:r>
            <w:rPr>
              <w:sz w:val="24"/>
              <w:szCs w:val="24"/>
            </w:rPr>
            <w:fldChar w:fldCharType="begin"/>
          </w:r>
          <w:r>
            <w:rPr>
              <w:sz w:val="24"/>
              <w:szCs w:val="24"/>
            </w:rPr>
            <w:instrText xml:space="preserve"> PAGEREF _Toc19021 \h </w:instrText>
          </w:r>
          <w:r>
            <w:rPr>
              <w:sz w:val="24"/>
              <w:szCs w:val="24"/>
            </w:rPr>
            <w:fldChar w:fldCharType="separate"/>
          </w:r>
          <w:r>
            <w:rPr>
              <w:sz w:val="24"/>
              <w:szCs w:val="24"/>
            </w:rPr>
            <w:t>134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716AD9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_Toc14591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6.5 声环境影响评价</w:t>
          </w:r>
          <w:r>
            <w:rPr>
              <w:sz w:val="24"/>
              <w:szCs w:val="24"/>
            </w:rPr>
            <w:tab/>
          </w:r>
          <w:r>
            <w:rPr>
              <w:sz w:val="24"/>
              <w:szCs w:val="24"/>
            </w:rPr>
            <w:fldChar w:fldCharType="begin"/>
          </w:r>
          <w:r>
            <w:rPr>
              <w:sz w:val="24"/>
              <w:szCs w:val="24"/>
            </w:rPr>
            <w:instrText xml:space="preserve"> PAGEREF _Toc14591 \h </w:instrText>
          </w:r>
          <w:r>
            <w:rPr>
              <w:sz w:val="24"/>
              <w:szCs w:val="24"/>
            </w:rPr>
            <w:fldChar w:fldCharType="separate"/>
          </w:r>
          <w:r>
            <w:rPr>
              <w:sz w:val="24"/>
              <w:szCs w:val="24"/>
            </w:rPr>
            <w:t>136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B708A4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_Toc6860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6.5.1 主要噪声源分析</w:t>
          </w:r>
          <w:r>
            <w:rPr>
              <w:sz w:val="24"/>
              <w:szCs w:val="24"/>
            </w:rPr>
            <w:tab/>
          </w:r>
          <w:r>
            <w:rPr>
              <w:sz w:val="24"/>
              <w:szCs w:val="24"/>
            </w:rPr>
            <w:fldChar w:fldCharType="begin"/>
          </w:r>
          <w:r>
            <w:rPr>
              <w:sz w:val="24"/>
              <w:szCs w:val="24"/>
            </w:rPr>
            <w:instrText xml:space="preserve"> PAGEREF _Toc6860 \h </w:instrText>
          </w:r>
          <w:r>
            <w:rPr>
              <w:sz w:val="24"/>
              <w:szCs w:val="24"/>
            </w:rPr>
            <w:fldChar w:fldCharType="separate"/>
          </w:r>
          <w:r>
            <w:rPr>
              <w:sz w:val="24"/>
              <w:szCs w:val="24"/>
            </w:rPr>
            <w:t>136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2CBC45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_Toc717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6.6 固体废物环境影响分析</w:t>
          </w:r>
          <w:r>
            <w:rPr>
              <w:sz w:val="24"/>
              <w:szCs w:val="24"/>
            </w:rPr>
            <w:tab/>
          </w:r>
          <w:r>
            <w:rPr>
              <w:sz w:val="24"/>
              <w:szCs w:val="24"/>
            </w:rPr>
            <w:fldChar w:fldCharType="begin"/>
          </w:r>
          <w:r>
            <w:rPr>
              <w:sz w:val="24"/>
              <w:szCs w:val="24"/>
            </w:rPr>
            <w:instrText xml:space="preserve"> PAGEREF _Toc717 \h </w:instrText>
          </w:r>
          <w:r>
            <w:rPr>
              <w:sz w:val="24"/>
              <w:szCs w:val="24"/>
            </w:rPr>
            <w:fldChar w:fldCharType="separate"/>
          </w:r>
          <w:r>
            <w:rPr>
              <w:sz w:val="24"/>
              <w:szCs w:val="24"/>
            </w:rPr>
            <w:t>141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BD33F6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_Toc30403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6.6.1一般固废</w:t>
          </w:r>
          <w:r>
            <w:rPr>
              <w:sz w:val="24"/>
              <w:szCs w:val="24"/>
            </w:rPr>
            <w:tab/>
          </w:r>
          <w:r>
            <w:rPr>
              <w:sz w:val="24"/>
              <w:szCs w:val="24"/>
            </w:rPr>
            <w:fldChar w:fldCharType="begin"/>
          </w:r>
          <w:r>
            <w:rPr>
              <w:sz w:val="24"/>
              <w:szCs w:val="24"/>
            </w:rPr>
            <w:instrText xml:space="preserve"> PAGEREF _Toc30403 \h </w:instrText>
          </w:r>
          <w:r>
            <w:rPr>
              <w:sz w:val="24"/>
              <w:szCs w:val="24"/>
            </w:rPr>
            <w:fldChar w:fldCharType="separate"/>
          </w:r>
          <w:r>
            <w:rPr>
              <w:sz w:val="24"/>
              <w:szCs w:val="24"/>
            </w:rPr>
            <w:t>141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C5DCA8C">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_Toc23137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6.6.2危险废物</w:t>
          </w:r>
          <w:r>
            <w:rPr>
              <w:sz w:val="24"/>
              <w:szCs w:val="24"/>
            </w:rPr>
            <w:tab/>
          </w:r>
          <w:r>
            <w:rPr>
              <w:sz w:val="24"/>
              <w:szCs w:val="24"/>
            </w:rPr>
            <w:fldChar w:fldCharType="begin"/>
          </w:r>
          <w:r>
            <w:rPr>
              <w:sz w:val="24"/>
              <w:szCs w:val="24"/>
            </w:rPr>
            <w:instrText xml:space="preserve"> PAGEREF _Toc23137 \h </w:instrText>
          </w:r>
          <w:r>
            <w:rPr>
              <w:sz w:val="24"/>
              <w:szCs w:val="24"/>
            </w:rPr>
            <w:fldChar w:fldCharType="separate"/>
          </w:r>
          <w:r>
            <w:rPr>
              <w:sz w:val="24"/>
              <w:szCs w:val="24"/>
            </w:rPr>
            <w:t>142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B7FB997">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_Toc31531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6.7土壤影响分析</w:t>
          </w:r>
          <w:r>
            <w:rPr>
              <w:sz w:val="24"/>
              <w:szCs w:val="24"/>
            </w:rPr>
            <w:tab/>
          </w:r>
          <w:r>
            <w:rPr>
              <w:sz w:val="24"/>
              <w:szCs w:val="24"/>
            </w:rPr>
            <w:fldChar w:fldCharType="begin"/>
          </w:r>
          <w:r>
            <w:rPr>
              <w:sz w:val="24"/>
              <w:szCs w:val="24"/>
            </w:rPr>
            <w:instrText xml:space="preserve"> PAGEREF _Toc31531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CE2E1C6">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_Toc13480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6.8 外环境对本项目的影响分析</w:t>
          </w:r>
          <w:r>
            <w:rPr>
              <w:sz w:val="24"/>
              <w:szCs w:val="24"/>
            </w:rPr>
            <w:tab/>
          </w:r>
          <w:r>
            <w:rPr>
              <w:sz w:val="24"/>
              <w:szCs w:val="24"/>
            </w:rPr>
            <w:fldChar w:fldCharType="begin"/>
          </w:r>
          <w:r>
            <w:rPr>
              <w:sz w:val="24"/>
              <w:szCs w:val="24"/>
            </w:rPr>
            <w:instrText xml:space="preserve"> PAGEREF _Toc13480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DAB9A5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_Toc31224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6.8.1 外环境对本项目的影响识别</w:t>
          </w:r>
          <w:r>
            <w:rPr>
              <w:sz w:val="24"/>
              <w:szCs w:val="24"/>
            </w:rPr>
            <w:tab/>
          </w:r>
          <w:r>
            <w:rPr>
              <w:sz w:val="24"/>
              <w:szCs w:val="24"/>
            </w:rPr>
            <w:fldChar w:fldCharType="begin"/>
          </w:r>
          <w:r>
            <w:rPr>
              <w:sz w:val="24"/>
              <w:szCs w:val="24"/>
            </w:rPr>
            <w:instrText xml:space="preserve"> PAGEREF _Toc31224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62E88A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_Toc7322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6.8.2 外环境对本项目的影响分析</w:t>
          </w:r>
          <w:r>
            <w:rPr>
              <w:sz w:val="24"/>
              <w:szCs w:val="24"/>
            </w:rPr>
            <w:tab/>
          </w:r>
          <w:r>
            <w:rPr>
              <w:sz w:val="24"/>
              <w:szCs w:val="24"/>
            </w:rPr>
            <w:fldChar w:fldCharType="begin"/>
          </w:r>
          <w:r>
            <w:rPr>
              <w:sz w:val="24"/>
              <w:szCs w:val="24"/>
            </w:rPr>
            <w:instrText xml:space="preserve"> PAGEREF _Toc7322 \h </w:instrText>
          </w:r>
          <w:r>
            <w:rPr>
              <w:sz w:val="24"/>
              <w:szCs w:val="24"/>
            </w:rPr>
            <w:fldChar w:fldCharType="separate"/>
          </w:r>
          <w:r>
            <w:rPr>
              <w:sz w:val="24"/>
              <w:szCs w:val="24"/>
            </w:rPr>
            <w:t>145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CB9864B">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_Toc23899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7环境风险分析</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_Toc23899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146</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4EB3AFCA">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_Toc18755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7.1风险评价目的</w:t>
          </w:r>
          <w:r>
            <w:rPr>
              <w:sz w:val="24"/>
              <w:szCs w:val="24"/>
            </w:rPr>
            <w:tab/>
          </w:r>
          <w:r>
            <w:rPr>
              <w:sz w:val="24"/>
              <w:szCs w:val="24"/>
            </w:rPr>
            <w:fldChar w:fldCharType="begin"/>
          </w:r>
          <w:r>
            <w:rPr>
              <w:sz w:val="24"/>
              <w:szCs w:val="24"/>
            </w:rPr>
            <w:instrText xml:space="preserve"> PAGEREF _Toc18755 \h </w:instrText>
          </w:r>
          <w:r>
            <w:rPr>
              <w:sz w:val="24"/>
              <w:szCs w:val="24"/>
            </w:rPr>
            <w:fldChar w:fldCharType="separate"/>
          </w:r>
          <w:r>
            <w:rPr>
              <w:sz w:val="24"/>
              <w:szCs w:val="24"/>
            </w:rPr>
            <w:t>146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DE8416E">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_Toc18347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7.2评价目的</w:t>
          </w:r>
          <w:r>
            <w:rPr>
              <w:sz w:val="24"/>
              <w:szCs w:val="24"/>
            </w:rPr>
            <w:tab/>
          </w:r>
          <w:r>
            <w:rPr>
              <w:sz w:val="24"/>
              <w:szCs w:val="24"/>
            </w:rPr>
            <w:fldChar w:fldCharType="begin"/>
          </w:r>
          <w:r>
            <w:rPr>
              <w:sz w:val="24"/>
              <w:szCs w:val="24"/>
            </w:rPr>
            <w:instrText xml:space="preserve"> PAGEREF _Toc18347 \h </w:instrText>
          </w:r>
          <w:r>
            <w:rPr>
              <w:sz w:val="24"/>
              <w:szCs w:val="24"/>
            </w:rPr>
            <w:fldChar w:fldCharType="separate"/>
          </w:r>
          <w:r>
            <w:rPr>
              <w:sz w:val="24"/>
              <w:szCs w:val="24"/>
            </w:rPr>
            <w:t>146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9CA3247">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_Toc11012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7.3风险物质识别</w:t>
          </w:r>
          <w:r>
            <w:rPr>
              <w:sz w:val="24"/>
              <w:szCs w:val="24"/>
            </w:rPr>
            <w:tab/>
          </w:r>
          <w:r>
            <w:rPr>
              <w:sz w:val="24"/>
              <w:szCs w:val="24"/>
            </w:rPr>
            <w:fldChar w:fldCharType="begin"/>
          </w:r>
          <w:r>
            <w:rPr>
              <w:sz w:val="24"/>
              <w:szCs w:val="24"/>
            </w:rPr>
            <w:instrText xml:space="preserve"> PAGEREF _Toc11012 \h </w:instrText>
          </w:r>
          <w:r>
            <w:rPr>
              <w:sz w:val="24"/>
              <w:szCs w:val="24"/>
            </w:rPr>
            <w:fldChar w:fldCharType="separate"/>
          </w:r>
          <w:r>
            <w:rPr>
              <w:sz w:val="24"/>
              <w:szCs w:val="24"/>
            </w:rPr>
            <w:t>146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D53513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_Toc18326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7.4风险潜势初判及评价等级</w:t>
          </w:r>
          <w:r>
            <w:rPr>
              <w:sz w:val="24"/>
              <w:szCs w:val="24"/>
            </w:rPr>
            <w:tab/>
          </w:r>
          <w:r>
            <w:rPr>
              <w:sz w:val="24"/>
              <w:szCs w:val="24"/>
            </w:rPr>
            <w:fldChar w:fldCharType="begin"/>
          </w:r>
          <w:r>
            <w:rPr>
              <w:sz w:val="24"/>
              <w:szCs w:val="24"/>
            </w:rPr>
            <w:instrText xml:space="preserve"> PAGEREF _Toc18326 \h </w:instrText>
          </w:r>
          <w:r>
            <w:rPr>
              <w:sz w:val="24"/>
              <w:szCs w:val="24"/>
            </w:rPr>
            <w:fldChar w:fldCharType="separate"/>
          </w:r>
          <w:r>
            <w:rPr>
              <w:sz w:val="24"/>
              <w:szCs w:val="24"/>
            </w:rPr>
            <w:t>150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1BABF13">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_Toc15295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7.5 环境风险识别</w:t>
          </w:r>
          <w:r>
            <w:rPr>
              <w:sz w:val="24"/>
              <w:szCs w:val="24"/>
            </w:rPr>
            <w:tab/>
          </w:r>
          <w:r>
            <w:rPr>
              <w:sz w:val="24"/>
              <w:szCs w:val="24"/>
            </w:rPr>
            <w:fldChar w:fldCharType="begin"/>
          </w:r>
          <w:r>
            <w:rPr>
              <w:sz w:val="24"/>
              <w:szCs w:val="24"/>
            </w:rPr>
            <w:instrText xml:space="preserve"> PAGEREF _Toc15295 \h </w:instrText>
          </w:r>
          <w:r>
            <w:rPr>
              <w:sz w:val="24"/>
              <w:szCs w:val="24"/>
            </w:rPr>
            <w:fldChar w:fldCharType="separate"/>
          </w:r>
          <w:r>
            <w:rPr>
              <w:sz w:val="24"/>
              <w:szCs w:val="24"/>
            </w:rPr>
            <w:t>151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EC80F81">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_Toc4350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7.6物质风险源分析</w:t>
          </w:r>
          <w:r>
            <w:rPr>
              <w:sz w:val="24"/>
              <w:szCs w:val="24"/>
            </w:rPr>
            <w:tab/>
          </w:r>
          <w:r>
            <w:rPr>
              <w:sz w:val="24"/>
              <w:szCs w:val="24"/>
            </w:rPr>
            <w:fldChar w:fldCharType="begin"/>
          </w:r>
          <w:r>
            <w:rPr>
              <w:sz w:val="24"/>
              <w:szCs w:val="24"/>
            </w:rPr>
            <w:instrText xml:space="preserve"> PAGEREF _Toc4350 \h </w:instrText>
          </w:r>
          <w:r>
            <w:rPr>
              <w:sz w:val="24"/>
              <w:szCs w:val="24"/>
            </w:rPr>
            <w:fldChar w:fldCharType="separate"/>
          </w:r>
          <w:r>
            <w:rPr>
              <w:sz w:val="24"/>
              <w:szCs w:val="24"/>
            </w:rPr>
            <w:t>151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E695AF7">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_Toc4491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7.6.1大气环境风险分析</w:t>
          </w:r>
          <w:r>
            <w:rPr>
              <w:sz w:val="24"/>
              <w:szCs w:val="24"/>
            </w:rPr>
            <w:tab/>
          </w:r>
          <w:r>
            <w:rPr>
              <w:sz w:val="24"/>
              <w:szCs w:val="24"/>
            </w:rPr>
            <w:fldChar w:fldCharType="begin"/>
          </w:r>
          <w:r>
            <w:rPr>
              <w:sz w:val="24"/>
              <w:szCs w:val="24"/>
            </w:rPr>
            <w:instrText xml:space="preserve"> PAGEREF _Toc4491 \h </w:instrText>
          </w:r>
          <w:r>
            <w:rPr>
              <w:sz w:val="24"/>
              <w:szCs w:val="24"/>
            </w:rPr>
            <w:fldChar w:fldCharType="separate"/>
          </w:r>
          <w:r>
            <w:rPr>
              <w:sz w:val="24"/>
              <w:szCs w:val="24"/>
            </w:rPr>
            <w:t>152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4E81A6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_Toc28792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7.6.2地表水环境风险分析</w:t>
          </w:r>
          <w:r>
            <w:rPr>
              <w:sz w:val="24"/>
              <w:szCs w:val="24"/>
            </w:rPr>
            <w:tab/>
          </w:r>
          <w:r>
            <w:rPr>
              <w:sz w:val="24"/>
              <w:szCs w:val="24"/>
            </w:rPr>
            <w:fldChar w:fldCharType="begin"/>
          </w:r>
          <w:r>
            <w:rPr>
              <w:sz w:val="24"/>
              <w:szCs w:val="24"/>
            </w:rPr>
            <w:instrText xml:space="preserve"> PAGEREF _Toc28792 \h </w:instrText>
          </w:r>
          <w:r>
            <w:rPr>
              <w:sz w:val="24"/>
              <w:szCs w:val="24"/>
            </w:rPr>
            <w:fldChar w:fldCharType="separate"/>
          </w:r>
          <w:r>
            <w:rPr>
              <w:sz w:val="24"/>
              <w:szCs w:val="24"/>
            </w:rPr>
            <w:t>152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59387C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_Toc19880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7.6.2地下水环境风险分析</w:t>
          </w:r>
          <w:r>
            <w:rPr>
              <w:sz w:val="24"/>
              <w:szCs w:val="24"/>
            </w:rPr>
            <w:tab/>
          </w:r>
          <w:r>
            <w:rPr>
              <w:sz w:val="24"/>
              <w:szCs w:val="24"/>
            </w:rPr>
            <w:fldChar w:fldCharType="begin"/>
          </w:r>
          <w:r>
            <w:rPr>
              <w:sz w:val="24"/>
              <w:szCs w:val="24"/>
            </w:rPr>
            <w:instrText xml:space="preserve"> PAGEREF _Toc19880 \h </w:instrText>
          </w:r>
          <w:r>
            <w:rPr>
              <w:sz w:val="24"/>
              <w:szCs w:val="24"/>
            </w:rPr>
            <w:fldChar w:fldCharType="separate"/>
          </w:r>
          <w:r>
            <w:rPr>
              <w:sz w:val="24"/>
              <w:szCs w:val="24"/>
            </w:rPr>
            <w:t>153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8A9A50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_Toc13603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7.7环境风险防范措施</w:t>
          </w:r>
          <w:r>
            <w:rPr>
              <w:sz w:val="24"/>
              <w:szCs w:val="24"/>
            </w:rPr>
            <w:tab/>
          </w:r>
          <w:r>
            <w:rPr>
              <w:sz w:val="24"/>
              <w:szCs w:val="24"/>
            </w:rPr>
            <w:fldChar w:fldCharType="begin"/>
          </w:r>
          <w:r>
            <w:rPr>
              <w:sz w:val="24"/>
              <w:szCs w:val="24"/>
            </w:rPr>
            <w:instrText xml:space="preserve"> PAGEREF _Toc13603 \h </w:instrText>
          </w:r>
          <w:r>
            <w:rPr>
              <w:sz w:val="24"/>
              <w:szCs w:val="24"/>
            </w:rPr>
            <w:fldChar w:fldCharType="separate"/>
          </w:r>
          <w:r>
            <w:rPr>
              <w:sz w:val="24"/>
              <w:szCs w:val="24"/>
            </w:rPr>
            <w:t>153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41A8336">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_Toc9678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7.8环境风险管理</w:t>
          </w:r>
          <w:r>
            <w:rPr>
              <w:sz w:val="24"/>
              <w:szCs w:val="24"/>
            </w:rPr>
            <w:tab/>
          </w:r>
          <w:r>
            <w:rPr>
              <w:sz w:val="24"/>
              <w:szCs w:val="24"/>
            </w:rPr>
            <w:fldChar w:fldCharType="begin"/>
          </w:r>
          <w:r>
            <w:rPr>
              <w:sz w:val="24"/>
              <w:szCs w:val="24"/>
            </w:rPr>
            <w:instrText xml:space="preserve"> PAGEREF _Toc9678 \h </w:instrText>
          </w:r>
          <w:r>
            <w:rPr>
              <w:sz w:val="24"/>
              <w:szCs w:val="24"/>
            </w:rPr>
            <w:fldChar w:fldCharType="separate"/>
          </w:r>
          <w:r>
            <w:rPr>
              <w:sz w:val="24"/>
              <w:szCs w:val="24"/>
            </w:rPr>
            <w:t>156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0D56E7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_Toc18565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7.8.1环境风险防范措施</w:t>
          </w:r>
          <w:r>
            <w:rPr>
              <w:sz w:val="24"/>
              <w:szCs w:val="24"/>
            </w:rPr>
            <w:tab/>
          </w:r>
          <w:r>
            <w:rPr>
              <w:sz w:val="24"/>
              <w:szCs w:val="24"/>
            </w:rPr>
            <w:fldChar w:fldCharType="begin"/>
          </w:r>
          <w:r>
            <w:rPr>
              <w:sz w:val="24"/>
              <w:szCs w:val="24"/>
            </w:rPr>
            <w:instrText xml:space="preserve"> PAGEREF _Toc18565 \h </w:instrText>
          </w:r>
          <w:r>
            <w:rPr>
              <w:sz w:val="24"/>
              <w:szCs w:val="24"/>
            </w:rPr>
            <w:fldChar w:fldCharType="separate"/>
          </w:r>
          <w:r>
            <w:rPr>
              <w:sz w:val="24"/>
              <w:szCs w:val="24"/>
            </w:rPr>
            <w:t>156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54918E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_Toc6254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7.8.</w:t>
          </w:r>
          <w:r>
            <w:rPr>
              <w:rFonts w:hint="eastAsia" w:ascii="Times New Roman" w:hAnsi="Times New Roman" w:eastAsia="宋体" w:cs="Times New Roman"/>
              <w:sz w:val="24"/>
              <w:szCs w:val="24"/>
              <w:lang w:val="en-US" w:eastAsia="zh-CN"/>
            </w:rPr>
            <w:t>2环境风险</w:t>
          </w:r>
          <w:r>
            <w:rPr>
              <w:rFonts w:hint="default" w:ascii="Times New Roman" w:hAnsi="Times New Roman" w:eastAsia="宋体" w:cs="Times New Roman"/>
              <w:sz w:val="24"/>
              <w:szCs w:val="24"/>
              <w:lang w:val="en-US" w:eastAsia="zh-CN"/>
            </w:rPr>
            <w:t>应对措施</w:t>
          </w:r>
          <w:r>
            <w:rPr>
              <w:sz w:val="24"/>
              <w:szCs w:val="24"/>
            </w:rPr>
            <w:tab/>
          </w:r>
          <w:r>
            <w:rPr>
              <w:sz w:val="24"/>
              <w:szCs w:val="24"/>
            </w:rPr>
            <w:fldChar w:fldCharType="begin"/>
          </w:r>
          <w:r>
            <w:rPr>
              <w:sz w:val="24"/>
              <w:szCs w:val="24"/>
            </w:rPr>
            <w:instrText xml:space="preserve"> PAGEREF _Toc6254 \h </w:instrText>
          </w:r>
          <w:r>
            <w:rPr>
              <w:sz w:val="24"/>
              <w:szCs w:val="24"/>
            </w:rPr>
            <w:fldChar w:fldCharType="separate"/>
          </w:r>
          <w:r>
            <w:rPr>
              <w:sz w:val="24"/>
              <w:szCs w:val="24"/>
            </w:rPr>
            <w:t>157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CFEF65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_Toc26548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7.9环境风险应急预案</w:t>
          </w:r>
          <w:r>
            <w:rPr>
              <w:sz w:val="24"/>
              <w:szCs w:val="24"/>
            </w:rPr>
            <w:tab/>
          </w:r>
          <w:r>
            <w:rPr>
              <w:sz w:val="24"/>
              <w:szCs w:val="24"/>
            </w:rPr>
            <w:fldChar w:fldCharType="begin"/>
          </w:r>
          <w:r>
            <w:rPr>
              <w:sz w:val="24"/>
              <w:szCs w:val="24"/>
            </w:rPr>
            <w:instrText xml:space="preserve"> PAGEREF _Toc26548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BC04CB6">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_Toc18259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7.9.1制定目的</w:t>
          </w:r>
          <w:r>
            <w:rPr>
              <w:sz w:val="24"/>
              <w:szCs w:val="24"/>
            </w:rPr>
            <w:tab/>
          </w:r>
          <w:r>
            <w:rPr>
              <w:sz w:val="24"/>
              <w:szCs w:val="24"/>
            </w:rPr>
            <w:fldChar w:fldCharType="begin"/>
          </w:r>
          <w:r>
            <w:rPr>
              <w:sz w:val="24"/>
              <w:szCs w:val="24"/>
            </w:rPr>
            <w:instrText xml:space="preserve"> PAGEREF _Toc18259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14E9DD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_Toc24789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7.9.2指导思想</w:t>
          </w:r>
          <w:r>
            <w:rPr>
              <w:sz w:val="24"/>
              <w:szCs w:val="24"/>
            </w:rPr>
            <w:tab/>
          </w:r>
          <w:r>
            <w:rPr>
              <w:sz w:val="24"/>
              <w:szCs w:val="24"/>
            </w:rPr>
            <w:fldChar w:fldCharType="begin"/>
          </w:r>
          <w:r>
            <w:rPr>
              <w:sz w:val="24"/>
              <w:szCs w:val="24"/>
            </w:rPr>
            <w:instrText xml:space="preserve"> PAGEREF _Toc24789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513394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_Toc18721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7.9.3基本原则</w:t>
          </w:r>
          <w:r>
            <w:rPr>
              <w:sz w:val="24"/>
              <w:szCs w:val="24"/>
            </w:rPr>
            <w:tab/>
          </w:r>
          <w:r>
            <w:rPr>
              <w:sz w:val="24"/>
              <w:szCs w:val="24"/>
            </w:rPr>
            <w:fldChar w:fldCharType="begin"/>
          </w:r>
          <w:r>
            <w:rPr>
              <w:sz w:val="24"/>
              <w:szCs w:val="24"/>
            </w:rPr>
            <w:instrText xml:space="preserve"> PAGEREF _Toc18721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1759820">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_Toc6130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7.9.4环境事故因素识别</w:t>
          </w:r>
          <w:r>
            <w:rPr>
              <w:sz w:val="24"/>
              <w:szCs w:val="24"/>
            </w:rPr>
            <w:tab/>
          </w:r>
          <w:r>
            <w:rPr>
              <w:sz w:val="24"/>
              <w:szCs w:val="24"/>
            </w:rPr>
            <w:fldChar w:fldCharType="begin"/>
          </w:r>
          <w:r>
            <w:rPr>
              <w:sz w:val="24"/>
              <w:szCs w:val="24"/>
            </w:rPr>
            <w:instrText xml:space="preserve"> PAGEREF _Toc6130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030B00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_Toc14575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7.9.5组织机构及职责任务</w:t>
          </w:r>
          <w:r>
            <w:rPr>
              <w:sz w:val="24"/>
              <w:szCs w:val="24"/>
            </w:rPr>
            <w:tab/>
          </w:r>
          <w:r>
            <w:rPr>
              <w:sz w:val="24"/>
              <w:szCs w:val="24"/>
            </w:rPr>
            <w:fldChar w:fldCharType="begin"/>
          </w:r>
          <w:r>
            <w:rPr>
              <w:sz w:val="24"/>
              <w:szCs w:val="24"/>
            </w:rPr>
            <w:instrText xml:space="preserve"> PAGEREF _Toc14575 \h </w:instrText>
          </w:r>
          <w:r>
            <w:rPr>
              <w:sz w:val="24"/>
              <w:szCs w:val="24"/>
            </w:rPr>
            <w:fldChar w:fldCharType="separate"/>
          </w:r>
          <w:r>
            <w:rPr>
              <w:sz w:val="24"/>
              <w:szCs w:val="24"/>
            </w:rPr>
            <w:t>159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137CFD0">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_Toc20057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7.9.6处置程序</w:t>
          </w:r>
          <w:r>
            <w:rPr>
              <w:sz w:val="24"/>
              <w:szCs w:val="24"/>
            </w:rPr>
            <w:tab/>
          </w:r>
          <w:r>
            <w:rPr>
              <w:sz w:val="24"/>
              <w:szCs w:val="24"/>
            </w:rPr>
            <w:fldChar w:fldCharType="begin"/>
          </w:r>
          <w:r>
            <w:rPr>
              <w:sz w:val="24"/>
              <w:szCs w:val="24"/>
            </w:rPr>
            <w:instrText xml:space="preserve"> PAGEREF _Toc20057 \h </w:instrText>
          </w:r>
          <w:r>
            <w:rPr>
              <w:sz w:val="24"/>
              <w:szCs w:val="24"/>
            </w:rPr>
            <w:fldChar w:fldCharType="separate"/>
          </w:r>
          <w:r>
            <w:rPr>
              <w:sz w:val="24"/>
              <w:szCs w:val="24"/>
            </w:rPr>
            <w:t>160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E01742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_Toc21248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7.9.7应急处置工作保障</w:t>
          </w:r>
          <w:r>
            <w:rPr>
              <w:sz w:val="24"/>
              <w:szCs w:val="24"/>
            </w:rPr>
            <w:tab/>
          </w:r>
          <w:r>
            <w:rPr>
              <w:sz w:val="24"/>
              <w:szCs w:val="24"/>
            </w:rPr>
            <w:fldChar w:fldCharType="begin"/>
          </w:r>
          <w:r>
            <w:rPr>
              <w:sz w:val="24"/>
              <w:szCs w:val="24"/>
            </w:rPr>
            <w:instrText xml:space="preserve"> PAGEREF _Toc21248 \h </w:instrText>
          </w:r>
          <w:r>
            <w:rPr>
              <w:sz w:val="24"/>
              <w:szCs w:val="24"/>
            </w:rPr>
            <w:fldChar w:fldCharType="separate"/>
          </w:r>
          <w:r>
            <w:rPr>
              <w:sz w:val="24"/>
              <w:szCs w:val="24"/>
            </w:rPr>
            <w:t>161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8F64A39">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_Toc30409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7.10风险评价结论</w:t>
          </w:r>
          <w:r>
            <w:rPr>
              <w:sz w:val="24"/>
              <w:szCs w:val="24"/>
            </w:rPr>
            <w:tab/>
          </w:r>
          <w:r>
            <w:rPr>
              <w:sz w:val="24"/>
              <w:szCs w:val="24"/>
            </w:rPr>
            <w:fldChar w:fldCharType="begin"/>
          </w:r>
          <w:r>
            <w:rPr>
              <w:sz w:val="24"/>
              <w:szCs w:val="24"/>
            </w:rPr>
            <w:instrText xml:space="preserve"> PAGEREF _Toc30409 \h </w:instrText>
          </w:r>
          <w:r>
            <w:rPr>
              <w:sz w:val="24"/>
              <w:szCs w:val="24"/>
            </w:rPr>
            <w:fldChar w:fldCharType="separate"/>
          </w:r>
          <w:r>
            <w:rPr>
              <w:sz w:val="24"/>
              <w:szCs w:val="24"/>
            </w:rPr>
            <w:t>161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AFD2174">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_Toc14198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8环保措施经济技术可行性论证</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_Toc14198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163</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00E8CD6A">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_Toc25411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8.1 项目施工期环境保护措施及论证</w:t>
          </w:r>
          <w:r>
            <w:rPr>
              <w:sz w:val="24"/>
              <w:szCs w:val="24"/>
            </w:rPr>
            <w:tab/>
          </w:r>
          <w:r>
            <w:rPr>
              <w:sz w:val="24"/>
              <w:szCs w:val="24"/>
            </w:rPr>
            <w:fldChar w:fldCharType="begin"/>
          </w:r>
          <w:r>
            <w:rPr>
              <w:sz w:val="24"/>
              <w:szCs w:val="24"/>
            </w:rPr>
            <w:instrText xml:space="preserve"> PAGEREF _Toc25411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6F834F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_Toc21278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8.1.1 施工期环保措施</w:t>
          </w:r>
          <w:r>
            <w:rPr>
              <w:sz w:val="24"/>
              <w:szCs w:val="24"/>
            </w:rPr>
            <w:tab/>
          </w:r>
          <w:r>
            <w:rPr>
              <w:sz w:val="24"/>
              <w:szCs w:val="24"/>
            </w:rPr>
            <w:fldChar w:fldCharType="begin"/>
          </w:r>
          <w:r>
            <w:rPr>
              <w:sz w:val="24"/>
              <w:szCs w:val="24"/>
            </w:rPr>
            <w:instrText xml:space="preserve"> PAGEREF _Toc21278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78139B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_Toc26806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8.1.2 措施论证</w:t>
          </w:r>
          <w:r>
            <w:rPr>
              <w:sz w:val="24"/>
              <w:szCs w:val="24"/>
            </w:rPr>
            <w:tab/>
          </w:r>
          <w:r>
            <w:rPr>
              <w:sz w:val="24"/>
              <w:szCs w:val="24"/>
            </w:rPr>
            <w:fldChar w:fldCharType="begin"/>
          </w:r>
          <w:r>
            <w:rPr>
              <w:sz w:val="24"/>
              <w:szCs w:val="24"/>
            </w:rPr>
            <w:instrText xml:space="preserve"> PAGEREF _Toc26806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B6704B2">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_Toc31655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8.2 项目营运期环境保护措施及论证</w:t>
          </w:r>
          <w:r>
            <w:rPr>
              <w:sz w:val="24"/>
              <w:szCs w:val="24"/>
            </w:rPr>
            <w:tab/>
          </w:r>
          <w:r>
            <w:rPr>
              <w:sz w:val="24"/>
              <w:szCs w:val="24"/>
            </w:rPr>
            <w:fldChar w:fldCharType="begin"/>
          </w:r>
          <w:r>
            <w:rPr>
              <w:sz w:val="24"/>
              <w:szCs w:val="24"/>
            </w:rPr>
            <w:instrText xml:space="preserve"> PAGEREF _Toc31655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77907B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_Toc32276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8.2.1 营运期废气治理措施论证</w:t>
          </w:r>
          <w:r>
            <w:rPr>
              <w:sz w:val="24"/>
              <w:szCs w:val="24"/>
            </w:rPr>
            <w:tab/>
          </w:r>
          <w:r>
            <w:rPr>
              <w:sz w:val="24"/>
              <w:szCs w:val="24"/>
            </w:rPr>
            <w:fldChar w:fldCharType="begin"/>
          </w:r>
          <w:r>
            <w:rPr>
              <w:sz w:val="24"/>
              <w:szCs w:val="24"/>
            </w:rPr>
            <w:instrText xml:space="preserve"> PAGEREF _Toc32276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5C87E8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_Toc25025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8.2.2 营运期废水治理措施可行性论证</w:t>
          </w:r>
          <w:r>
            <w:rPr>
              <w:sz w:val="24"/>
              <w:szCs w:val="24"/>
            </w:rPr>
            <w:tab/>
          </w:r>
          <w:r>
            <w:rPr>
              <w:sz w:val="24"/>
              <w:szCs w:val="24"/>
            </w:rPr>
            <w:fldChar w:fldCharType="begin"/>
          </w:r>
          <w:r>
            <w:rPr>
              <w:sz w:val="24"/>
              <w:szCs w:val="24"/>
            </w:rPr>
            <w:instrText xml:space="preserve"> PAGEREF _Toc25025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C082BB3">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_Toc24532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8.3 地下水污染防治措施分析</w:t>
          </w:r>
          <w:r>
            <w:rPr>
              <w:sz w:val="24"/>
              <w:szCs w:val="24"/>
            </w:rPr>
            <w:tab/>
          </w:r>
          <w:r>
            <w:rPr>
              <w:sz w:val="24"/>
              <w:szCs w:val="24"/>
            </w:rPr>
            <w:fldChar w:fldCharType="begin"/>
          </w:r>
          <w:r>
            <w:rPr>
              <w:sz w:val="24"/>
              <w:szCs w:val="24"/>
            </w:rPr>
            <w:instrText xml:space="preserve"> PAGEREF _Toc24532 \h </w:instrText>
          </w:r>
          <w:r>
            <w:rPr>
              <w:sz w:val="24"/>
              <w:szCs w:val="24"/>
            </w:rPr>
            <w:fldChar w:fldCharType="separate"/>
          </w:r>
          <w:r>
            <w:rPr>
              <w:sz w:val="24"/>
              <w:szCs w:val="24"/>
            </w:rPr>
            <w:t>165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9261847">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_Toc27769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8.3.1源头控制措施</w:t>
          </w:r>
          <w:r>
            <w:rPr>
              <w:sz w:val="24"/>
              <w:szCs w:val="24"/>
            </w:rPr>
            <w:tab/>
          </w:r>
          <w:r>
            <w:rPr>
              <w:sz w:val="24"/>
              <w:szCs w:val="24"/>
            </w:rPr>
            <w:fldChar w:fldCharType="begin"/>
          </w:r>
          <w:r>
            <w:rPr>
              <w:sz w:val="24"/>
              <w:szCs w:val="24"/>
            </w:rPr>
            <w:instrText xml:space="preserve"> PAGEREF _Toc27769 \h </w:instrText>
          </w:r>
          <w:r>
            <w:rPr>
              <w:sz w:val="24"/>
              <w:szCs w:val="24"/>
            </w:rPr>
            <w:fldChar w:fldCharType="separate"/>
          </w:r>
          <w:r>
            <w:rPr>
              <w:sz w:val="24"/>
              <w:szCs w:val="24"/>
            </w:rPr>
            <w:t>165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234C1A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_Toc27484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8.3.2分区防治措施</w:t>
          </w:r>
          <w:r>
            <w:rPr>
              <w:sz w:val="24"/>
              <w:szCs w:val="24"/>
            </w:rPr>
            <w:tab/>
          </w:r>
          <w:r>
            <w:rPr>
              <w:sz w:val="24"/>
              <w:szCs w:val="24"/>
            </w:rPr>
            <w:fldChar w:fldCharType="begin"/>
          </w:r>
          <w:r>
            <w:rPr>
              <w:sz w:val="24"/>
              <w:szCs w:val="24"/>
            </w:rPr>
            <w:instrText xml:space="preserve"> PAGEREF _Toc27484 \h </w:instrText>
          </w:r>
          <w:r>
            <w:rPr>
              <w:sz w:val="24"/>
              <w:szCs w:val="24"/>
            </w:rPr>
            <w:fldChar w:fldCharType="separate"/>
          </w:r>
          <w:r>
            <w:rPr>
              <w:sz w:val="24"/>
              <w:szCs w:val="24"/>
            </w:rPr>
            <w:t>165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6DA74D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_Toc5104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8.3.3风险事故应急响应</w:t>
          </w:r>
          <w:r>
            <w:rPr>
              <w:sz w:val="24"/>
              <w:szCs w:val="24"/>
            </w:rPr>
            <w:tab/>
          </w:r>
          <w:r>
            <w:rPr>
              <w:sz w:val="24"/>
              <w:szCs w:val="24"/>
            </w:rPr>
            <w:fldChar w:fldCharType="begin"/>
          </w:r>
          <w:r>
            <w:rPr>
              <w:sz w:val="24"/>
              <w:szCs w:val="24"/>
            </w:rPr>
            <w:instrText xml:space="preserve"> PAGEREF _Toc5104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6C9E61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_Toc12142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8.4 噪声防治措施可行性论证</w:t>
          </w:r>
          <w:r>
            <w:rPr>
              <w:sz w:val="24"/>
              <w:szCs w:val="24"/>
            </w:rPr>
            <w:tab/>
          </w:r>
          <w:r>
            <w:rPr>
              <w:sz w:val="24"/>
              <w:szCs w:val="24"/>
            </w:rPr>
            <w:fldChar w:fldCharType="begin"/>
          </w:r>
          <w:r>
            <w:rPr>
              <w:sz w:val="24"/>
              <w:szCs w:val="24"/>
            </w:rPr>
            <w:instrText xml:space="preserve"> PAGEREF _Toc12142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88D790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_Toc24827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8.5 固废处置措施可行性论证</w:t>
          </w:r>
          <w:r>
            <w:rPr>
              <w:sz w:val="24"/>
              <w:szCs w:val="24"/>
            </w:rPr>
            <w:tab/>
          </w:r>
          <w:r>
            <w:rPr>
              <w:sz w:val="24"/>
              <w:szCs w:val="24"/>
            </w:rPr>
            <w:fldChar w:fldCharType="begin"/>
          </w:r>
          <w:r>
            <w:rPr>
              <w:sz w:val="24"/>
              <w:szCs w:val="24"/>
            </w:rPr>
            <w:instrText xml:space="preserve"> PAGEREF _Toc24827 \h </w:instrText>
          </w:r>
          <w:r>
            <w:rPr>
              <w:sz w:val="24"/>
              <w:szCs w:val="24"/>
            </w:rPr>
            <w:fldChar w:fldCharType="separate"/>
          </w:r>
          <w:r>
            <w:rPr>
              <w:sz w:val="24"/>
              <w:szCs w:val="24"/>
            </w:rPr>
            <w:t>167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09F9AE5">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_Toc4057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8.5.1一般固废</w:t>
          </w:r>
          <w:r>
            <w:rPr>
              <w:sz w:val="24"/>
              <w:szCs w:val="24"/>
            </w:rPr>
            <w:tab/>
          </w:r>
          <w:r>
            <w:rPr>
              <w:sz w:val="24"/>
              <w:szCs w:val="24"/>
            </w:rPr>
            <w:fldChar w:fldCharType="begin"/>
          </w:r>
          <w:r>
            <w:rPr>
              <w:sz w:val="24"/>
              <w:szCs w:val="24"/>
            </w:rPr>
            <w:instrText xml:space="preserve"> PAGEREF _Toc4057 \h </w:instrText>
          </w:r>
          <w:r>
            <w:rPr>
              <w:sz w:val="24"/>
              <w:szCs w:val="24"/>
            </w:rPr>
            <w:fldChar w:fldCharType="separate"/>
          </w:r>
          <w:r>
            <w:rPr>
              <w:sz w:val="24"/>
              <w:szCs w:val="24"/>
            </w:rPr>
            <w:t>167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A4310F7">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_Toc17646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8.5.2危险废物</w:t>
          </w:r>
          <w:r>
            <w:rPr>
              <w:sz w:val="24"/>
              <w:szCs w:val="24"/>
            </w:rPr>
            <w:tab/>
          </w:r>
          <w:r>
            <w:rPr>
              <w:sz w:val="24"/>
              <w:szCs w:val="24"/>
            </w:rPr>
            <w:fldChar w:fldCharType="begin"/>
          </w:r>
          <w:r>
            <w:rPr>
              <w:sz w:val="24"/>
              <w:szCs w:val="24"/>
            </w:rPr>
            <w:instrText xml:space="preserve"> PAGEREF _Toc17646 \h </w:instrText>
          </w:r>
          <w:r>
            <w:rPr>
              <w:sz w:val="24"/>
              <w:szCs w:val="24"/>
            </w:rPr>
            <w:fldChar w:fldCharType="separate"/>
          </w:r>
          <w:r>
            <w:rPr>
              <w:sz w:val="24"/>
              <w:szCs w:val="24"/>
            </w:rPr>
            <w:t>167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30ADC3D">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_Toc13777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8.6运营期环境风险防范措施及其可行性</w:t>
          </w:r>
          <w:r>
            <w:rPr>
              <w:sz w:val="24"/>
              <w:szCs w:val="24"/>
            </w:rPr>
            <w:tab/>
          </w:r>
          <w:r>
            <w:rPr>
              <w:sz w:val="24"/>
              <w:szCs w:val="24"/>
            </w:rPr>
            <w:fldChar w:fldCharType="begin"/>
          </w:r>
          <w:r>
            <w:rPr>
              <w:sz w:val="24"/>
              <w:szCs w:val="24"/>
            </w:rPr>
            <w:instrText xml:space="preserve"> PAGEREF _Toc13777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717546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_Toc4340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8.6.1风险防范识别</w:t>
          </w:r>
          <w:r>
            <w:rPr>
              <w:sz w:val="24"/>
              <w:szCs w:val="24"/>
            </w:rPr>
            <w:tab/>
          </w:r>
          <w:r>
            <w:rPr>
              <w:sz w:val="24"/>
              <w:szCs w:val="24"/>
            </w:rPr>
            <w:fldChar w:fldCharType="begin"/>
          </w:r>
          <w:r>
            <w:rPr>
              <w:sz w:val="24"/>
              <w:szCs w:val="24"/>
            </w:rPr>
            <w:instrText xml:space="preserve"> PAGEREF _Toc4340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2C1EE4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_Toc30505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8.6.2风险防范措施可行性分析</w:t>
          </w:r>
          <w:r>
            <w:rPr>
              <w:sz w:val="24"/>
              <w:szCs w:val="24"/>
            </w:rPr>
            <w:tab/>
          </w:r>
          <w:r>
            <w:rPr>
              <w:sz w:val="24"/>
              <w:szCs w:val="24"/>
            </w:rPr>
            <w:fldChar w:fldCharType="begin"/>
          </w:r>
          <w:r>
            <w:rPr>
              <w:sz w:val="24"/>
              <w:szCs w:val="24"/>
            </w:rPr>
            <w:instrText xml:space="preserve"> PAGEREF _Toc30505 \h </w:instrText>
          </w:r>
          <w:r>
            <w:rPr>
              <w:sz w:val="24"/>
              <w:szCs w:val="24"/>
            </w:rPr>
            <w:fldChar w:fldCharType="separate"/>
          </w:r>
          <w:r>
            <w:rPr>
              <w:sz w:val="24"/>
              <w:szCs w:val="24"/>
            </w:rPr>
            <w:t>169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2B28F00">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_Toc17133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9环境影响经济损益分析</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_Toc17133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170</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4BDE23A7">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_Toc4475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9.1 项目环保投资估算情况</w:t>
          </w:r>
          <w:r>
            <w:rPr>
              <w:sz w:val="24"/>
              <w:szCs w:val="24"/>
            </w:rPr>
            <w:tab/>
          </w:r>
          <w:r>
            <w:rPr>
              <w:sz w:val="24"/>
              <w:szCs w:val="24"/>
            </w:rPr>
            <w:fldChar w:fldCharType="begin"/>
          </w:r>
          <w:r>
            <w:rPr>
              <w:sz w:val="24"/>
              <w:szCs w:val="24"/>
            </w:rPr>
            <w:instrText xml:space="preserve"> PAGEREF _Toc4475 \h </w:instrText>
          </w:r>
          <w:r>
            <w:rPr>
              <w:sz w:val="24"/>
              <w:szCs w:val="24"/>
            </w:rPr>
            <w:fldChar w:fldCharType="separate"/>
          </w:r>
          <w:r>
            <w:rPr>
              <w:sz w:val="24"/>
              <w:szCs w:val="24"/>
            </w:rPr>
            <w:t>170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497298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_Toc26800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9.2 社会效益分析</w:t>
          </w:r>
          <w:r>
            <w:rPr>
              <w:sz w:val="24"/>
              <w:szCs w:val="24"/>
            </w:rPr>
            <w:tab/>
          </w:r>
          <w:r>
            <w:rPr>
              <w:sz w:val="24"/>
              <w:szCs w:val="24"/>
            </w:rPr>
            <w:fldChar w:fldCharType="begin"/>
          </w:r>
          <w:r>
            <w:rPr>
              <w:sz w:val="24"/>
              <w:szCs w:val="24"/>
            </w:rPr>
            <w:instrText xml:space="preserve"> PAGEREF _Toc26800 \h </w:instrText>
          </w:r>
          <w:r>
            <w:rPr>
              <w:sz w:val="24"/>
              <w:szCs w:val="24"/>
            </w:rPr>
            <w:fldChar w:fldCharType="separate"/>
          </w:r>
          <w:r>
            <w:rPr>
              <w:sz w:val="24"/>
              <w:szCs w:val="24"/>
            </w:rPr>
            <w:t>171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21C611B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_Toc20773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9.3 环境效益分析</w:t>
          </w:r>
          <w:r>
            <w:rPr>
              <w:sz w:val="24"/>
              <w:szCs w:val="24"/>
            </w:rPr>
            <w:tab/>
          </w:r>
          <w:r>
            <w:rPr>
              <w:sz w:val="24"/>
              <w:szCs w:val="24"/>
            </w:rPr>
            <w:fldChar w:fldCharType="begin"/>
          </w:r>
          <w:r>
            <w:rPr>
              <w:sz w:val="24"/>
              <w:szCs w:val="24"/>
            </w:rPr>
            <w:instrText xml:space="preserve"> PAGEREF _Toc20773 \h </w:instrText>
          </w:r>
          <w:r>
            <w:rPr>
              <w:sz w:val="24"/>
              <w:szCs w:val="24"/>
            </w:rPr>
            <w:fldChar w:fldCharType="separate"/>
          </w:r>
          <w:r>
            <w:rPr>
              <w:sz w:val="24"/>
              <w:szCs w:val="24"/>
            </w:rPr>
            <w:t>172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2F7AF49">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_Toc26996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9.4 经济效益分析</w:t>
          </w:r>
          <w:r>
            <w:rPr>
              <w:sz w:val="24"/>
              <w:szCs w:val="24"/>
            </w:rPr>
            <w:tab/>
          </w:r>
          <w:r>
            <w:rPr>
              <w:sz w:val="24"/>
              <w:szCs w:val="24"/>
            </w:rPr>
            <w:fldChar w:fldCharType="begin"/>
          </w:r>
          <w:r>
            <w:rPr>
              <w:sz w:val="24"/>
              <w:szCs w:val="24"/>
            </w:rPr>
            <w:instrText xml:space="preserve"> PAGEREF _Toc26996 \h </w:instrText>
          </w:r>
          <w:r>
            <w:rPr>
              <w:sz w:val="24"/>
              <w:szCs w:val="24"/>
            </w:rPr>
            <w:fldChar w:fldCharType="separate"/>
          </w:r>
          <w:r>
            <w:rPr>
              <w:sz w:val="24"/>
              <w:szCs w:val="24"/>
            </w:rPr>
            <w:t>172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FC803C8">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_Toc6065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9.5 经济损益分析结论</w:t>
          </w:r>
          <w:r>
            <w:rPr>
              <w:sz w:val="24"/>
              <w:szCs w:val="24"/>
            </w:rPr>
            <w:tab/>
          </w:r>
          <w:r>
            <w:rPr>
              <w:sz w:val="24"/>
              <w:szCs w:val="24"/>
            </w:rPr>
            <w:fldChar w:fldCharType="begin"/>
          </w:r>
          <w:r>
            <w:rPr>
              <w:sz w:val="24"/>
              <w:szCs w:val="24"/>
            </w:rPr>
            <w:instrText xml:space="preserve"> PAGEREF _Toc6065 \h </w:instrText>
          </w:r>
          <w:r>
            <w:rPr>
              <w:sz w:val="24"/>
              <w:szCs w:val="24"/>
            </w:rPr>
            <w:fldChar w:fldCharType="separate"/>
          </w:r>
          <w:r>
            <w:rPr>
              <w:sz w:val="24"/>
              <w:szCs w:val="24"/>
            </w:rPr>
            <w:t>173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488F916">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_Toc8943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10环境管理与监测计划</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_Toc8943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174</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0879DD89">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_Toc3326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10.1 环境管理的目的</w:t>
          </w:r>
          <w:r>
            <w:rPr>
              <w:sz w:val="24"/>
              <w:szCs w:val="24"/>
            </w:rPr>
            <w:tab/>
          </w:r>
          <w:r>
            <w:rPr>
              <w:sz w:val="24"/>
              <w:szCs w:val="24"/>
            </w:rPr>
            <w:fldChar w:fldCharType="begin"/>
          </w:r>
          <w:r>
            <w:rPr>
              <w:sz w:val="24"/>
              <w:szCs w:val="24"/>
            </w:rPr>
            <w:instrText xml:space="preserve"> PAGEREF _Toc3326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601772B">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_Toc17055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10.2 环境管理机构</w:t>
          </w:r>
          <w:r>
            <w:rPr>
              <w:sz w:val="24"/>
              <w:szCs w:val="24"/>
            </w:rPr>
            <w:tab/>
          </w:r>
          <w:r>
            <w:rPr>
              <w:sz w:val="24"/>
              <w:szCs w:val="24"/>
            </w:rPr>
            <w:fldChar w:fldCharType="begin"/>
          </w:r>
          <w:r>
            <w:rPr>
              <w:sz w:val="24"/>
              <w:szCs w:val="24"/>
            </w:rPr>
            <w:instrText xml:space="preserve"> PAGEREF _Toc17055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07C0F1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_Toc12052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10.3 环境管理机构的主要职责</w:t>
          </w:r>
          <w:r>
            <w:rPr>
              <w:sz w:val="24"/>
              <w:szCs w:val="24"/>
            </w:rPr>
            <w:tab/>
          </w:r>
          <w:r>
            <w:rPr>
              <w:sz w:val="24"/>
              <w:szCs w:val="24"/>
            </w:rPr>
            <w:fldChar w:fldCharType="begin"/>
          </w:r>
          <w:r>
            <w:rPr>
              <w:sz w:val="24"/>
              <w:szCs w:val="24"/>
            </w:rPr>
            <w:instrText xml:space="preserve"> PAGEREF _Toc12052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432482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_Toc30475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10.3.1 施工期的环境管理</w:t>
          </w:r>
          <w:r>
            <w:rPr>
              <w:sz w:val="24"/>
              <w:szCs w:val="24"/>
            </w:rPr>
            <w:tab/>
          </w:r>
          <w:r>
            <w:rPr>
              <w:sz w:val="24"/>
              <w:szCs w:val="24"/>
            </w:rPr>
            <w:fldChar w:fldCharType="begin"/>
          </w:r>
          <w:r>
            <w:rPr>
              <w:sz w:val="24"/>
              <w:szCs w:val="24"/>
            </w:rPr>
            <w:instrText xml:space="preserve"> PAGEREF _Toc30475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533854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_Toc30991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10.3.2 营运期的环境管理</w:t>
          </w:r>
          <w:r>
            <w:rPr>
              <w:sz w:val="24"/>
              <w:szCs w:val="24"/>
            </w:rPr>
            <w:tab/>
          </w:r>
          <w:r>
            <w:rPr>
              <w:sz w:val="24"/>
              <w:szCs w:val="24"/>
            </w:rPr>
            <w:fldChar w:fldCharType="begin"/>
          </w:r>
          <w:r>
            <w:rPr>
              <w:sz w:val="24"/>
              <w:szCs w:val="24"/>
            </w:rPr>
            <w:instrText xml:space="preserve"> PAGEREF _Toc30991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97217C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_Toc8057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10.4 污染源监测计划建议</w:t>
          </w:r>
          <w:r>
            <w:rPr>
              <w:sz w:val="24"/>
              <w:szCs w:val="24"/>
            </w:rPr>
            <w:tab/>
          </w:r>
          <w:r>
            <w:rPr>
              <w:sz w:val="24"/>
              <w:szCs w:val="24"/>
            </w:rPr>
            <w:fldChar w:fldCharType="begin"/>
          </w:r>
          <w:r>
            <w:rPr>
              <w:sz w:val="24"/>
              <w:szCs w:val="24"/>
            </w:rPr>
            <w:instrText xml:space="preserve"> PAGEREF _Toc8057 \h </w:instrText>
          </w:r>
          <w:r>
            <w:rPr>
              <w:sz w:val="24"/>
              <w:szCs w:val="24"/>
            </w:rPr>
            <w:fldChar w:fldCharType="separate"/>
          </w:r>
          <w:r>
            <w:rPr>
              <w:sz w:val="24"/>
              <w:szCs w:val="24"/>
            </w:rPr>
            <w:t>175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455DE63">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_Toc14411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10.5 环保管理、监测人员的培训计划</w:t>
          </w:r>
          <w:r>
            <w:rPr>
              <w:sz w:val="24"/>
              <w:szCs w:val="24"/>
            </w:rPr>
            <w:tab/>
          </w:r>
          <w:r>
            <w:rPr>
              <w:sz w:val="24"/>
              <w:szCs w:val="24"/>
            </w:rPr>
            <w:fldChar w:fldCharType="begin"/>
          </w:r>
          <w:r>
            <w:rPr>
              <w:sz w:val="24"/>
              <w:szCs w:val="24"/>
            </w:rPr>
            <w:instrText xml:space="preserve"> PAGEREF _Toc14411 \h </w:instrText>
          </w:r>
          <w:r>
            <w:rPr>
              <w:sz w:val="24"/>
              <w:szCs w:val="24"/>
            </w:rPr>
            <w:fldChar w:fldCharType="separate"/>
          </w:r>
          <w:r>
            <w:rPr>
              <w:sz w:val="24"/>
              <w:szCs w:val="24"/>
            </w:rPr>
            <w:t>176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3E67F47">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_Toc21846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10.6项目竣工环境保护验收</w:t>
          </w:r>
          <w:r>
            <w:rPr>
              <w:sz w:val="24"/>
              <w:szCs w:val="24"/>
            </w:rPr>
            <w:tab/>
          </w:r>
          <w:r>
            <w:rPr>
              <w:sz w:val="24"/>
              <w:szCs w:val="24"/>
            </w:rPr>
            <w:fldChar w:fldCharType="begin"/>
          </w:r>
          <w:r>
            <w:rPr>
              <w:sz w:val="24"/>
              <w:szCs w:val="24"/>
            </w:rPr>
            <w:instrText xml:space="preserve"> PAGEREF _Toc21846 \h </w:instrText>
          </w:r>
          <w:r>
            <w:rPr>
              <w:sz w:val="24"/>
              <w:szCs w:val="24"/>
            </w:rPr>
            <w:fldChar w:fldCharType="separate"/>
          </w:r>
          <w:r>
            <w:rPr>
              <w:sz w:val="24"/>
              <w:szCs w:val="24"/>
            </w:rPr>
            <w:t>176</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6F37C70">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_Toc25759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10.7总量控制</w:t>
          </w:r>
          <w:r>
            <w:rPr>
              <w:sz w:val="24"/>
              <w:szCs w:val="24"/>
            </w:rPr>
            <w:tab/>
          </w:r>
          <w:r>
            <w:rPr>
              <w:sz w:val="24"/>
              <w:szCs w:val="24"/>
            </w:rPr>
            <w:fldChar w:fldCharType="begin"/>
          </w:r>
          <w:r>
            <w:rPr>
              <w:sz w:val="24"/>
              <w:szCs w:val="24"/>
            </w:rPr>
            <w:instrText xml:space="preserve"> PAGEREF _Toc25759 \h </w:instrText>
          </w:r>
          <w:r>
            <w:rPr>
              <w:sz w:val="24"/>
              <w:szCs w:val="24"/>
            </w:rPr>
            <w:fldChar w:fldCharType="separate"/>
          </w:r>
          <w:r>
            <w:rPr>
              <w:sz w:val="24"/>
              <w:szCs w:val="24"/>
            </w:rPr>
            <w:t>177</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2AF1C2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_Toc25877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10.8排污口规范化设置</w:t>
          </w:r>
          <w:r>
            <w:rPr>
              <w:sz w:val="24"/>
              <w:szCs w:val="24"/>
            </w:rPr>
            <w:tab/>
          </w:r>
          <w:r>
            <w:rPr>
              <w:sz w:val="24"/>
              <w:szCs w:val="24"/>
            </w:rPr>
            <w:fldChar w:fldCharType="begin"/>
          </w:r>
          <w:r>
            <w:rPr>
              <w:sz w:val="24"/>
              <w:szCs w:val="24"/>
            </w:rPr>
            <w:instrText xml:space="preserve"> PAGEREF _Toc25877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75B4324">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_Toc4982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10.8.1排污口设置要求</w:t>
          </w:r>
          <w:r>
            <w:rPr>
              <w:sz w:val="24"/>
              <w:szCs w:val="24"/>
            </w:rPr>
            <w:tab/>
          </w:r>
          <w:r>
            <w:rPr>
              <w:sz w:val="24"/>
              <w:szCs w:val="24"/>
            </w:rPr>
            <w:fldChar w:fldCharType="begin"/>
          </w:r>
          <w:r>
            <w:rPr>
              <w:sz w:val="24"/>
              <w:szCs w:val="24"/>
            </w:rPr>
            <w:instrText xml:space="preserve"> PAGEREF _Toc4982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A3A217A">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_Toc21671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10.8.2排污口管理原则</w:t>
          </w:r>
          <w:r>
            <w:rPr>
              <w:sz w:val="24"/>
              <w:szCs w:val="24"/>
            </w:rPr>
            <w:tab/>
          </w:r>
          <w:r>
            <w:rPr>
              <w:sz w:val="24"/>
              <w:szCs w:val="24"/>
            </w:rPr>
            <w:fldChar w:fldCharType="begin"/>
          </w:r>
          <w:r>
            <w:rPr>
              <w:sz w:val="24"/>
              <w:szCs w:val="24"/>
            </w:rPr>
            <w:instrText xml:space="preserve"> PAGEREF _Toc21671 \h </w:instrText>
          </w:r>
          <w:r>
            <w:rPr>
              <w:sz w:val="24"/>
              <w:szCs w:val="24"/>
            </w:rPr>
            <w:fldChar w:fldCharType="separate"/>
          </w:r>
          <w:r>
            <w:rPr>
              <w:sz w:val="24"/>
              <w:szCs w:val="24"/>
            </w:rPr>
            <w:t>179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2A051E9">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_Toc13761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10.8.3排污口立标管理</w:t>
          </w:r>
          <w:r>
            <w:rPr>
              <w:sz w:val="24"/>
              <w:szCs w:val="24"/>
            </w:rPr>
            <w:tab/>
          </w:r>
          <w:r>
            <w:rPr>
              <w:sz w:val="24"/>
              <w:szCs w:val="24"/>
            </w:rPr>
            <w:fldChar w:fldCharType="begin"/>
          </w:r>
          <w:r>
            <w:rPr>
              <w:sz w:val="24"/>
              <w:szCs w:val="24"/>
            </w:rPr>
            <w:instrText xml:space="preserve"> PAGEREF _Toc13761 \h </w:instrText>
          </w:r>
          <w:r>
            <w:rPr>
              <w:sz w:val="24"/>
              <w:szCs w:val="24"/>
            </w:rPr>
            <w:fldChar w:fldCharType="separate"/>
          </w:r>
          <w:r>
            <w:rPr>
              <w:sz w:val="24"/>
              <w:szCs w:val="24"/>
            </w:rPr>
            <w:t>179</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083D0C8">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_Toc20854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10.9信息公开制度</w:t>
          </w:r>
          <w:r>
            <w:rPr>
              <w:sz w:val="24"/>
              <w:szCs w:val="24"/>
            </w:rPr>
            <w:tab/>
          </w:r>
          <w:r>
            <w:rPr>
              <w:sz w:val="24"/>
              <w:szCs w:val="24"/>
            </w:rPr>
            <w:fldChar w:fldCharType="begin"/>
          </w:r>
          <w:r>
            <w:rPr>
              <w:sz w:val="24"/>
              <w:szCs w:val="24"/>
            </w:rPr>
            <w:instrText xml:space="preserve"> PAGEREF _Toc20854 \h </w:instrText>
          </w:r>
          <w:r>
            <w:rPr>
              <w:sz w:val="24"/>
              <w:szCs w:val="24"/>
            </w:rPr>
            <w:fldChar w:fldCharType="separate"/>
          </w:r>
          <w:r>
            <w:rPr>
              <w:sz w:val="24"/>
              <w:szCs w:val="24"/>
            </w:rPr>
            <w:t>180</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6B79851">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HYPERLINK \l _Toc6916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11结论及建议</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ab/>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instrText xml:space="preserve"> PAGEREF _Toc6916 \h </w:instrTex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separate"/>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t>181</w:t>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r>
            <w:rPr>
              <w:rFonts w:hint="default" w:ascii="Times New Roman" w:hAnsi="Times New Roman" w:eastAsia="宋体" w:cs="Times New Roman"/>
              <w:b/>
              <w:bCs/>
              <w:i w:val="0"/>
              <w:iCs w:val="0"/>
              <w:caps w:val="0"/>
              <w:color w:val="auto"/>
              <w:spacing w:val="0"/>
              <w:sz w:val="24"/>
              <w:szCs w:val="24"/>
              <w:u w:val="none"/>
              <w:shd w:val="clear" w:fill="FFFFFF"/>
              <w:lang w:val="en-US" w:eastAsia="zh-CN"/>
            </w:rPr>
            <w:fldChar w:fldCharType="end"/>
          </w:r>
        </w:p>
        <w:p w14:paraId="1F53D862">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_Toc13513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11.1 项目概况</w:t>
          </w:r>
          <w:r>
            <w:rPr>
              <w:sz w:val="24"/>
              <w:szCs w:val="24"/>
            </w:rPr>
            <w:tab/>
          </w:r>
          <w:r>
            <w:rPr>
              <w:sz w:val="24"/>
              <w:szCs w:val="24"/>
            </w:rPr>
            <w:fldChar w:fldCharType="begin"/>
          </w:r>
          <w:r>
            <w:rPr>
              <w:sz w:val="24"/>
              <w:szCs w:val="24"/>
            </w:rPr>
            <w:instrText xml:space="preserve"> PAGEREF _Toc13513 \h </w:instrText>
          </w:r>
          <w:r>
            <w:rPr>
              <w:sz w:val="24"/>
              <w:szCs w:val="24"/>
            </w:rPr>
            <w:fldChar w:fldCharType="separate"/>
          </w:r>
          <w:r>
            <w:rPr>
              <w:sz w:val="24"/>
              <w:szCs w:val="24"/>
            </w:rPr>
            <w:t>181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7B7BFBF">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_Toc6748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11.2 环境质量现状</w:t>
          </w:r>
          <w:r>
            <w:rPr>
              <w:sz w:val="24"/>
              <w:szCs w:val="24"/>
            </w:rPr>
            <w:tab/>
          </w:r>
          <w:r>
            <w:rPr>
              <w:sz w:val="24"/>
              <w:szCs w:val="24"/>
            </w:rPr>
            <w:fldChar w:fldCharType="begin"/>
          </w:r>
          <w:r>
            <w:rPr>
              <w:sz w:val="24"/>
              <w:szCs w:val="24"/>
            </w:rPr>
            <w:instrText xml:space="preserve"> PAGEREF _Toc6748 \h </w:instrText>
          </w:r>
          <w:r>
            <w:rPr>
              <w:sz w:val="24"/>
              <w:szCs w:val="24"/>
            </w:rPr>
            <w:fldChar w:fldCharType="separate"/>
          </w:r>
          <w:r>
            <w:rPr>
              <w:sz w:val="24"/>
              <w:szCs w:val="24"/>
            </w:rPr>
            <w:t>181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9A0D0E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_Toc20082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11.3相关政策符合性</w:t>
          </w:r>
          <w:r>
            <w:rPr>
              <w:sz w:val="24"/>
              <w:szCs w:val="24"/>
            </w:rPr>
            <w:tab/>
          </w:r>
          <w:r>
            <w:rPr>
              <w:sz w:val="24"/>
              <w:szCs w:val="24"/>
            </w:rPr>
            <w:fldChar w:fldCharType="begin"/>
          </w:r>
          <w:r>
            <w:rPr>
              <w:sz w:val="24"/>
              <w:szCs w:val="24"/>
            </w:rPr>
            <w:instrText xml:space="preserve"> PAGEREF _Toc20082 \h </w:instrText>
          </w:r>
          <w:r>
            <w:rPr>
              <w:sz w:val="24"/>
              <w:szCs w:val="24"/>
            </w:rPr>
            <w:fldChar w:fldCharType="separate"/>
          </w:r>
          <w:r>
            <w:rPr>
              <w:sz w:val="24"/>
              <w:szCs w:val="24"/>
            </w:rPr>
            <w:t>181</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E5EA762">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_Toc19317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 项目主要环境影响</w:t>
          </w:r>
          <w:r>
            <w:rPr>
              <w:sz w:val="24"/>
              <w:szCs w:val="24"/>
            </w:rPr>
            <w:tab/>
          </w:r>
          <w:r>
            <w:rPr>
              <w:sz w:val="24"/>
              <w:szCs w:val="24"/>
            </w:rPr>
            <w:fldChar w:fldCharType="begin"/>
          </w:r>
          <w:r>
            <w:rPr>
              <w:sz w:val="24"/>
              <w:szCs w:val="24"/>
            </w:rPr>
            <w:instrText xml:space="preserve"> PAGEREF _Toc19317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251AB39">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_Toc29068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11.4.1废水</w:t>
          </w:r>
          <w:r>
            <w:rPr>
              <w:sz w:val="24"/>
              <w:szCs w:val="24"/>
            </w:rPr>
            <w:tab/>
          </w:r>
          <w:r>
            <w:rPr>
              <w:sz w:val="24"/>
              <w:szCs w:val="24"/>
            </w:rPr>
            <w:fldChar w:fldCharType="begin"/>
          </w:r>
          <w:r>
            <w:rPr>
              <w:sz w:val="24"/>
              <w:szCs w:val="24"/>
            </w:rPr>
            <w:instrText xml:space="preserve"> PAGEREF _Toc29068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1E91EEFB">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_Toc11544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11.4.2地下水</w:t>
          </w:r>
          <w:r>
            <w:rPr>
              <w:sz w:val="24"/>
              <w:szCs w:val="24"/>
            </w:rPr>
            <w:tab/>
          </w:r>
          <w:r>
            <w:rPr>
              <w:sz w:val="24"/>
              <w:szCs w:val="24"/>
            </w:rPr>
            <w:fldChar w:fldCharType="begin"/>
          </w:r>
          <w:r>
            <w:rPr>
              <w:sz w:val="24"/>
              <w:szCs w:val="24"/>
            </w:rPr>
            <w:instrText xml:space="preserve"> PAGEREF _Toc11544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8886733">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_Toc8560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11.4.3废气</w:t>
          </w:r>
          <w:r>
            <w:rPr>
              <w:sz w:val="24"/>
              <w:szCs w:val="24"/>
            </w:rPr>
            <w:tab/>
          </w:r>
          <w:r>
            <w:rPr>
              <w:sz w:val="24"/>
              <w:szCs w:val="24"/>
            </w:rPr>
            <w:fldChar w:fldCharType="begin"/>
          </w:r>
          <w:r>
            <w:rPr>
              <w:sz w:val="24"/>
              <w:szCs w:val="24"/>
            </w:rPr>
            <w:instrText xml:space="preserve"> PAGEREF _Toc8560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48437E32">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_Toc32291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11.4.4噪声</w:t>
          </w:r>
          <w:r>
            <w:rPr>
              <w:sz w:val="24"/>
              <w:szCs w:val="24"/>
            </w:rPr>
            <w:tab/>
          </w:r>
          <w:r>
            <w:rPr>
              <w:sz w:val="24"/>
              <w:szCs w:val="24"/>
            </w:rPr>
            <w:fldChar w:fldCharType="begin"/>
          </w:r>
          <w:r>
            <w:rPr>
              <w:sz w:val="24"/>
              <w:szCs w:val="24"/>
            </w:rPr>
            <w:instrText xml:space="preserve"> PAGEREF _Toc32291 \h </w:instrText>
          </w:r>
          <w:r>
            <w:rPr>
              <w:sz w:val="24"/>
              <w:szCs w:val="24"/>
            </w:rPr>
            <w:fldChar w:fldCharType="separate"/>
          </w:r>
          <w:r>
            <w:rPr>
              <w:sz w:val="24"/>
              <w:szCs w:val="24"/>
            </w:rPr>
            <w:t>183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5A83F128">
          <w:pPr>
            <w:pStyle w:val="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_Toc28357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11.4.5固废</w:t>
          </w:r>
          <w:r>
            <w:rPr>
              <w:sz w:val="24"/>
              <w:szCs w:val="24"/>
            </w:rPr>
            <w:tab/>
          </w:r>
          <w:r>
            <w:rPr>
              <w:sz w:val="24"/>
              <w:szCs w:val="24"/>
            </w:rPr>
            <w:fldChar w:fldCharType="begin"/>
          </w:r>
          <w:r>
            <w:rPr>
              <w:sz w:val="24"/>
              <w:szCs w:val="24"/>
            </w:rPr>
            <w:instrText xml:space="preserve"> PAGEREF _Toc28357 \h </w:instrText>
          </w:r>
          <w:r>
            <w:rPr>
              <w:sz w:val="24"/>
              <w:szCs w:val="24"/>
            </w:rPr>
            <w:fldChar w:fldCharType="separate"/>
          </w:r>
          <w:r>
            <w:rPr>
              <w:sz w:val="24"/>
              <w:szCs w:val="24"/>
            </w:rPr>
            <w:t>183</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E5E9D2D">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_Toc11484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11.5 环境风险</w:t>
          </w:r>
          <w:r>
            <w:rPr>
              <w:sz w:val="24"/>
              <w:szCs w:val="24"/>
            </w:rPr>
            <w:tab/>
          </w:r>
          <w:r>
            <w:rPr>
              <w:sz w:val="24"/>
              <w:szCs w:val="24"/>
            </w:rPr>
            <w:fldChar w:fldCharType="begin"/>
          </w:r>
          <w:r>
            <w:rPr>
              <w:sz w:val="24"/>
              <w:szCs w:val="24"/>
            </w:rPr>
            <w:instrText xml:space="preserve"> PAGEREF _Toc11484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C6EAD4B">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_Toc5645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11.6 总量控制</w:t>
          </w:r>
          <w:r>
            <w:rPr>
              <w:sz w:val="24"/>
              <w:szCs w:val="24"/>
            </w:rPr>
            <w:tab/>
          </w:r>
          <w:r>
            <w:rPr>
              <w:sz w:val="24"/>
              <w:szCs w:val="24"/>
            </w:rPr>
            <w:fldChar w:fldCharType="begin"/>
          </w:r>
          <w:r>
            <w:rPr>
              <w:sz w:val="24"/>
              <w:szCs w:val="24"/>
            </w:rPr>
            <w:instrText xml:space="preserve"> PAGEREF _Toc5645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6C3C9D99">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_Toc13771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11.7 环境经济损益分析</w:t>
          </w:r>
          <w:r>
            <w:rPr>
              <w:sz w:val="24"/>
              <w:szCs w:val="24"/>
            </w:rPr>
            <w:tab/>
          </w:r>
          <w:r>
            <w:rPr>
              <w:sz w:val="24"/>
              <w:szCs w:val="24"/>
            </w:rPr>
            <w:fldChar w:fldCharType="begin"/>
          </w:r>
          <w:r>
            <w:rPr>
              <w:sz w:val="24"/>
              <w:szCs w:val="24"/>
            </w:rPr>
            <w:instrText xml:space="preserve"> PAGEREF _Toc13771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CA54DB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_Toc13203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11.8 公众意见采纳情况</w:t>
          </w:r>
          <w:r>
            <w:rPr>
              <w:sz w:val="24"/>
              <w:szCs w:val="24"/>
            </w:rPr>
            <w:tab/>
          </w:r>
          <w:r>
            <w:rPr>
              <w:sz w:val="24"/>
              <w:szCs w:val="24"/>
            </w:rPr>
            <w:fldChar w:fldCharType="begin"/>
          </w:r>
          <w:r>
            <w:rPr>
              <w:sz w:val="24"/>
              <w:szCs w:val="24"/>
            </w:rPr>
            <w:instrText xml:space="preserve"> PAGEREF _Toc13203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09E8B816">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_Toc5730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10.9综合结论</w:t>
          </w:r>
          <w:r>
            <w:rPr>
              <w:sz w:val="24"/>
              <w:szCs w:val="24"/>
            </w:rPr>
            <w:tab/>
          </w:r>
          <w:r>
            <w:rPr>
              <w:sz w:val="24"/>
              <w:szCs w:val="24"/>
            </w:rPr>
            <w:fldChar w:fldCharType="begin"/>
          </w:r>
          <w:r>
            <w:rPr>
              <w:sz w:val="24"/>
              <w:szCs w:val="24"/>
            </w:rPr>
            <w:instrText xml:space="preserve"> PAGEREF _Toc5730 \h </w:instrText>
          </w:r>
          <w:r>
            <w:rPr>
              <w:sz w:val="24"/>
              <w:szCs w:val="24"/>
            </w:rPr>
            <w:fldChar w:fldCharType="separate"/>
          </w:r>
          <w:r>
            <w:rPr>
              <w:sz w:val="24"/>
              <w:szCs w:val="24"/>
            </w:rPr>
            <w:t>185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7B24425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begin"/>
          </w:r>
          <w:r>
            <w:rPr>
              <w:rFonts w:hint="default" w:ascii="Times New Roman" w:hAnsi="Times New Roman" w:eastAsia="宋体" w:cs="Times New Roman"/>
              <w:bCs/>
              <w:i w:val="0"/>
              <w:iCs w:val="0"/>
              <w:caps w:val="0"/>
              <w:spacing w:val="0"/>
              <w:sz w:val="24"/>
              <w:szCs w:val="24"/>
              <w:shd w:val="clear" w:fill="FFFFFF"/>
              <w:lang w:val="en-US" w:eastAsia="zh-CN"/>
            </w:rPr>
            <w:instrText xml:space="preserve"> HYPERLINK \l _Toc16367 </w:instrText>
          </w:r>
          <w:r>
            <w:rPr>
              <w:rFonts w:hint="default" w:ascii="Times New Roman" w:hAnsi="Times New Roman" w:eastAsia="宋体" w:cs="Times New Roman"/>
              <w:bCs/>
              <w:i w:val="0"/>
              <w:iCs w:val="0"/>
              <w:caps w:val="0"/>
              <w:spacing w:val="0"/>
              <w:sz w:val="24"/>
              <w:szCs w:val="24"/>
              <w:shd w:val="clear" w:fill="FFFFFF"/>
              <w:lang w:val="en-US" w:eastAsia="zh-CN"/>
            </w:rPr>
            <w:fldChar w:fldCharType="separate"/>
          </w:r>
          <w:r>
            <w:rPr>
              <w:rFonts w:hint="default" w:ascii="Times New Roman" w:hAnsi="Times New Roman" w:eastAsia="宋体" w:cs="Times New Roman"/>
              <w:sz w:val="24"/>
              <w:szCs w:val="24"/>
              <w:lang w:val="en-US" w:eastAsia="zh-CN"/>
            </w:rPr>
            <w:t>11.10 建议</w:t>
          </w:r>
          <w:r>
            <w:rPr>
              <w:sz w:val="24"/>
              <w:szCs w:val="24"/>
            </w:rPr>
            <w:tab/>
          </w:r>
          <w:r>
            <w:rPr>
              <w:sz w:val="24"/>
              <w:szCs w:val="24"/>
            </w:rPr>
            <w:fldChar w:fldCharType="begin"/>
          </w:r>
          <w:r>
            <w:rPr>
              <w:sz w:val="24"/>
              <w:szCs w:val="24"/>
            </w:rPr>
            <w:instrText xml:space="preserve"> PAGEREF _Toc16367 \h </w:instrText>
          </w:r>
          <w:r>
            <w:rPr>
              <w:sz w:val="24"/>
              <w:szCs w:val="24"/>
            </w:rPr>
            <w:fldChar w:fldCharType="separate"/>
          </w:r>
          <w:r>
            <w:rPr>
              <w:sz w:val="24"/>
              <w:szCs w:val="24"/>
            </w:rPr>
            <w:t>185</w:t>
          </w:r>
          <w:r>
            <w:rPr>
              <w:sz w:val="24"/>
              <w:szCs w:val="24"/>
            </w:rPr>
            <w:fldChar w:fldCharType="end"/>
          </w:r>
          <w:r>
            <w:rPr>
              <w:rFonts w:hint="default" w:ascii="Times New Roman" w:hAnsi="Times New Roman" w:eastAsia="宋体" w:cs="Times New Roman"/>
              <w:bCs/>
              <w:i w:val="0"/>
              <w:iCs w:val="0"/>
              <w:caps w:val="0"/>
              <w:color w:val="auto"/>
              <w:spacing w:val="0"/>
              <w:sz w:val="24"/>
              <w:szCs w:val="24"/>
              <w:u w:val="none"/>
              <w:shd w:val="clear" w:fill="FFFFFF"/>
              <w:lang w:val="en-US" w:eastAsia="zh-CN"/>
            </w:rPr>
            <w:fldChar w:fldCharType="end"/>
          </w:r>
        </w:p>
        <w:p w14:paraId="3C7A594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center"/>
            <w:textAlignment w:val="auto"/>
            <w:rPr>
              <w:rFonts w:hint="default" w:ascii="Times New Roman" w:hAnsi="Times New Roman" w:eastAsia="宋体" w:cs="Times New Roman"/>
              <w:b/>
              <w:bCs/>
              <w:i w:val="0"/>
              <w:iCs w:val="0"/>
              <w:caps w:val="0"/>
              <w:color w:val="auto"/>
              <w:spacing w:val="0"/>
              <w:sz w:val="24"/>
              <w:szCs w:val="24"/>
              <w:u w:val="none"/>
              <w:shd w:val="clear" w:fill="FFFFFF"/>
              <w:lang w:val="en-US" w:eastAsia="zh-CN"/>
            </w:rPr>
          </w:pPr>
          <w:r>
            <w:rPr>
              <w:rFonts w:hint="default" w:ascii="Times New Roman" w:hAnsi="Times New Roman" w:eastAsia="宋体" w:cs="Times New Roman"/>
              <w:bCs/>
              <w:i w:val="0"/>
              <w:iCs w:val="0"/>
              <w:caps w:val="0"/>
              <w:color w:val="auto"/>
              <w:spacing w:val="0"/>
              <w:szCs w:val="24"/>
              <w:u w:val="none"/>
              <w:shd w:val="clear" w:fill="FFFFFF"/>
              <w:lang w:val="en-US" w:eastAsia="zh-CN"/>
            </w:rPr>
            <w:fldChar w:fldCharType="end"/>
          </w:r>
        </w:p>
      </w:sdtContent>
    </w:sdt>
    <w:p w14:paraId="0470E2E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i w:val="0"/>
          <w:iCs w:val="0"/>
          <w:caps w:val="0"/>
          <w:color w:val="auto"/>
          <w:spacing w:val="0"/>
          <w:sz w:val="24"/>
          <w:szCs w:val="24"/>
          <w:u w:val="none"/>
          <w:shd w:val="clear" w:fill="FFFFFF"/>
        </w:rPr>
      </w:pPr>
    </w:p>
    <w:p w14:paraId="0404D81A">
      <w:pPr>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br w:type="page"/>
      </w:r>
    </w:p>
    <w:p w14:paraId="3C017F04">
      <w:pPr>
        <w:keepNext w:val="0"/>
        <w:keepLines w:val="0"/>
        <w:pageBreakBefore w:val="0"/>
        <w:widowControl w:val="0"/>
        <w:kinsoku/>
        <w:wordWrap/>
        <w:overflowPunct/>
        <w:topLinePunct w:val="0"/>
        <w:autoSpaceDE/>
        <w:autoSpaceDN/>
        <w:bidi w:val="0"/>
        <w:adjustRightInd/>
        <w:snapToGrid/>
        <w:spacing w:line="312" w:lineRule="auto"/>
        <w:jc w:val="both"/>
        <w:textAlignment w:val="auto"/>
        <w:outlineLvl w:val="9"/>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附表：</w:t>
      </w:r>
    </w:p>
    <w:p w14:paraId="71CB7329">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附表</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建设项目环境影响报告书审批基础信息表</w:t>
      </w:r>
    </w:p>
    <w:p w14:paraId="4273B72F">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附表2：地表水环境影响评价自查表</w:t>
      </w:r>
    </w:p>
    <w:p w14:paraId="1446288E">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附表3：建设项目大气环境影响评价自查表</w:t>
      </w:r>
    </w:p>
    <w:p w14:paraId="3D651E86">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附表4：</w:t>
      </w:r>
      <w:r>
        <w:rPr>
          <w:rFonts w:hint="eastAsia" w:ascii="Times New Roman" w:hAnsi="Times New Roman" w:cs="Times New Roman"/>
          <w:color w:val="auto"/>
          <w:highlight w:val="none"/>
          <w:lang w:val="en-US" w:eastAsia="zh-CN"/>
        </w:rPr>
        <w:t>声环境影响评价自查表</w:t>
      </w:r>
    </w:p>
    <w:p w14:paraId="2D0F05CC">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附表5：土壤环境影响评价自查表</w:t>
      </w:r>
    </w:p>
    <w:p w14:paraId="2844E929">
      <w:pPr>
        <w:pStyle w:val="27"/>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附表6：</w:t>
      </w:r>
      <w:r>
        <w:rPr>
          <w:rFonts w:hint="default" w:ascii="Times New Roman" w:hAnsi="Times New Roman" w:cs="Times New Roman"/>
          <w:color w:val="auto"/>
          <w:highlight w:val="none"/>
          <w:lang w:val="en-US" w:eastAsia="zh-CN"/>
        </w:rPr>
        <w:t>环境风险评价自查表</w:t>
      </w:r>
    </w:p>
    <w:p w14:paraId="2C2B87B1">
      <w:pPr>
        <w:keepNext w:val="0"/>
        <w:keepLines w:val="0"/>
        <w:pageBreakBefore w:val="0"/>
        <w:widowControl w:val="0"/>
        <w:kinsoku/>
        <w:wordWrap/>
        <w:overflowPunct/>
        <w:topLinePunct w:val="0"/>
        <w:autoSpaceDE/>
        <w:autoSpaceDN/>
        <w:bidi w:val="0"/>
        <w:adjustRightInd/>
        <w:snapToGrid/>
        <w:spacing w:line="312" w:lineRule="auto"/>
        <w:jc w:val="both"/>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附图：</w:t>
      </w:r>
    </w:p>
    <w:p w14:paraId="29E5A3C9">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附图1：项目地理位置图</w:t>
      </w:r>
    </w:p>
    <w:p w14:paraId="0F49B7A6">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附图2：</w:t>
      </w:r>
      <w:r>
        <w:rPr>
          <w:rFonts w:hint="default" w:ascii="Times New Roman" w:hAnsi="Times New Roman" w:cs="Times New Roman"/>
          <w:color w:val="auto"/>
          <w:sz w:val="24"/>
          <w:szCs w:val="24"/>
          <w:highlight w:val="none"/>
          <w:lang w:eastAsia="zh-CN"/>
        </w:rPr>
        <w:t>外环境关系图</w:t>
      </w:r>
    </w:p>
    <w:p w14:paraId="787BB5C7">
      <w:pPr>
        <w:pStyle w:val="27"/>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附图</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总</w:t>
      </w:r>
      <w:r>
        <w:rPr>
          <w:rFonts w:hint="default" w:ascii="Times New Roman" w:hAnsi="Times New Roman" w:cs="Times New Roman"/>
          <w:color w:val="auto"/>
          <w:sz w:val="24"/>
          <w:szCs w:val="24"/>
          <w:highlight w:val="none"/>
          <w:lang w:val="en-US" w:eastAsia="zh-CN"/>
        </w:rPr>
        <w:t>平面布置图</w:t>
      </w:r>
    </w:p>
    <w:p w14:paraId="723ED82C">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eastAsia" w:ascii="Times New Roman" w:hAnsi="Times New Roman" w:cs="Times New Roman" w:eastAsiaTheme="minorEastAsia"/>
          <w:b w:val="0"/>
          <w:bCs w:val="0"/>
          <w:color w:val="auto"/>
          <w:kern w:val="2"/>
          <w:sz w:val="24"/>
          <w:szCs w:val="24"/>
          <w:highlight w:val="none"/>
          <w:lang w:val="en-US" w:eastAsia="zh-CN" w:bidi="ar-SA"/>
        </w:rPr>
        <w:t>附图4：各楼层平面分布图</w:t>
      </w:r>
    </w:p>
    <w:p w14:paraId="1F84421E">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eastAsia="宋体" w:cs="Times New Roman"/>
          <w:b w:val="0"/>
          <w:bCs w:val="0"/>
          <w:i w:val="0"/>
          <w:iCs w:val="0"/>
          <w:caps w:val="0"/>
          <w:color w:val="auto"/>
          <w:spacing w:val="0"/>
          <w:sz w:val="24"/>
          <w:szCs w:val="24"/>
          <w:u w:val="none"/>
          <w:shd w:val="clear" w:fill="FFFFFF"/>
          <w:lang w:val="en-US" w:eastAsia="zh-CN"/>
        </w:rPr>
      </w:pPr>
      <w:r>
        <w:rPr>
          <w:rFonts w:hint="eastAsia" w:ascii="Times New Roman" w:hAnsi="Times New Roman" w:eastAsia="宋体" w:cs="Times New Roman"/>
          <w:b w:val="0"/>
          <w:bCs w:val="0"/>
          <w:i w:val="0"/>
          <w:iCs w:val="0"/>
          <w:caps w:val="0"/>
          <w:color w:val="auto"/>
          <w:spacing w:val="0"/>
          <w:sz w:val="24"/>
          <w:szCs w:val="24"/>
          <w:u w:val="none"/>
          <w:shd w:val="clear" w:fill="FFFFFF"/>
          <w:lang w:val="en-US" w:eastAsia="zh-CN"/>
        </w:rPr>
        <w:t>附图5：生态红线图</w:t>
      </w:r>
    </w:p>
    <w:p w14:paraId="59C05874">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b w:val="0"/>
          <w:bCs w:val="0"/>
          <w:i w:val="0"/>
          <w:iCs w:val="0"/>
          <w:caps w:val="0"/>
          <w:color w:val="auto"/>
          <w:spacing w:val="0"/>
          <w:sz w:val="24"/>
          <w:szCs w:val="24"/>
          <w:u w:val="none"/>
          <w:shd w:val="clear" w:fill="FFFFFF"/>
          <w:lang w:val="en-US" w:eastAsia="zh-CN"/>
        </w:rPr>
      </w:pPr>
      <w:r>
        <w:rPr>
          <w:rFonts w:hint="eastAsia" w:ascii="Times New Roman" w:hAnsi="Times New Roman" w:eastAsia="宋体" w:cs="Times New Roman"/>
          <w:b w:val="0"/>
          <w:bCs w:val="0"/>
          <w:i w:val="0"/>
          <w:iCs w:val="0"/>
          <w:caps w:val="0"/>
          <w:color w:val="auto"/>
          <w:spacing w:val="0"/>
          <w:sz w:val="24"/>
          <w:szCs w:val="24"/>
          <w:u w:val="none"/>
          <w:shd w:val="clear" w:fill="FFFFFF"/>
          <w:lang w:val="en-US" w:eastAsia="zh-CN"/>
        </w:rPr>
        <w:t>附图6：遂宁市环境管控单元图</w:t>
      </w:r>
    </w:p>
    <w:p w14:paraId="4874BE67">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eastAsia="宋体" w:cs="Times New Roman"/>
          <w:b w:val="0"/>
          <w:bCs w:val="0"/>
          <w:i w:val="0"/>
          <w:iCs w:val="0"/>
          <w:caps w:val="0"/>
          <w:color w:val="auto"/>
          <w:spacing w:val="0"/>
          <w:sz w:val="24"/>
          <w:szCs w:val="24"/>
          <w:u w:val="none"/>
          <w:shd w:val="clear" w:fill="FFFFFF"/>
          <w:lang w:val="en-US" w:eastAsia="zh-CN"/>
        </w:rPr>
      </w:pPr>
      <w:r>
        <w:rPr>
          <w:rFonts w:hint="eastAsia" w:ascii="Times New Roman" w:hAnsi="Times New Roman" w:cs="Times New Roman"/>
          <w:b w:val="0"/>
          <w:bCs w:val="0"/>
          <w:color w:val="auto"/>
          <w:kern w:val="2"/>
          <w:sz w:val="24"/>
          <w:szCs w:val="24"/>
          <w:highlight w:val="none"/>
          <w:lang w:val="en-US" w:eastAsia="zh-CN" w:bidi="ar-SA"/>
        </w:rPr>
        <w:t>附图7：</w:t>
      </w:r>
      <w:r>
        <w:rPr>
          <w:rFonts w:hint="eastAsia" w:ascii="Times New Roman" w:hAnsi="Times New Roman" w:eastAsia="宋体" w:cs="Times New Roman"/>
          <w:b w:val="0"/>
          <w:bCs w:val="0"/>
          <w:i w:val="0"/>
          <w:iCs w:val="0"/>
          <w:caps w:val="0"/>
          <w:color w:val="auto"/>
          <w:spacing w:val="0"/>
          <w:sz w:val="24"/>
          <w:szCs w:val="24"/>
          <w:u w:val="none"/>
          <w:shd w:val="clear" w:fill="FFFFFF"/>
          <w:lang w:val="en-US" w:eastAsia="zh-CN"/>
        </w:rPr>
        <w:t>大英县国土空间规划图</w:t>
      </w:r>
    </w:p>
    <w:p w14:paraId="64723E3C">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附图8：“三线一单”管控单元图</w:t>
      </w:r>
    </w:p>
    <w:p w14:paraId="0617983D">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cs="Times New Roman"/>
          <w:b w:val="0"/>
          <w:bCs w:val="0"/>
          <w:color w:val="auto"/>
          <w:kern w:val="2"/>
          <w:sz w:val="24"/>
          <w:szCs w:val="24"/>
          <w:highlight w:val="none"/>
          <w:lang w:val="en-US" w:eastAsia="zh-CN" w:bidi="ar-SA"/>
        </w:rPr>
        <w:t>附图9：</w:t>
      </w:r>
      <w:r>
        <w:rPr>
          <w:rFonts w:hint="eastAsia" w:ascii="Times New Roman" w:hAnsi="Times New Roman" w:cs="Times New Roman"/>
          <w:b w:val="0"/>
          <w:bCs w:val="0"/>
          <w:color w:val="auto"/>
          <w:kern w:val="2"/>
          <w:sz w:val="24"/>
          <w:szCs w:val="24"/>
          <w:highlight w:val="none"/>
          <w:lang w:val="en-US" w:eastAsia="zh-CN" w:bidi="ar-SA"/>
        </w:rPr>
        <w:t>现状监测布点图</w:t>
      </w:r>
    </w:p>
    <w:p w14:paraId="5F420ED6">
      <w:pPr>
        <w:pStyle w:val="24"/>
        <w:keepNext w:val="0"/>
        <w:keepLines w:val="0"/>
        <w:pageBreakBefore w:val="0"/>
        <w:widowControl w:val="0"/>
        <w:kinsoku/>
        <w:wordWrap/>
        <w:overflowPunct/>
        <w:topLinePunct w:val="0"/>
        <w:bidi w:val="0"/>
        <w:snapToGrid/>
        <w:spacing w:line="312" w:lineRule="auto"/>
        <w:ind w:firstLine="480" w:firstLineChars="200"/>
        <w:jc w:val="left"/>
        <w:textAlignment w:val="auto"/>
        <w:rPr>
          <w:rFonts w:hint="eastAsia" w:ascii="Times New Roman" w:cs="Times New Roman"/>
          <w:b w:val="0"/>
          <w:bCs w:val="0"/>
          <w:color w:val="auto"/>
          <w:kern w:val="2"/>
          <w:sz w:val="24"/>
          <w:szCs w:val="24"/>
          <w:highlight w:val="none"/>
          <w:lang w:val="en-US" w:eastAsia="zh-CN" w:bidi="ar-SA"/>
        </w:rPr>
      </w:pPr>
      <w:r>
        <w:rPr>
          <w:rFonts w:hint="eastAsia" w:ascii="Times New Roman" w:cs="Times New Roman"/>
          <w:b w:val="0"/>
          <w:bCs w:val="0"/>
          <w:color w:val="auto"/>
          <w:kern w:val="2"/>
          <w:sz w:val="24"/>
          <w:szCs w:val="24"/>
          <w:highlight w:val="none"/>
          <w:lang w:val="en-US" w:eastAsia="zh-CN" w:bidi="ar-SA"/>
        </w:rPr>
        <w:t>附图10：等声级线图</w:t>
      </w:r>
    </w:p>
    <w:p w14:paraId="6478A922">
      <w:pPr>
        <w:pStyle w:val="24"/>
        <w:keepNext w:val="0"/>
        <w:keepLines w:val="0"/>
        <w:pageBreakBefore w:val="0"/>
        <w:widowControl w:val="0"/>
        <w:kinsoku/>
        <w:wordWrap/>
        <w:overflowPunct/>
        <w:topLinePunct w:val="0"/>
        <w:bidi w:val="0"/>
        <w:snapToGrid/>
        <w:spacing w:line="312" w:lineRule="auto"/>
        <w:ind w:firstLine="480" w:firstLineChars="200"/>
        <w:jc w:val="left"/>
        <w:textAlignment w:val="auto"/>
        <w:rPr>
          <w:rFonts w:hint="default" w:ascii="Times New Roman" w:cs="Times New Roman"/>
          <w:b w:val="0"/>
          <w:bCs w:val="0"/>
          <w:color w:val="auto"/>
          <w:kern w:val="2"/>
          <w:sz w:val="24"/>
          <w:szCs w:val="24"/>
          <w:highlight w:val="none"/>
          <w:lang w:val="en-US" w:eastAsia="zh-CN" w:bidi="ar-SA"/>
        </w:rPr>
      </w:pPr>
      <w:r>
        <w:rPr>
          <w:rFonts w:hint="eastAsia" w:ascii="Times New Roman" w:cs="Times New Roman"/>
          <w:b w:val="0"/>
          <w:bCs w:val="0"/>
          <w:color w:val="auto"/>
          <w:kern w:val="2"/>
          <w:sz w:val="24"/>
          <w:szCs w:val="24"/>
          <w:highlight w:val="none"/>
          <w:lang w:val="en-US" w:eastAsia="zh-CN" w:bidi="ar-SA"/>
        </w:rPr>
        <w:t>附图11：现场照片</w:t>
      </w:r>
    </w:p>
    <w:p w14:paraId="2AD82043">
      <w:pPr>
        <w:keepNext w:val="0"/>
        <w:keepLines w:val="0"/>
        <w:pageBreakBefore w:val="0"/>
        <w:widowControl w:val="0"/>
        <w:kinsoku/>
        <w:wordWrap/>
        <w:overflowPunct/>
        <w:topLinePunct w:val="0"/>
        <w:bidi w:val="0"/>
        <w:snapToGrid/>
        <w:spacing w:line="312" w:lineRule="auto"/>
        <w:textAlignment w:val="auto"/>
        <w:rPr>
          <w:rFonts w:hint="eastAsia" w:ascii="Times New Roman" w:hAnsi="Times New Roman" w:eastAsia="宋体" w:cs="Times New Roman"/>
          <w:b/>
          <w:bCs/>
          <w:i w:val="0"/>
          <w:iCs w:val="0"/>
          <w:caps w:val="0"/>
          <w:color w:val="auto"/>
          <w:spacing w:val="0"/>
          <w:sz w:val="24"/>
          <w:szCs w:val="24"/>
          <w:u w:val="none"/>
          <w:shd w:val="clear" w:fill="FFFFFF"/>
          <w:lang w:val="en-US" w:eastAsia="zh-CN"/>
        </w:rPr>
      </w:pPr>
      <w:r>
        <w:rPr>
          <w:rFonts w:hint="eastAsia" w:ascii="Times New Roman" w:hAnsi="Times New Roman" w:eastAsia="宋体" w:cs="Times New Roman"/>
          <w:b/>
          <w:bCs/>
          <w:i w:val="0"/>
          <w:iCs w:val="0"/>
          <w:caps w:val="0"/>
          <w:color w:val="auto"/>
          <w:spacing w:val="0"/>
          <w:sz w:val="24"/>
          <w:szCs w:val="24"/>
          <w:u w:val="none"/>
          <w:shd w:val="clear" w:fill="FFFFFF"/>
          <w:lang w:val="en-US" w:eastAsia="zh-CN"/>
        </w:rPr>
        <w:t>附件：</w:t>
      </w:r>
    </w:p>
    <w:p w14:paraId="110923B2">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附件1：委托书</w:t>
      </w:r>
    </w:p>
    <w:p w14:paraId="4D11DF59">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附件2：立项批复</w:t>
      </w:r>
    </w:p>
    <w:p w14:paraId="7C8F29DC">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附件3：营业执照</w:t>
      </w:r>
    </w:p>
    <w:p w14:paraId="0A4840C1">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附件4：县委常委会议纪要</w:t>
      </w:r>
    </w:p>
    <w:p w14:paraId="0EEB5B59">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附件5：项目不动产权证</w:t>
      </w:r>
    </w:p>
    <w:p w14:paraId="183735B4">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附件6：土地资产转让合同</w:t>
      </w:r>
    </w:p>
    <w:p w14:paraId="7F0A75F1">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附件7：大英县国有建设用地使用权网上挂牌出让成交确认书</w:t>
      </w:r>
    </w:p>
    <w:p w14:paraId="393B3E94">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附件8：国有建设用地使用权出让合同</w:t>
      </w:r>
    </w:p>
    <w:p w14:paraId="2AE6920C">
      <w:pPr>
        <w:keepNext w:val="0"/>
        <w:keepLines w:val="0"/>
        <w:pageBreakBefore w:val="0"/>
        <w:widowControl w:val="0"/>
        <w:kinsoku/>
        <w:wordWrap/>
        <w:overflowPunct/>
        <w:topLinePunct w:val="0"/>
        <w:bidi w:val="0"/>
        <w:snapToGrid/>
        <w:spacing w:line="312"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附件9：大英县卫生健康局关于大英县医疗救治救援中心综合建设项目的情况说明</w:t>
      </w:r>
    </w:p>
    <w:p w14:paraId="10D30A9B">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附件10：污水接管情况说明</w:t>
      </w:r>
    </w:p>
    <w:p w14:paraId="7B1A36DB">
      <w:pPr>
        <w:keepNext w:val="0"/>
        <w:keepLines w:val="0"/>
        <w:pageBreakBefore w:val="0"/>
        <w:widowControl w:val="0"/>
        <w:kinsoku/>
        <w:wordWrap/>
        <w:overflowPunct/>
        <w:topLinePunct w:val="0"/>
        <w:bidi w:val="0"/>
        <w:snapToGrid/>
        <w:spacing w:line="312" w:lineRule="auto"/>
        <w:ind w:firstLine="480" w:firstLineChars="200"/>
        <w:textAlignment w:val="auto"/>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附件11：监测报告</w:t>
      </w:r>
    </w:p>
    <w:p w14:paraId="61E3A6F2">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p>
    <w:p w14:paraId="6E523F70">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b w:val="0"/>
          <w:bCs w:val="0"/>
          <w:color w:val="auto"/>
          <w:kern w:val="2"/>
          <w:sz w:val="24"/>
          <w:szCs w:val="24"/>
          <w:highlight w:val="none"/>
          <w:lang w:val="en-US" w:eastAsia="zh-CN" w:bidi="ar-SA"/>
        </w:rPr>
      </w:pPr>
    </w:p>
    <w:p w14:paraId="04E87AA2">
      <w:pPr>
        <w:rPr>
          <w:rFonts w:hint="default" w:ascii="Times New Roman" w:hAnsi="Times New Roman" w:eastAsia="宋体" w:cs="Times New Roman"/>
          <w:b/>
          <w:bCs/>
          <w:i w:val="0"/>
          <w:iCs w:val="0"/>
          <w:caps w:val="0"/>
          <w:color w:val="auto"/>
          <w:spacing w:val="0"/>
          <w:sz w:val="24"/>
          <w:szCs w:val="24"/>
          <w:u w:val="none"/>
          <w:shd w:val="clear" w:fill="FFFFFF"/>
        </w:rPr>
      </w:pPr>
      <w:r>
        <w:rPr>
          <w:rFonts w:hint="default" w:ascii="Times New Roman" w:hAnsi="Times New Roman" w:eastAsia="宋体" w:cs="Times New Roman"/>
          <w:b/>
          <w:bCs/>
          <w:i w:val="0"/>
          <w:iCs w:val="0"/>
          <w:caps w:val="0"/>
          <w:color w:val="auto"/>
          <w:spacing w:val="0"/>
          <w:sz w:val="24"/>
          <w:szCs w:val="24"/>
          <w:u w:val="none"/>
          <w:shd w:val="clear" w:fill="FFFFFF"/>
        </w:rPr>
        <w:br w:type="page"/>
      </w:r>
    </w:p>
    <w:p w14:paraId="55039C8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b/>
          <w:bCs/>
          <w:i w:val="0"/>
          <w:iCs w:val="0"/>
          <w:caps w:val="0"/>
          <w:color w:val="auto"/>
          <w:spacing w:val="0"/>
          <w:sz w:val="24"/>
          <w:szCs w:val="24"/>
          <w:u w:val="none"/>
          <w:shd w:val="clear" w:fill="FFFFFF"/>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32D700CF">
      <w:pPr>
        <w:pStyle w:val="5"/>
        <w:bidi w:val="0"/>
        <w:jc w:val="center"/>
        <w:rPr>
          <w:rFonts w:hint="default" w:ascii="Times New Roman" w:hAnsi="Times New Roman" w:eastAsia="宋体" w:cs="Times New Roman"/>
          <w:color w:val="auto"/>
        </w:rPr>
      </w:pPr>
      <w:bookmarkStart w:id="34" w:name="_Toc7863"/>
      <w:bookmarkStart w:id="35" w:name="_Toc14604"/>
      <w:r>
        <w:rPr>
          <w:rFonts w:hint="default" w:ascii="Times New Roman" w:hAnsi="Times New Roman" w:eastAsia="宋体" w:cs="Times New Roman"/>
          <w:color w:val="auto"/>
        </w:rPr>
        <w:t>前</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言</w:t>
      </w:r>
      <w:bookmarkEnd w:id="34"/>
      <w:bookmarkEnd w:id="35"/>
    </w:p>
    <w:p w14:paraId="429C6C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bookmarkStart w:id="36" w:name="_Toc187483554"/>
      <w:bookmarkEnd w:id="36"/>
      <w:bookmarkStart w:id="37" w:name="_Toc11662"/>
      <w:bookmarkEnd w:id="37"/>
      <w:bookmarkStart w:id="38" w:name="_Toc188626549"/>
      <w:bookmarkEnd w:id="38"/>
      <w:bookmarkStart w:id="39" w:name="_Toc188626325"/>
      <w:bookmarkEnd w:id="39"/>
      <w:bookmarkStart w:id="40" w:name="_Toc17393"/>
      <w:bookmarkEnd w:id="40"/>
      <w:bookmarkStart w:id="41" w:name="_Toc27796"/>
      <w:bookmarkEnd w:id="41"/>
      <w:bookmarkStart w:id="42" w:name="_Toc187458619"/>
      <w:bookmarkEnd w:id="42"/>
      <w:bookmarkStart w:id="43" w:name="_Toc205114877"/>
      <w:bookmarkEnd w:id="43"/>
      <w:bookmarkStart w:id="44" w:name="_Toc238871183"/>
      <w:bookmarkEnd w:id="44"/>
      <w:bookmarkStart w:id="45" w:name="_Toc10858"/>
      <w:bookmarkEnd w:id="45"/>
      <w:bookmarkStart w:id="46" w:name="_Toc27114"/>
      <w:bookmarkEnd w:id="46"/>
      <w:bookmarkStart w:id="47" w:name="_Toc9131"/>
      <w:bookmarkEnd w:id="47"/>
      <w:bookmarkStart w:id="48" w:name="_Toc493684332"/>
      <w:bookmarkEnd w:id="48"/>
      <w:bookmarkStart w:id="49" w:name="_Toc205114695"/>
      <w:bookmarkEnd w:id="49"/>
      <w:bookmarkStart w:id="50" w:name="_Toc164567034"/>
      <w:bookmarkEnd w:id="50"/>
      <w:bookmarkStart w:id="51" w:name="_Toc24874"/>
      <w:bookmarkEnd w:id="51"/>
      <w:bookmarkStart w:id="52" w:name="_Toc217692895"/>
      <w:bookmarkEnd w:id="52"/>
      <w:bookmarkStart w:id="53" w:name="_Toc13391"/>
      <w:bookmarkEnd w:id="53"/>
      <w:bookmarkStart w:id="54" w:name="_Toc2035"/>
      <w:bookmarkEnd w:id="54"/>
      <w:bookmarkStart w:id="55" w:name="_Toc188626773"/>
      <w:bookmarkEnd w:id="55"/>
      <w:bookmarkStart w:id="56" w:name="_Toc2634"/>
      <w:bookmarkEnd w:id="56"/>
      <w:bookmarkStart w:id="57" w:name="_Toc7546"/>
      <w:bookmarkEnd w:id="57"/>
      <w:bookmarkStart w:id="58" w:name="_Toc490664580"/>
      <w:bookmarkEnd w:id="58"/>
      <w:bookmarkStart w:id="59" w:name="_Toc3168"/>
      <w:bookmarkEnd w:id="59"/>
      <w:bookmarkStart w:id="60" w:name="_Toc187483364"/>
      <w:bookmarkEnd w:id="60"/>
      <w:bookmarkStart w:id="61" w:name="_Toc16174"/>
      <w:bookmarkEnd w:id="61"/>
      <w:bookmarkStart w:id="62" w:name="_Toc27360"/>
      <w:bookmarkEnd w:id="62"/>
      <w:bookmarkStart w:id="63" w:name="_Toc7805"/>
      <w:bookmarkEnd w:id="63"/>
      <w:bookmarkStart w:id="64" w:name="_Toc188601519"/>
      <w:bookmarkEnd w:id="64"/>
      <w:bookmarkStart w:id="65" w:name="_Toc187825865"/>
      <w:bookmarkEnd w:id="65"/>
      <w:bookmarkStart w:id="66" w:name="_Toc30602"/>
      <w:bookmarkEnd w:id="66"/>
      <w:bookmarkStart w:id="67" w:name="_Toc874"/>
      <w:bookmarkEnd w:id="67"/>
      <w:bookmarkStart w:id="68" w:name="_Toc10518"/>
      <w:bookmarkEnd w:id="68"/>
      <w:bookmarkStart w:id="69" w:name="_Toc8333"/>
      <w:bookmarkEnd w:id="69"/>
      <w:bookmarkStart w:id="70" w:name="_Toc18042"/>
      <w:bookmarkEnd w:id="70"/>
      <w:bookmarkStart w:id="71" w:name="_Toc464828131"/>
      <w:bookmarkEnd w:id="71"/>
      <w:bookmarkStart w:id="72" w:name="_Toc31618"/>
      <w:bookmarkEnd w:id="72"/>
      <w:bookmarkStart w:id="73" w:name="_Toc187483082"/>
      <w:bookmarkEnd w:id="73"/>
      <w:bookmarkStart w:id="74" w:name="_Toc30320"/>
      <w:bookmarkEnd w:id="74"/>
      <w:bookmarkStart w:id="75" w:name="_Toc188094002"/>
      <w:bookmarkEnd w:id="75"/>
      <w:bookmarkStart w:id="76" w:name="_Toc18273"/>
      <w:r>
        <w:rPr>
          <w:rFonts w:hint="default" w:ascii="Times New Roman" w:hAnsi="Times New Roman" w:eastAsia="宋体" w:cs="Times New Roman"/>
          <w:color w:val="auto"/>
          <w:sz w:val="24"/>
          <w:szCs w:val="24"/>
          <w:lang w:val="en-US" w:eastAsia="zh-CN"/>
        </w:rPr>
        <w:t>医疗卫生事业是造福人类的事业，关系到人民群众的身体健康和生老病死，关系到经济的发展和社会稳定的全局，在国民经济和社会发展中具有独特的地位，发挥着不可或缺的作用；作为社会经济发展的重要标志，党和国家历来十分重视医疗卫生事业的发展，对发展医疗卫生事业提出了“建立基本医疗卫生制度”和“病有所医”的新任务，着眼于实现人人享有基本医疗卫生服务的目标，把卫生事业制度建设提到了突出重要的位置，这对改革和发展卫生事业具有重要的现实意义和深远的历史意义。</w:t>
      </w:r>
    </w:p>
    <w:p w14:paraId="4BB968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国家“十四五”规划提出全面推进健康中国建设。把保障人民健康放在优先发展的战略位置，坚持预防为主的方针，深入实施健康中国行动，完善国民健康促进政策，织牢国家公共卫生防护网，为人民提供全方位全周期健康服务。建立稳定的公共卫生事业投入机制，加强人才队伍建设，改善疾控基础条件，完善公共卫生服务项目，强化基层公共卫生体系。落实医疗机构公共卫生责任，创新医防协同机制。</w:t>
      </w:r>
    </w:p>
    <w:p w14:paraId="085081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国务院关于城市公立医院综合改革试点的指导意见》（国办发[2015]38号）提出，2015年进一步扩大城市公立医院综合改革试点；到2017年，城市公立医院综合改革试点全面推开。充分发挥公立医院公益性质和主体作用，切实落实政府办医责任，着力推进管理体制、补偿机制、价格机制、人事编制、收入分配、医疗监管等体制机制改革。统筹优化医疗资源布局、构建合理就医秩序、推动社会办医、加强人才培养等各项工作，为持续深化公立医院改革形成可复制、可推广的实践经验。</w:t>
      </w:r>
    </w:p>
    <w:p w14:paraId="70D992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随着大英县区域经济的发展，覆盖城乡的卫生服务网络已经初步形成，人民的健康水平显著提高，广大人民群众对医疗卫生服务的需求不断增长，同时随着大英县外来旅游人员数量的增加，以及流动人口的急剧增加，现有医疗机构的布局、结构资源利用等已经远远不能适应实际需求。</w:t>
      </w:r>
    </w:p>
    <w:p w14:paraId="18F9D8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英县禾鑫城市建设投资有限公司成立于2015年05月20日，注册地位于大英县工业集中发展区郪江东路西段1号(县工业企业服务中心办公楼4楼10号办公室)。经营范围包括受县人民政府委托对授权经营的国有资产进行管理、经营污水处理、城市建设、房地产开发、项目建设管理、民用建材及建筑机械销售（不得从事非法集资，吸收公众资金等金融活动）（依法须经批准的项目，经相关部门批准后方可开展经营活动）。为提升大英县医疗救治服务水平，大英县禾鑫城市建设投资有限公司拟建设大英县医疗救治救援中心综合建设项目。</w:t>
      </w:r>
    </w:p>
    <w:bookmarkEnd w:id="76"/>
    <w:p w14:paraId="4E9F6C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bookmarkStart w:id="77" w:name="_Toc490664581"/>
      <w:bookmarkEnd w:id="77"/>
      <w:bookmarkStart w:id="78" w:name="_Toc17566"/>
      <w:bookmarkEnd w:id="78"/>
      <w:bookmarkStart w:id="79" w:name="_Toc31249"/>
      <w:bookmarkEnd w:id="79"/>
      <w:bookmarkStart w:id="80" w:name="_Toc19324"/>
      <w:bookmarkEnd w:id="80"/>
      <w:bookmarkStart w:id="81" w:name="_Toc484356047"/>
      <w:bookmarkEnd w:id="81"/>
      <w:bookmarkStart w:id="82" w:name="_Toc28290"/>
      <w:bookmarkEnd w:id="82"/>
      <w:bookmarkStart w:id="83" w:name="_Toc27390"/>
      <w:bookmarkEnd w:id="83"/>
      <w:bookmarkStart w:id="84" w:name="_Toc18975"/>
      <w:bookmarkEnd w:id="84"/>
      <w:bookmarkStart w:id="85" w:name="_Toc9436"/>
      <w:bookmarkEnd w:id="85"/>
      <w:bookmarkStart w:id="86" w:name="_Toc22249"/>
      <w:bookmarkEnd w:id="86"/>
      <w:bookmarkStart w:id="87" w:name="_Toc12482"/>
      <w:bookmarkEnd w:id="87"/>
      <w:bookmarkStart w:id="88" w:name="_Toc18332"/>
      <w:bookmarkEnd w:id="88"/>
      <w:bookmarkStart w:id="89" w:name="_Toc27949"/>
      <w:bookmarkEnd w:id="89"/>
      <w:bookmarkStart w:id="90" w:name="_Toc1833"/>
      <w:bookmarkEnd w:id="90"/>
      <w:bookmarkStart w:id="91" w:name="_Toc493684333"/>
      <w:bookmarkEnd w:id="91"/>
      <w:bookmarkStart w:id="92" w:name="_Toc17241"/>
      <w:bookmarkEnd w:id="92"/>
      <w:bookmarkStart w:id="93" w:name="_Toc425318834"/>
      <w:bookmarkEnd w:id="93"/>
      <w:bookmarkStart w:id="94" w:name="_Toc19415"/>
      <w:bookmarkEnd w:id="94"/>
      <w:bookmarkStart w:id="95" w:name="_Toc9610"/>
      <w:bookmarkEnd w:id="95"/>
      <w:bookmarkStart w:id="96" w:name="_Toc425434192"/>
      <w:bookmarkEnd w:id="96"/>
      <w:bookmarkStart w:id="97" w:name="_Toc464828134"/>
      <w:r>
        <w:rPr>
          <w:rFonts w:hint="default" w:ascii="Times New Roman" w:hAnsi="Times New Roman" w:eastAsia="宋体" w:cs="Times New Roman"/>
          <w:color w:val="auto"/>
          <w:sz w:val="24"/>
          <w:szCs w:val="24"/>
          <w:lang w:val="en-US" w:eastAsia="zh-CN"/>
        </w:rPr>
        <w:t>项目选址于大英县青龙文旅产业园，根据《大英县国土空间总体规划》（2019-2035年），项目建设地块属于规划的医疗卫生用地，项目建设符合规划要求。项目总投资87200万元，设置1100张床位，总建筑面积219132.67m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，建设工期为36个月，建设内容包括：1栋门急诊医技住院综合楼(1#楼)、1栋后勤楼(2#楼)、1栋感染楼(3#楼)和1栋发热楼(4#楼)，配套建设锅炉房、液氧站、污水处理站等辅助设施。</w:t>
      </w:r>
    </w:p>
    <w:p w14:paraId="512811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项目已于2022年8月18日取得了大英县发展和改革局出具的《大英县发展和改革局关于大英县医疗救治救援中心建设项目、大英县传染病医院建设项目、大英县人民医院住院综合楼建设项目、大英县人民医院外科大楼建设项目、大英县人民医院综合智能地下停车场建设项目、大英县人民医院救治能力提升项目整合的批复》（大发改许可[2022]368号）。</w:t>
      </w:r>
      <w:r>
        <w:rPr>
          <w:rFonts w:hint="default" w:ascii="Times New Roman" w:hAnsi="Times New Roman" w:eastAsia="宋体" w:cs="Times New Roman"/>
          <w:b/>
          <w:bCs/>
          <w:color w:val="auto"/>
          <w:sz w:val="24"/>
          <w:szCs w:val="24"/>
          <w:lang w:val="en-US" w:eastAsia="zh-CN"/>
        </w:rPr>
        <w:t>本次环评不涉及放射性方面的评价，涉及辐射相关建设内容需另行进行评价及审批。</w:t>
      </w:r>
    </w:p>
    <w:p w14:paraId="341FA8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中华人民共和国环境保护法》（2014年4月修订）、《中华人民共和国环境影响评价法》（2018年12月修订）、《建设项目环境保护管理条例》（国务院第682号令）等法律法规的规定，本项目应进行环境影响评价工作。根据《国民经济行业分类》（GB/T4754-2017），本项目属于Q8411综合医院，根据《建设项目环境影响评价分类管理名录》（2021年版），本项目属于“四十九、卫生841医院”中“新建、扩建住院床位500张及以上的”，因此，应编制环境影响报告书。为此大英县禾鑫城市建设投资有限公司委托四川乐水清山环保技术咨询有限公司对本项目进行环境影响评价。我公司在接受委托后，组织有关技术人员进行了现场踏勘和调查，详细了解和收集了与本项目有关的资料，根据有关工程资料在现场调查、环境现状监测、预测、计算分析等工作的基础上，结合项目的工程特点和拟建地址周围的环境状况，按照国家有关建设项目环境影响评价的管理程序、要求和技术规范要求，编制完成了该建设项目的环境影响报告书。</w:t>
      </w:r>
    </w:p>
    <w:p w14:paraId="75D2B42F">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br w:type="page"/>
      </w:r>
    </w:p>
    <w:p w14:paraId="1A582197">
      <w:pPr>
        <w:pStyle w:val="5"/>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default" w:ascii="Times New Roman" w:hAnsi="Times New Roman" w:eastAsia="宋体" w:cs="Times New Roman"/>
          <w:color w:val="auto"/>
          <w:lang w:val="en-US" w:eastAsia="zh-CN"/>
        </w:rPr>
      </w:pPr>
      <w:bookmarkStart w:id="98" w:name="_Toc26364"/>
      <w:r>
        <w:rPr>
          <w:rFonts w:hint="default" w:ascii="Times New Roman" w:hAnsi="Times New Roman" w:eastAsia="宋体" w:cs="Times New Roman"/>
          <w:color w:val="auto"/>
          <w:lang w:val="en-US" w:eastAsia="zh-CN"/>
        </w:rPr>
        <w:t>1 总论</w:t>
      </w:r>
      <w:bookmarkEnd w:id="98"/>
    </w:p>
    <w:p w14:paraId="286C1556">
      <w:pPr>
        <w:pStyle w:val="6"/>
        <w:bidi w:val="0"/>
        <w:rPr>
          <w:rFonts w:hint="default" w:ascii="Times New Roman" w:hAnsi="Times New Roman" w:eastAsia="宋体" w:cs="Times New Roman"/>
          <w:color w:val="auto"/>
          <w:lang w:val="en-US" w:eastAsia="zh-CN"/>
        </w:rPr>
      </w:pPr>
      <w:bookmarkStart w:id="99" w:name="_Toc25830"/>
      <w:r>
        <w:rPr>
          <w:rFonts w:hint="default" w:ascii="Times New Roman" w:hAnsi="Times New Roman" w:eastAsia="宋体" w:cs="Times New Roman"/>
          <w:color w:val="auto"/>
          <w:lang w:val="en-US" w:eastAsia="zh-CN"/>
        </w:rPr>
        <w:t>1.1 评价目的及原则</w:t>
      </w:r>
      <w:bookmarkEnd w:id="99"/>
    </w:p>
    <w:p w14:paraId="60AEBA49">
      <w:pPr>
        <w:pStyle w:val="7"/>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en-US" w:eastAsia="zh-CN"/>
        </w:rPr>
      </w:pPr>
      <w:bookmarkStart w:id="100" w:name="_Toc14695"/>
      <w:r>
        <w:rPr>
          <w:rFonts w:hint="default" w:ascii="Times New Roman" w:hAnsi="Times New Roman" w:eastAsia="宋体" w:cs="Times New Roman"/>
          <w:color w:val="auto"/>
          <w:lang w:val="en-US" w:eastAsia="zh-CN"/>
        </w:rPr>
        <w:t>1.1.1评价目的</w:t>
      </w:r>
      <w:bookmarkEnd w:id="100"/>
    </w:p>
    <w:bookmarkEnd w:id="97"/>
    <w:p w14:paraId="6685E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bookmarkStart w:id="101" w:name="_Toc9385"/>
      <w:bookmarkEnd w:id="101"/>
      <w:bookmarkStart w:id="102" w:name="_Toc490664583"/>
      <w:bookmarkEnd w:id="102"/>
      <w:bookmarkStart w:id="103" w:name="_Toc11921"/>
      <w:bookmarkEnd w:id="103"/>
      <w:bookmarkStart w:id="104" w:name="_Toc8929"/>
      <w:bookmarkEnd w:id="104"/>
      <w:bookmarkStart w:id="105" w:name="_Toc31510"/>
      <w:bookmarkEnd w:id="105"/>
      <w:bookmarkStart w:id="106" w:name="_Toc22619"/>
      <w:bookmarkEnd w:id="106"/>
      <w:bookmarkStart w:id="107" w:name="_Toc382"/>
      <w:bookmarkEnd w:id="107"/>
      <w:bookmarkStart w:id="108" w:name="_Toc31121"/>
      <w:bookmarkEnd w:id="108"/>
      <w:bookmarkStart w:id="109" w:name="_Toc23723"/>
      <w:r>
        <w:rPr>
          <w:rFonts w:hint="default" w:ascii="Times New Roman" w:hAnsi="Times New Roman" w:eastAsia="宋体" w:cs="Times New Roman"/>
          <w:color w:val="auto"/>
          <w:sz w:val="24"/>
          <w:szCs w:val="24"/>
          <w:lang w:val="en-US" w:eastAsia="zh-CN"/>
        </w:rPr>
        <w:t>环境影响评价作为建设项目环境保护管理的一项制度，根本目的是贯彻“保护环境”的基本国策，认真执行“预防为主，防治结合”的环境管理方针。根据《中华人民共和国环境保护法》及《中华人民共和国环境影响评价法》的规定，为加强建设项目环境保护管理，严格控制新的污染，保护和改善环境。</w:t>
      </w:r>
    </w:p>
    <w:p w14:paraId="097EA5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评价目的是通过对项目选址，建设规模和工艺流程分析，确定项目建设和营运对外环境存在的影响因子及污染物排放量；根据项目所在地的环境质量现状调查和工程产污特性，对项目所在地区的环境影响进行预测分析与评价；对项目在环境保护角度是否可行和工程拟采取的各项环保措施进行经济技术论证；为项目的工程设计、可靠实施及主管部门的决策和管理提供科学依据。</w:t>
      </w:r>
    </w:p>
    <w:p w14:paraId="11A3DA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本项目为综合医院建设项目，在施工期和运行期会不可避免地带来一些环境问题。因此，本次评价将针对这些环境影响问题，并结合本工程的特点，坚持以下原则，达到以下目的：</w:t>
      </w:r>
    </w:p>
    <w:p w14:paraId="1B9504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1）通过对项目所在区域环境现状的调查和监测，掌握该地区环境质量现状。</w:t>
      </w:r>
    </w:p>
    <w:p w14:paraId="0B1ECC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2）从环境保护角度论证工程内容及选址的可行性和合理性。</w:t>
      </w:r>
    </w:p>
    <w:p w14:paraId="3D377C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3）环评中坚持“达标排放、总量控制、清洁生产”的原则。</w:t>
      </w:r>
    </w:p>
    <w:p w14:paraId="7EDB39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4）从经济、技术角度论证项目污染防治措施的可行性。</w:t>
      </w:r>
    </w:p>
    <w:p w14:paraId="09423C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通过对拟建工程情况和对有关技术资料的分析，掌握工程的一般特征和污染特征，分析本项目建成后污染治理的排污水平，选择适当的模式预测本项目建成投产后排放的污染物可能对环境造成影响的程度和范围，并提出相应的防治措施。</w:t>
      </w:r>
    </w:p>
    <w:p w14:paraId="780DAC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6）从环保角度论证本项目建设的可行性，为工程环保措施的设计与实施，以及投产运行后的环境管理等提供科学依据。</w:t>
      </w:r>
    </w:p>
    <w:p w14:paraId="5B2FDC0A">
      <w:pPr>
        <w:pStyle w:val="7"/>
        <w:bidi w:val="0"/>
        <w:rPr>
          <w:rFonts w:hint="default" w:ascii="Times New Roman" w:hAnsi="Times New Roman" w:eastAsia="宋体" w:cs="Times New Roman"/>
          <w:color w:val="auto"/>
          <w:lang w:val="en-US" w:eastAsia="zh-CN"/>
        </w:rPr>
      </w:pPr>
      <w:bookmarkStart w:id="110" w:name="_Toc24787"/>
      <w:r>
        <w:rPr>
          <w:rFonts w:hint="default" w:ascii="Times New Roman" w:hAnsi="Times New Roman" w:eastAsia="宋体" w:cs="Times New Roman"/>
          <w:color w:val="auto"/>
          <w:lang w:val="en-US" w:eastAsia="zh-CN"/>
        </w:rPr>
        <w:t>1.1.2评价原则及指导思想</w:t>
      </w:r>
      <w:bookmarkEnd w:id="110"/>
    </w:p>
    <w:p w14:paraId="4DBF0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（1）考察项目是否符合国家产业政策相关要求；</w:t>
      </w:r>
    </w:p>
    <w:p w14:paraId="75C6FE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（2）通过项目所在区域土地利用规划调查，弄清项目用地是否符合当地土地利用规划；</w:t>
      </w:r>
    </w:p>
    <w:p w14:paraId="0EF637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（3）通过环境质量现状调查，重点弄清项目所在区域地表水、环境空气、声学环境现状，并对上述环境要素进行评价；</w:t>
      </w:r>
    </w:p>
    <w:p w14:paraId="2B0B4A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（4）对建设项目进行工程分析，查清污染源，考核项目拟采用的各项污染治理措施是否能使项目产生的各类污染物达标排放；</w:t>
      </w:r>
    </w:p>
    <w:p w14:paraId="0AE81E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（5）预测建设项目建成后对周围环境的影响程度和范围。考核项目实施后地否满足当地环境质量的要求；</w:t>
      </w:r>
    </w:p>
    <w:p w14:paraId="51519D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（6）核算项目实施后项目污染物排放总量，考核项目实施后是否满足当地污染物总量控制的要求；</w:t>
      </w:r>
    </w:p>
    <w:p w14:paraId="052967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（7）考核项目生产工艺与装备、资源能源利用、产品、污染物产生、废物回收利用、环境管理等各项指标是否能够满足清洁生产要求；</w:t>
      </w:r>
    </w:p>
    <w:p w14:paraId="692DB8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（8）对工程拟采取的污染治理措施进行经济技术论证，有针对性的提出污染防治对策措施；</w:t>
      </w:r>
    </w:p>
    <w:p w14:paraId="7F8DAE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（9）对项目环境经济损益简要分析，论述项目实施后的环境经济效益；</w:t>
      </w:r>
    </w:p>
    <w:p w14:paraId="2CB668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（10）通过评价，对项目在环境保护方面是否可行做出明确结论，并对存在的问题提出合理化建议。</w:t>
      </w:r>
    </w:p>
    <w:p w14:paraId="3FE76CBD">
      <w:pPr>
        <w:pStyle w:val="6"/>
        <w:bidi w:val="0"/>
        <w:rPr>
          <w:rFonts w:hint="default" w:ascii="Times New Roman" w:hAnsi="Times New Roman" w:eastAsia="宋体" w:cs="Times New Roman"/>
          <w:color w:val="auto"/>
          <w:lang w:val="en-US" w:eastAsia="zh-CN"/>
        </w:rPr>
      </w:pPr>
      <w:bookmarkStart w:id="111" w:name="_Toc3249"/>
      <w:r>
        <w:rPr>
          <w:rFonts w:hint="default" w:ascii="Times New Roman" w:hAnsi="Times New Roman" w:eastAsia="宋体" w:cs="Times New Roman"/>
          <w:color w:val="auto"/>
          <w:lang w:val="en-US" w:eastAsia="zh-CN"/>
        </w:rPr>
        <w:t>1.2 编制依据</w:t>
      </w:r>
      <w:bookmarkEnd w:id="111"/>
    </w:p>
    <w:p w14:paraId="49E0D0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本报告书主要依据以下有关法律文件、规范、规定及研究报告进行编制。</w:t>
      </w:r>
    </w:p>
    <w:p w14:paraId="10B95CE7">
      <w:pPr>
        <w:pStyle w:val="7"/>
        <w:bidi w:val="0"/>
        <w:rPr>
          <w:rFonts w:hint="default" w:ascii="Times New Roman" w:hAnsi="Times New Roman" w:eastAsia="宋体" w:cs="Times New Roman"/>
          <w:color w:val="auto"/>
          <w:lang w:val="en-US" w:eastAsia="zh-CN"/>
        </w:rPr>
      </w:pPr>
      <w:bookmarkStart w:id="112" w:name="_Toc12261"/>
      <w:r>
        <w:rPr>
          <w:rFonts w:hint="default" w:ascii="Times New Roman" w:hAnsi="Times New Roman" w:eastAsia="宋体" w:cs="Times New Roman"/>
          <w:color w:val="auto"/>
          <w:lang w:val="en-US" w:eastAsia="zh-CN"/>
        </w:rPr>
        <w:t>1.2.1法律法规和规范性文件</w:t>
      </w:r>
      <w:bookmarkEnd w:id="112"/>
    </w:p>
    <w:p w14:paraId="6E5BFE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lang w:val="en-US" w:eastAsia="zh-CN"/>
        </w:rPr>
        <w:t>（1）《中华人民共和国环境保护法》（2014年修订，2015年1月1日起施行）；</w:t>
      </w:r>
    </w:p>
    <w:p w14:paraId="2E141D9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（2）《中华人民共和国环境影响评价法》（2018年修订，2018年12月29日起施行）；</w:t>
      </w:r>
    </w:p>
    <w:p w14:paraId="1A8E2B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（3）《中华人民共和国大气污染防治法》（2018年修订，2018年10月26日起施行）；</w:t>
      </w:r>
    </w:p>
    <w:p w14:paraId="254F1D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（4）《中华人民共和国水污染防治法》（2017年修订，2018年1月1日起施行）；</w:t>
      </w:r>
    </w:p>
    <w:p w14:paraId="1347FB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（5）《中华人民共和国环境噪声污染防治法》（2018年12月29日修正）；</w:t>
      </w:r>
    </w:p>
    <w:p w14:paraId="4F4AD0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（6）《中华人民共和国固体废物污染环境防治法》（2020年9月1日修正）；</w:t>
      </w:r>
    </w:p>
    <w:p w14:paraId="168C20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（7）《中华人民共和国水土保持法》（2010 年 12 月 25 日修订）；</w:t>
      </w:r>
    </w:p>
    <w:p w14:paraId="216FA2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（8）《医疗卫生机构医疗废物管理办法》（卫生部第36号令）；</w:t>
      </w:r>
    </w:p>
    <w:p w14:paraId="0B1728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（9）《卫生部关于明确医疗废物分类有关问题的通知》（卫办医发[2005]292号）；</w:t>
      </w:r>
    </w:p>
    <w:p w14:paraId="34F7F8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（10）《医院污水处理技术指南》（环发[2003]197号）；</w:t>
      </w:r>
    </w:p>
    <w:p w14:paraId="1241BC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（11）《医疗废物管理条例》（中华人民共和国国务院令第 380 号，2011年1月8日修订）；</w:t>
      </w:r>
    </w:p>
    <w:p w14:paraId="673CC6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（12）《医疗废物专用包装袋、容器和警示标志标准》（HJ421-2008）；</w:t>
      </w:r>
    </w:p>
    <w:p w14:paraId="1DD791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（13）《关于进一步加强危险废物和医疗废物监管工作的意见》（环发[2011]19号，环境保护部、卫生部，2011年02月16日）；</w:t>
      </w:r>
    </w:p>
    <w:p w14:paraId="15ADEC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（14）《建设项目危险废物环境影响评价指南》（环境保护部公告 2017年第43号，2017年10月1日起施行）；</w:t>
      </w:r>
    </w:p>
    <w:p w14:paraId="53458B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（15）《建设项目环境影响评价分类管理名录》（2020年11月30日生态环境部令第16号公布，自2021年1月1日起施行）；</w:t>
      </w:r>
    </w:p>
    <w:p w14:paraId="3DB8A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（16）《医院污水处理工程技术规范》，HJ2029-2013，2013年7月1日起施行。</w:t>
      </w:r>
    </w:p>
    <w:p w14:paraId="14442E0B">
      <w:pPr>
        <w:pStyle w:val="7"/>
        <w:bidi w:val="0"/>
        <w:rPr>
          <w:rFonts w:hint="default" w:ascii="Times New Roman" w:hAnsi="Times New Roman" w:eastAsia="宋体" w:cs="Times New Roman"/>
          <w:color w:val="auto"/>
          <w:lang w:val="en-US" w:eastAsia="zh-CN"/>
        </w:rPr>
      </w:pPr>
      <w:bookmarkStart w:id="113" w:name="_Toc27223"/>
      <w:r>
        <w:rPr>
          <w:rFonts w:hint="default" w:ascii="Times New Roman" w:hAnsi="Times New Roman" w:eastAsia="宋体" w:cs="Times New Roman"/>
          <w:color w:val="auto"/>
          <w:lang w:val="en-US" w:eastAsia="zh-CN"/>
        </w:rPr>
        <w:t>1.2.2 技术导则</w:t>
      </w:r>
      <w:bookmarkEnd w:id="113"/>
      <w:r>
        <w:rPr>
          <w:rFonts w:hint="default" w:ascii="Times New Roman" w:hAnsi="Times New Roman" w:eastAsia="宋体" w:cs="Times New Roman"/>
          <w:color w:val="auto"/>
          <w:lang w:val="en-US" w:eastAsia="zh-CN"/>
        </w:rPr>
        <w:t xml:space="preserve"> </w:t>
      </w:r>
    </w:p>
    <w:p w14:paraId="451F0B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（1）《环境影响评价技术导则 总纲》（HJ2.1-2016），国家环保部发布，2017 年1月1日实施；</w:t>
      </w:r>
    </w:p>
    <w:p w14:paraId="3E5129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（2）《环境影响评价技术导则 大气环境》（HJ2.2-2018），</w:t>
      </w:r>
      <w:r>
        <w:rPr>
          <w:rFonts w:hint="eastAsia" w:ascii="Times New Roman" w:hAnsi="Times New Roman" w:eastAsia="宋体" w:cs="Times New Roman"/>
          <w:color w:val="auto"/>
          <w:sz w:val="24"/>
          <w:szCs w:val="24"/>
          <w:lang w:val="en-US" w:eastAsia="zh-CN"/>
        </w:rPr>
        <w:t>中华人民共和国</w:t>
      </w:r>
      <w:r>
        <w:rPr>
          <w:rFonts w:hint="default" w:ascii="Times New Roman" w:hAnsi="Times New Roman" w:eastAsia="宋体" w:cs="Times New Roman"/>
          <w:color w:val="auto"/>
          <w:sz w:val="24"/>
          <w:szCs w:val="24"/>
          <w:lang w:val="en-US" w:eastAsia="zh-CN"/>
        </w:rPr>
        <w:t>生态环境部发布，2018年12月1日实施；</w:t>
      </w:r>
    </w:p>
    <w:p w14:paraId="3B0797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（3）《环境影响评价技术导则 地下水环境》（HJ610-2016），国家环保部发布，2016年1月7日实施；</w:t>
      </w:r>
    </w:p>
    <w:p w14:paraId="28960E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（4）《环境影响评价技术导则 地表水环境》（HJ2.3-2018），</w:t>
      </w:r>
      <w:r>
        <w:rPr>
          <w:rFonts w:hint="eastAsia" w:ascii="Times New Roman" w:hAnsi="Times New Roman" w:eastAsia="宋体" w:cs="Times New Roman"/>
          <w:color w:val="auto"/>
          <w:sz w:val="24"/>
          <w:szCs w:val="24"/>
          <w:lang w:val="en-US" w:eastAsia="zh-CN"/>
        </w:rPr>
        <w:t>中华人民共和国</w:t>
      </w:r>
      <w:r>
        <w:rPr>
          <w:rFonts w:hint="default" w:ascii="Times New Roman" w:hAnsi="Times New Roman" w:eastAsia="宋体" w:cs="Times New Roman"/>
          <w:color w:val="auto"/>
          <w:sz w:val="24"/>
          <w:szCs w:val="24"/>
          <w:lang w:val="en-US" w:eastAsia="zh-CN"/>
        </w:rPr>
        <w:t>生态环境部发布，2019年4月1日实施；</w:t>
      </w:r>
    </w:p>
    <w:p w14:paraId="625D9D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（5）《环境影响评价技术导则 声环境》（HJ/T2.4-2021），国家环保部发布，2022年7月1日实施；</w:t>
      </w:r>
    </w:p>
    <w:p w14:paraId="121518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（6）《环境影响评价技术导则 生态影响》（HJ19-2022），国家环保部发布，2022年7月1日实施；</w:t>
      </w:r>
    </w:p>
    <w:p w14:paraId="6AFC7E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（7）《建设项目环境风险评价技术导则》(HJ169-2018)；</w:t>
      </w:r>
    </w:p>
    <w:p w14:paraId="2886D4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（8）《环境影响评价导则 土壤环境（试行）》（HJ964-2018）；</w:t>
      </w:r>
    </w:p>
    <w:p w14:paraId="18006C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（9）《生态环境状况评价技术规范（试行）》(HJ192－2015)。</w:t>
      </w:r>
    </w:p>
    <w:p w14:paraId="2517DFD0">
      <w:pPr>
        <w:pStyle w:val="7"/>
        <w:bidi w:val="0"/>
        <w:rPr>
          <w:rFonts w:hint="default" w:ascii="Times New Roman" w:hAnsi="Times New Roman" w:eastAsia="宋体" w:cs="Times New Roman"/>
          <w:color w:val="auto"/>
        </w:rPr>
      </w:pPr>
      <w:bookmarkStart w:id="114" w:name="_Toc17799"/>
      <w:r>
        <w:rPr>
          <w:rFonts w:hint="default" w:ascii="Times New Roman" w:hAnsi="Times New Roman" w:eastAsia="宋体" w:cs="Times New Roman"/>
          <w:color w:val="auto"/>
          <w:lang w:val="en-US" w:eastAsia="zh-CN"/>
        </w:rPr>
        <w:t>1.2.3任务相关文件</w:t>
      </w:r>
      <w:bookmarkEnd w:id="114"/>
    </w:p>
    <w:p w14:paraId="0C6516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（1）项目环境影响评价委托书；</w:t>
      </w:r>
    </w:p>
    <w:p w14:paraId="6E37E9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大英县发展和改革局出具的《大英县发展和改革局关于大英县医疗救治救援中心建设项目、大英县传染病医院建设项目、大英县人民医院住院综合楼建设项目、大英县人民医院外科大楼建设项目、大英县人民医院综合智能地下停车场建设项目、大英县人民医院救治能力提升项目整合的批复》（大发改许可[2022]368号）；</w:t>
      </w:r>
    </w:p>
    <w:p w14:paraId="6B5749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（3）项目可行性研究报告；</w:t>
      </w:r>
    </w:p>
    <w:p w14:paraId="583EB9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（4）建设单位提供的其它资料。</w:t>
      </w:r>
    </w:p>
    <w:p w14:paraId="1639DADF">
      <w:pPr>
        <w:pStyle w:val="6"/>
        <w:bidi w:val="0"/>
        <w:rPr>
          <w:rFonts w:hint="default" w:ascii="Times New Roman" w:hAnsi="Times New Roman" w:eastAsia="宋体" w:cs="Times New Roman"/>
          <w:color w:val="auto"/>
          <w:lang w:val="en-US" w:eastAsia="zh-CN"/>
        </w:rPr>
      </w:pPr>
      <w:bookmarkStart w:id="115" w:name="_Toc28756"/>
      <w:r>
        <w:rPr>
          <w:rFonts w:hint="default" w:ascii="Times New Roman" w:hAnsi="Times New Roman" w:eastAsia="宋体" w:cs="Times New Roman"/>
          <w:color w:val="auto"/>
          <w:lang w:val="en-US" w:eastAsia="zh-CN"/>
        </w:rPr>
        <w:t>1.3 相关政策符合性分析</w:t>
      </w:r>
      <w:bookmarkEnd w:id="115"/>
    </w:p>
    <w:p w14:paraId="49B1AF82">
      <w:pPr>
        <w:pStyle w:val="7"/>
        <w:bidi w:val="0"/>
        <w:rPr>
          <w:rFonts w:hint="default" w:ascii="Times New Roman" w:hAnsi="Times New Roman" w:eastAsia="宋体" w:cs="Times New Roman"/>
          <w:color w:val="auto"/>
          <w:lang w:val="en-US" w:eastAsia="zh-CN"/>
        </w:rPr>
      </w:pPr>
      <w:bookmarkStart w:id="116" w:name="_Toc26372"/>
      <w:r>
        <w:rPr>
          <w:rFonts w:hint="default" w:ascii="Times New Roman" w:hAnsi="Times New Roman" w:eastAsia="宋体" w:cs="Times New Roman"/>
          <w:color w:val="auto"/>
          <w:lang w:val="en-US" w:eastAsia="zh-CN"/>
        </w:rPr>
        <w:t xml:space="preserve">1.3.1 </w:t>
      </w:r>
      <w:r>
        <w:rPr>
          <w:rFonts w:hint="eastAsia" w:ascii="Times New Roman" w:hAnsi="Times New Roman" w:eastAsia="宋体" w:cs="Times New Roman"/>
          <w:color w:val="auto"/>
          <w:lang w:val="en-US" w:eastAsia="zh-CN"/>
        </w:rPr>
        <w:t>产业政策</w:t>
      </w:r>
      <w:r>
        <w:rPr>
          <w:rFonts w:hint="default" w:ascii="Times New Roman" w:hAnsi="Times New Roman" w:eastAsia="宋体" w:cs="Times New Roman"/>
          <w:color w:val="auto"/>
          <w:lang w:val="en-US" w:eastAsia="zh-CN"/>
        </w:rPr>
        <w:t>符合性</w:t>
      </w:r>
      <w:r>
        <w:rPr>
          <w:rFonts w:hint="eastAsia" w:ascii="Times New Roman" w:hAnsi="Times New Roman" w:eastAsia="宋体" w:cs="Times New Roman"/>
          <w:color w:val="auto"/>
          <w:lang w:val="en-US" w:eastAsia="zh-CN"/>
        </w:rPr>
        <w:t>分析</w:t>
      </w:r>
      <w:bookmarkEnd w:id="116"/>
    </w:p>
    <w:p w14:paraId="05572A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本项目属于基本医疗服务设施建设项目，属于《产业结构调整指导目录（2019年本）（2021年修正）》中第一类“鼓励类”中第三十七条“卫生健康”中第 5 款“医疗卫生服务设施建设”。因此，本项目符合国家现行产业政策要求。本项目属于《当前国家重点鼓励发展的产业、产品和技术目录》中基本医疗服务设施建设鼓励发展项目。同时，本项目建设不属于国土资源部“关于发布实施《限制用地项目目录（2012年本）》和《禁止用地项目目录》（2012年本）的通知”规定的项目。</w:t>
      </w:r>
    </w:p>
    <w:p w14:paraId="64452D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于2022年8月18日取得了大英县发展和改革局出具的《大英县发展和改革局关于大英县医疗救治救援中心建设项目、大英县传染病医院建设项目、大英县人民医院住院综合楼建设项目、大英县人民医院外科大楼建设项目、大英县人民医院综合智能地下停车场建设项目、大英县人民医院救治能力提升项目整合的批复》（大发改许可[2022]368号），具体详见附件。</w:t>
      </w:r>
    </w:p>
    <w:p w14:paraId="31B1A4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bookmarkStart w:id="117" w:name="_Toc30711"/>
      <w:bookmarkStart w:id="118" w:name="_Toc4029"/>
      <w:r>
        <w:rPr>
          <w:rFonts w:hint="default" w:ascii="Times New Roman" w:hAnsi="Times New Roman" w:eastAsia="宋体" w:cs="Times New Roman"/>
          <w:color w:val="auto"/>
          <w:sz w:val="24"/>
          <w:szCs w:val="24"/>
          <w:lang w:val="en-US" w:eastAsia="zh-CN"/>
        </w:rPr>
        <w:t>综上，项目符合国家现行产业政策。</w:t>
      </w:r>
    </w:p>
    <w:p w14:paraId="56AD43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p>
    <w:p w14:paraId="714B67C8">
      <w:pPr>
        <w:pStyle w:val="7"/>
        <w:bidi w:val="0"/>
        <w:rPr>
          <w:rFonts w:hint="default" w:ascii="Times New Roman" w:hAnsi="Times New Roman" w:eastAsia="宋体" w:cs="Times New Roman"/>
          <w:color w:val="auto"/>
          <w:lang w:val="en-US" w:eastAsia="zh-CN"/>
        </w:rPr>
      </w:pPr>
      <w:bookmarkStart w:id="119" w:name="_Toc3599"/>
      <w:r>
        <w:rPr>
          <w:rFonts w:hint="default" w:ascii="Times New Roman" w:hAnsi="Times New Roman" w:eastAsia="宋体" w:cs="Times New Roman"/>
          <w:color w:val="auto"/>
          <w:lang w:val="en-US" w:eastAsia="zh-CN"/>
        </w:rPr>
        <w:t>1.3.2</w:t>
      </w:r>
      <w:r>
        <w:rPr>
          <w:rFonts w:hint="eastAsia" w:ascii="Times New Roman" w:hAnsi="Times New Roman" w:eastAsia="宋体" w:cs="Times New Roman"/>
          <w:color w:val="auto"/>
          <w:lang w:val="en-US" w:eastAsia="zh-CN"/>
        </w:rPr>
        <w:t>其他政策</w:t>
      </w:r>
      <w:r>
        <w:rPr>
          <w:rFonts w:hint="default" w:ascii="Times New Roman" w:hAnsi="Times New Roman" w:eastAsia="宋体" w:cs="Times New Roman"/>
          <w:color w:val="auto"/>
          <w:lang w:val="en-US" w:eastAsia="zh-CN"/>
        </w:rPr>
        <w:t>符合性分析</w:t>
      </w:r>
      <w:bookmarkEnd w:id="119"/>
    </w:p>
    <w:p w14:paraId="563F80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highlight w:val="none"/>
          <w:lang w:val="en-US" w:eastAsia="zh-CN"/>
        </w:rPr>
      </w:pPr>
      <w:bookmarkStart w:id="120" w:name="_Toc25721"/>
      <w:bookmarkStart w:id="121" w:name="_Toc20419"/>
      <w:bookmarkStart w:id="122" w:name="_Toc4585"/>
      <w:bookmarkStart w:id="123" w:name="_Toc23782"/>
      <w:bookmarkStart w:id="124" w:name="_Toc24480"/>
      <w:bookmarkStart w:id="125" w:name="_Toc8894"/>
      <w:r>
        <w:rPr>
          <w:rFonts w:hint="eastAsia" w:ascii="Times New Roman" w:hAnsi="Times New Roman" w:eastAsia="宋体" w:cs="Times New Roman"/>
          <w:color w:val="auto"/>
          <w:kern w:val="0"/>
          <w:sz w:val="24"/>
          <w:szCs w:val="24"/>
          <w:highlight w:val="none"/>
          <w:lang w:val="en-US" w:eastAsia="zh-CN"/>
        </w:rPr>
        <w:t>（1）与</w:t>
      </w:r>
      <w:r>
        <w:rPr>
          <w:rFonts w:hint="default" w:ascii="Times New Roman" w:hAnsi="Times New Roman" w:eastAsia="宋体" w:cs="Times New Roman"/>
          <w:color w:val="auto"/>
          <w:kern w:val="0"/>
          <w:sz w:val="24"/>
          <w:szCs w:val="24"/>
          <w:highlight w:val="none"/>
          <w:lang w:val="en-US" w:eastAsia="zh-CN"/>
        </w:rPr>
        <w:t>《四川省“十四五”卫生健康发展规划》</w:t>
      </w:r>
      <w:r>
        <w:rPr>
          <w:rFonts w:hint="eastAsia" w:ascii="Times New Roman" w:hAnsi="Times New Roman" w:eastAsia="宋体" w:cs="Times New Roman"/>
          <w:color w:val="auto"/>
          <w:kern w:val="0"/>
          <w:sz w:val="24"/>
          <w:szCs w:val="24"/>
          <w:highlight w:val="none"/>
          <w:lang w:val="en-US" w:eastAsia="zh-CN"/>
        </w:rPr>
        <w:t>符合性分析</w:t>
      </w:r>
      <w:bookmarkEnd w:id="120"/>
    </w:p>
    <w:p w14:paraId="561F36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126" w:name="_Toc31899"/>
      <w:r>
        <w:rPr>
          <w:rFonts w:hint="default" w:ascii="Times New Roman" w:hAnsi="Times New Roman" w:eastAsia="宋体" w:cs="Times New Roman"/>
          <w:color w:val="auto"/>
          <w:kern w:val="0"/>
          <w:sz w:val="24"/>
          <w:szCs w:val="24"/>
          <w:highlight w:val="none"/>
          <w:lang w:val="en-US" w:eastAsia="zh-CN"/>
        </w:rPr>
        <w:t>《四川省“十四五”卫生健康发展规划》总体要求提出“</w:t>
      </w:r>
      <w:r>
        <w:rPr>
          <w:rFonts w:hint="default" w:ascii="Times New Roman" w:hAnsi="Times New Roman" w:eastAsia="宋体" w:cs="Times New Roman"/>
          <w:color w:val="auto"/>
          <w:sz w:val="24"/>
          <w:szCs w:val="24"/>
        </w:rPr>
        <w:t>建设优质高效医疗服务体系</w:t>
      </w:r>
      <w:r>
        <w:rPr>
          <w:rFonts w:hint="default" w:ascii="Times New Roman" w:hAnsi="Times New Roman" w:eastAsia="宋体" w:cs="Times New Roman"/>
          <w:color w:val="auto"/>
          <w:kern w:val="0"/>
          <w:sz w:val="24"/>
          <w:szCs w:val="24"/>
          <w:highlight w:val="none"/>
          <w:lang w:val="en-US" w:eastAsia="zh-CN"/>
        </w:rPr>
        <w:t>”，其中要求：加快创建国家医学中心和区域医疗中心,建设省医学中心和省级区域医疗中心，形成“主干”有“高峰”、区域有“高原”、市(州)有“高地”、县域有“龙头”的医疗服务新体系。加强县级医院建设。发挥县级医院在县域的“龙头”作用，提升核心专科、夯实支撑专科、打造优势专科,带动提升县域医疗服务水平，基本实现“大病不出县”。到2025年，20万常住人口以上的县均有一所综合医院达到二级甲等标准，50万人口以上的县达到三级标准。</w:t>
      </w:r>
      <w:bookmarkEnd w:id="121"/>
      <w:bookmarkEnd w:id="122"/>
      <w:bookmarkEnd w:id="123"/>
      <w:bookmarkEnd w:id="124"/>
      <w:bookmarkEnd w:id="125"/>
      <w:bookmarkEnd w:id="126"/>
    </w:p>
    <w:p w14:paraId="4E6BA3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highlight w:val="none"/>
          <w:lang w:val="en-US" w:eastAsia="zh-CN"/>
        </w:rPr>
      </w:pPr>
      <w:bookmarkStart w:id="127" w:name="_Toc12419"/>
      <w:bookmarkStart w:id="128" w:name="_Toc18292"/>
      <w:bookmarkStart w:id="129" w:name="_Toc3832"/>
      <w:r>
        <w:rPr>
          <w:rFonts w:hint="default" w:ascii="Times New Roman" w:hAnsi="Times New Roman" w:eastAsia="宋体" w:cs="Times New Roman"/>
          <w:color w:val="auto"/>
          <w:kern w:val="0"/>
          <w:sz w:val="24"/>
          <w:szCs w:val="24"/>
          <w:highlight w:val="none"/>
          <w:lang w:val="en-US" w:eastAsia="zh-CN"/>
        </w:rPr>
        <w:t>本项目位于遂宁市大英县文旅产业园区，属于综合医院建设，因此，本项目与《四川省“十四五”卫生健康发展规划》相符。</w:t>
      </w:r>
      <w:bookmarkEnd w:id="127"/>
      <w:bookmarkEnd w:id="128"/>
      <w:bookmarkEnd w:id="129"/>
    </w:p>
    <w:p w14:paraId="55AB6B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highlight w:val="none"/>
          <w:lang w:val="en-US" w:eastAsia="zh-CN"/>
        </w:rPr>
      </w:pPr>
      <w:bookmarkStart w:id="130" w:name="_Toc29844"/>
      <w:bookmarkStart w:id="131" w:name="_Toc26359"/>
      <w:bookmarkStart w:id="132" w:name="_Toc11763"/>
      <w:bookmarkStart w:id="133" w:name="_Toc11146"/>
      <w:bookmarkStart w:id="134" w:name="_Toc569"/>
      <w:bookmarkStart w:id="135" w:name="_Toc4921"/>
      <w:r>
        <w:rPr>
          <w:rFonts w:hint="eastAsia" w:ascii="Times New Roman" w:hAnsi="Times New Roman" w:eastAsia="宋体" w:cs="Times New Roman"/>
          <w:color w:val="auto"/>
          <w:kern w:val="0"/>
          <w:sz w:val="24"/>
          <w:szCs w:val="24"/>
          <w:highlight w:val="none"/>
          <w:lang w:val="en-US" w:eastAsia="zh-CN"/>
        </w:rPr>
        <w:t>（2）与</w:t>
      </w:r>
      <w:r>
        <w:rPr>
          <w:rFonts w:hint="default" w:ascii="Times New Roman" w:hAnsi="Times New Roman" w:eastAsia="宋体" w:cs="Times New Roman"/>
          <w:color w:val="auto"/>
          <w:kern w:val="0"/>
          <w:sz w:val="24"/>
          <w:szCs w:val="24"/>
          <w:highlight w:val="none"/>
          <w:lang w:val="en-US" w:eastAsia="zh-CN"/>
        </w:rPr>
        <w:t>《遂宁市“十四五”卫生健康发展规划》</w:t>
      </w:r>
      <w:r>
        <w:rPr>
          <w:rFonts w:hint="eastAsia" w:ascii="Times New Roman" w:hAnsi="Times New Roman" w:eastAsia="宋体" w:cs="Times New Roman"/>
          <w:color w:val="auto"/>
          <w:kern w:val="0"/>
          <w:sz w:val="24"/>
          <w:szCs w:val="24"/>
          <w:highlight w:val="none"/>
          <w:lang w:val="en-US" w:eastAsia="zh-CN"/>
        </w:rPr>
        <w:t>符合性分析</w:t>
      </w:r>
      <w:bookmarkEnd w:id="130"/>
    </w:p>
    <w:p w14:paraId="48B6BC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highlight w:val="none"/>
          <w:lang w:val="en-US" w:eastAsia="zh-CN"/>
        </w:rPr>
      </w:pPr>
      <w:bookmarkStart w:id="136" w:name="_Toc23088"/>
      <w:r>
        <w:rPr>
          <w:rFonts w:hint="default" w:ascii="Times New Roman" w:hAnsi="Times New Roman" w:eastAsia="宋体" w:cs="Times New Roman"/>
          <w:color w:val="auto"/>
          <w:kern w:val="0"/>
          <w:sz w:val="24"/>
          <w:szCs w:val="24"/>
          <w:highlight w:val="none"/>
          <w:lang w:val="en-US" w:eastAsia="zh-CN"/>
        </w:rPr>
        <w:t>《遂宁市“十四五”卫生健康发展规划》总体要求提出“着力提升基层服务能力”，其中要求：建强县级医疗龙头。落实县级医院功能定位，加强专科能力建设，提升县域内常见病、多发病诊疗能力……。积极落实县级医院在分级诊疗中的功能定位，牵头组建紧密型县域医共体、远程医疗协作网，并与城市三级医院建立远程医疗服务关系和双向转诊通道。以紧密型县域医共体为载体，……，提高县域医疗资源配置和使用效率。强化县级医院对紧密型县域医共体内的医疗卫生机构的协调管理。</w:t>
      </w:r>
      <w:bookmarkEnd w:id="131"/>
      <w:bookmarkEnd w:id="132"/>
      <w:bookmarkEnd w:id="133"/>
      <w:bookmarkEnd w:id="134"/>
      <w:bookmarkEnd w:id="135"/>
      <w:bookmarkEnd w:id="136"/>
    </w:p>
    <w:p w14:paraId="04A960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default" w:ascii="Times New Roman" w:hAnsi="Times New Roman" w:eastAsia="宋体" w:cs="Times New Roman"/>
          <w:color w:val="auto"/>
          <w:kern w:val="0"/>
          <w:sz w:val="24"/>
          <w:szCs w:val="24"/>
          <w:highlight w:val="none"/>
          <w:lang w:val="en-US" w:eastAsia="zh-CN"/>
        </w:rPr>
        <w:t>遂宁市大英县文旅产业园区，属于综合医院建设，符合《遂宁市“十四五”卫生健康发展规划》要求。</w:t>
      </w:r>
    </w:p>
    <w:p w14:paraId="2A1A5C1D">
      <w:pPr>
        <w:pStyle w:val="6"/>
        <w:bidi w:val="0"/>
        <w:rPr>
          <w:rFonts w:hint="default" w:ascii="Times New Roman" w:hAnsi="Times New Roman" w:eastAsia="宋体" w:cs="Times New Roman"/>
          <w:color w:val="auto"/>
          <w:lang w:val="en-US" w:eastAsia="zh-CN"/>
        </w:rPr>
      </w:pPr>
      <w:bookmarkStart w:id="137" w:name="_Toc18121"/>
      <w:bookmarkStart w:id="138" w:name="_Toc30443"/>
      <w:r>
        <w:rPr>
          <w:rFonts w:hint="default" w:ascii="Times New Roman" w:hAnsi="Times New Roman" w:eastAsia="宋体" w:cs="Times New Roman"/>
          <w:color w:val="auto"/>
          <w:lang w:val="en-US" w:eastAsia="zh-CN"/>
        </w:rPr>
        <w:t>1.4 与相关规划符合性分析</w:t>
      </w:r>
      <w:bookmarkEnd w:id="137"/>
      <w:bookmarkEnd w:id="138"/>
    </w:p>
    <w:p w14:paraId="6DD8CFEA">
      <w:pPr>
        <w:pStyle w:val="7"/>
        <w:bidi w:val="0"/>
        <w:rPr>
          <w:rFonts w:hint="default" w:ascii="Times New Roman" w:hAnsi="Times New Roman" w:eastAsia="宋体" w:cs="Times New Roman"/>
          <w:color w:val="auto"/>
          <w:lang w:val="en-US" w:eastAsia="zh-CN"/>
        </w:rPr>
      </w:pPr>
      <w:bookmarkStart w:id="139" w:name="_Toc32240"/>
      <w:r>
        <w:rPr>
          <w:rFonts w:hint="default" w:ascii="Times New Roman" w:hAnsi="Times New Roman" w:eastAsia="宋体" w:cs="Times New Roman"/>
          <w:color w:val="auto"/>
          <w:lang w:val="en-US" w:eastAsia="zh-CN"/>
        </w:rPr>
        <w:t>1.4.1 用地规划符合性分析</w:t>
      </w:r>
      <w:bookmarkEnd w:id="139"/>
    </w:p>
    <w:p w14:paraId="1AF566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（1）用地符合性分析</w:t>
      </w:r>
    </w:p>
    <w:p w14:paraId="03A6A4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w:t>
      </w:r>
      <w:r>
        <w:rPr>
          <w:rFonts w:hint="default" w:ascii="Times New Roman" w:hAnsi="Times New Roman" w:eastAsia="宋体" w:cs="Times New Roman"/>
          <w:color w:val="auto"/>
          <w:kern w:val="0"/>
          <w:sz w:val="24"/>
          <w:szCs w:val="24"/>
          <w:highlight w:val="none"/>
          <w:lang w:val="en-US" w:eastAsia="zh-CN"/>
        </w:rPr>
        <w:t>遂宁市大英县文旅产业园区</w:t>
      </w:r>
      <w:r>
        <w:rPr>
          <w:rFonts w:hint="eastAsia" w:ascii="Times New Roman" w:hAnsi="Times New Roman" w:eastAsia="宋体" w:cs="Times New Roman"/>
          <w:color w:val="auto"/>
          <w:kern w:val="0"/>
          <w:sz w:val="24"/>
          <w:szCs w:val="24"/>
          <w:highlight w:val="none"/>
          <w:lang w:val="en-US" w:eastAsia="zh-CN"/>
        </w:rPr>
        <w:t>，总用地面积为70284.55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（约150.42亩）</w:t>
      </w:r>
      <w:r>
        <w:rPr>
          <w:rFonts w:hint="eastAsia" w:ascii="Times New Roman" w:hAnsi="Times New Roman" w:eastAsia="宋体" w:cs="Times New Roman"/>
          <w:color w:val="auto"/>
          <w:kern w:val="0"/>
          <w:sz w:val="24"/>
          <w:szCs w:val="24"/>
          <w:highlight w:val="none"/>
          <w:lang w:val="en-US" w:eastAsia="zh-CN"/>
        </w:rPr>
        <w:t>，一</w:t>
      </w:r>
      <w:r>
        <w:rPr>
          <w:rFonts w:hint="eastAsia" w:ascii="Times New Roman" w:hAnsi="Times New Roman" w:eastAsia="宋体" w:cs="Times New Roman"/>
          <w:color w:val="auto"/>
          <w:sz w:val="24"/>
          <w:szCs w:val="24"/>
          <w:lang w:val="en-US" w:eastAsia="zh-CN"/>
        </w:rPr>
        <w:t>部分属于原遂宁华康医院建设项目，土地面积约81.47亩</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另一部分为大英县自然资源和规划局国有建设用地使用权出让，土地面积约23.95亩。</w:t>
      </w:r>
    </w:p>
    <w:p w14:paraId="663557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华康医院于2013年取得了大英县国土资源局出具的用地预审意见和大英县城乡规划管理局出具的选址意见的函，2014年取得了原四川省环境保护厅出具的《关于遂宁华康医院建设项目环境影响报告书的批复》（川环审批[2014]520号），同意项目建设。华康医院于2014年开工建设，已完成了门急诊医技住院综合楼五层框架建设，因资金链断裂于2016年1月停工。2020年10月，华康医院建设单位重庆巨能建设（集团）有限公司将该块土地及建筑转让给大英县禾鑫城市建设投资有限公司。</w:t>
      </w:r>
    </w:p>
    <w:p w14:paraId="1EFC4C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2021年8月，大英县禾鑫城市建设投资有限公司取得了大英县自然资源和规划局出具的大英县国有建设用地使用权网上挂牌出让成交确认书和国有建设用地使用权出让合同。</w:t>
      </w:r>
    </w:p>
    <w:p w14:paraId="3FF67D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2021年9月，大英县禾鑫城市建设投资有限公司取得了建设项目地块的不动产权证书（川（2021）大英县不动产权第0015598号），土地面积70284.55m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，土地用途为其他商服用地。</w:t>
      </w:r>
      <w:r>
        <w:rPr>
          <w:rFonts w:hint="eastAsia" w:ascii="Times New Roman" w:hAnsi="Times New Roman" w:eastAsia="宋体" w:cs="Times New Roman"/>
          <w:color w:val="auto"/>
          <w:sz w:val="24"/>
          <w:szCs w:val="24"/>
          <w:lang w:val="en-US" w:eastAsia="zh-CN"/>
        </w:rPr>
        <w:t>2022年11月，大英县人民政府编制了</w:t>
      </w:r>
      <w:r>
        <w:rPr>
          <w:rFonts w:hint="default" w:ascii="Times New Roman" w:hAnsi="Times New Roman" w:eastAsia="宋体" w:cs="Times New Roman"/>
          <w:color w:val="auto"/>
          <w:sz w:val="24"/>
          <w:szCs w:val="24"/>
          <w:lang w:val="en-US" w:eastAsia="zh-CN"/>
        </w:rPr>
        <w:t>《大英县国土空间总体规划》（2019-2035年）</w:t>
      </w:r>
      <w:r>
        <w:rPr>
          <w:rFonts w:hint="eastAsia" w:ascii="Times New Roman" w:hAnsi="Times New Roman" w:eastAsia="宋体" w:cs="Times New Roman"/>
          <w:color w:val="auto"/>
          <w:sz w:val="24"/>
          <w:szCs w:val="24"/>
          <w:lang w:val="en-US" w:eastAsia="zh-CN"/>
        </w:rPr>
        <w:t>中心城区土地利用规划图</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项目取得的不动产权证书在国土空间规划之前，根据最新规划，</w:t>
      </w:r>
      <w:r>
        <w:rPr>
          <w:rFonts w:hint="default" w:ascii="Times New Roman" w:hAnsi="Times New Roman" w:eastAsia="宋体" w:cs="Times New Roman"/>
          <w:color w:val="auto"/>
          <w:sz w:val="24"/>
          <w:szCs w:val="24"/>
          <w:lang w:val="en-US" w:eastAsia="zh-CN"/>
        </w:rPr>
        <w:t>项目建设地块</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医疗卫生用地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符合规划</w:t>
      </w:r>
      <w:r>
        <w:rPr>
          <w:rFonts w:hint="eastAsia" w:ascii="Times New Roman" w:hAnsi="Times New Roman" w:eastAsia="宋体" w:cs="Times New Roman"/>
          <w:color w:val="auto"/>
          <w:sz w:val="24"/>
          <w:szCs w:val="24"/>
          <w:lang w:val="en-US" w:eastAsia="zh-CN"/>
        </w:rPr>
        <w:t>用地</w:t>
      </w:r>
      <w:r>
        <w:rPr>
          <w:rFonts w:hint="default" w:ascii="Times New Roman" w:hAnsi="Times New Roman" w:eastAsia="宋体" w:cs="Times New Roman"/>
          <w:color w:val="auto"/>
          <w:sz w:val="24"/>
          <w:szCs w:val="24"/>
          <w:lang w:val="en-US" w:eastAsia="zh-CN"/>
        </w:rPr>
        <w:t>要求。</w:t>
      </w:r>
    </w:p>
    <w:p w14:paraId="5B4B636B">
      <w:pPr>
        <w:pStyle w:val="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bookmarkStart w:id="140" w:name="_Toc16020"/>
      <w:r>
        <w:rPr>
          <w:rFonts w:hint="eastAsia" w:ascii="Times New Roman" w:hAnsi="Times New Roman" w:eastAsia="宋体"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选址合理性分析</w:t>
      </w:r>
      <w:bookmarkEnd w:id="140"/>
    </w:p>
    <w:p w14:paraId="6C6ABB3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color w:val="auto"/>
          <w:sz w:val="24"/>
          <w:szCs w:val="24"/>
          <w:lang w:val="en-US" w:eastAsia="zh-CN"/>
        </w:rPr>
        <w:t>项目选址在大英县文旅产业园区，</w:t>
      </w:r>
      <w:r>
        <w:rPr>
          <w:rFonts w:hint="default" w:ascii="Times New Roman" w:hAnsi="Times New Roman" w:eastAsia="宋体" w:cs="Times New Roman"/>
          <w:i w:val="0"/>
          <w:iCs w:val="0"/>
          <w:caps w:val="0"/>
          <w:color w:val="auto"/>
          <w:spacing w:val="0"/>
          <w:sz w:val="24"/>
          <w:szCs w:val="24"/>
          <w:shd w:val="clear" w:fill="FFFFFF"/>
          <w:lang w:val="en-US" w:eastAsia="zh-CN"/>
        </w:rPr>
        <w:t>属于</w:t>
      </w:r>
      <w:r>
        <w:rPr>
          <w:rFonts w:hint="default" w:ascii="Times New Roman" w:hAnsi="Times New Roman" w:eastAsia="宋体" w:cs="Times New Roman"/>
          <w:i w:val="0"/>
          <w:iCs w:val="0"/>
          <w:caps w:val="0"/>
          <w:color w:val="auto"/>
          <w:spacing w:val="0"/>
          <w:sz w:val="24"/>
          <w:szCs w:val="24"/>
          <w:shd w:val="clear" w:fill="FFFFFF"/>
        </w:rPr>
        <w:t>综合医院，参照《综合医院建设标准》</w:t>
      </w:r>
      <w:r>
        <w:rPr>
          <w:rFonts w:hint="default" w:ascii="Times New Roman" w:hAnsi="Times New Roman" w:eastAsia="宋体" w:cs="Times New Roman"/>
          <w:i w:val="0"/>
          <w:iCs w:val="0"/>
          <w:caps w:val="0"/>
          <w:color w:val="auto"/>
          <w:spacing w:val="0"/>
          <w:sz w:val="24"/>
          <w:szCs w:val="24"/>
          <w:shd w:val="clear" w:fill="FFFFFF"/>
          <w:lang w:eastAsia="zh-CN"/>
        </w:rPr>
        <w:t>（建标110-2021）</w:t>
      </w:r>
      <w:r>
        <w:rPr>
          <w:rFonts w:hint="default" w:ascii="Times New Roman" w:hAnsi="Times New Roman" w:eastAsia="宋体" w:cs="Times New Roman"/>
          <w:i w:val="0"/>
          <w:iCs w:val="0"/>
          <w:caps w:val="0"/>
          <w:color w:val="auto"/>
          <w:spacing w:val="0"/>
          <w:sz w:val="24"/>
          <w:szCs w:val="24"/>
          <w:shd w:val="clear" w:fill="FFFFFF"/>
        </w:rPr>
        <w:t>规定，用地应遵循以下原则：综合医院的选址应满足医院功能与环境的要求，院址应选择在患者就医方便、环境安静、地形比较规整、工程水文地质条件较好的位置，并尽可能充分利用城市基础设施，应避开污染源和易燃易爆物的生产、贮存场所。</w:t>
      </w:r>
    </w:p>
    <w:p w14:paraId="7DD4D5E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宋体" w:cs="Times New Roman"/>
          <w:i w:val="0"/>
          <w:iCs w:val="0"/>
          <w:caps w:val="0"/>
          <w:color w:val="auto"/>
          <w:spacing w:val="0"/>
          <w:sz w:val="24"/>
          <w:szCs w:val="24"/>
          <w:shd w:val="clear" w:fill="FFFFFF"/>
          <w:lang w:val="en-US" w:eastAsia="zh-CN"/>
        </w:rPr>
        <w:t>根据《</w:t>
      </w:r>
      <w:r>
        <w:rPr>
          <w:rFonts w:ascii="宋体" w:hAnsi="宋体" w:eastAsia="宋体" w:cs="宋体"/>
          <w:sz w:val="24"/>
          <w:szCs w:val="24"/>
        </w:rPr>
        <w:t>传染病医院建设标准</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建标173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w:t>
      </w:r>
      <w:r>
        <w:rPr>
          <w:rFonts w:ascii="宋体" w:hAnsi="宋体" w:eastAsia="宋体" w:cs="宋体"/>
          <w:sz w:val="24"/>
          <w:szCs w:val="24"/>
        </w:rPr>
        <w:t>在综合医院内设置独立传染病区时，传染病区与医院其他医疗用房的卫生间距应大于或等于</w:t>
      </w:r>
      <w:r>
        <w:rPr>
          <w:rFonts w:hint="eastAsia" w:ascii="宋体" w:hAnsi="宋体" w:eastAsia="宋体" w:cs="宋体"/>
          <w:sz w:val="24"/>
          <w:szCs w:val="24"/>
          <w:lang w:val="en-US" w:eastAsia="zh-CN"/>
        </w:rPr>
        <w:t>20</w:t>
      </w:r>
      <w:r>
        <w:rPr>
          <w:rFonts w:ascii="宋体" w:hAnsi="宋体" w:eastAsia="宋体" w:cs="宋体"/>
          <w:sz w:val="24"/>
          <w:szCs w:val="24"/>
        </w:rPr>
        <w:t>ｍ。传染病区宜设有相对独立的出入口。</w:t>
      </w:r>
    </w:p>
    <w:p w14:paraId="4373297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eastAsia" w:ascii="Times New Roman" w:hAnsi="Times New Roman" w:eastAsia="宋体" w:cs="Times New Roman"/>
          <w:i w:val="0"/>
          <w:iCs w:val="0"/>
          <w:caps w:val="0"/>
          <w:color w:val="auto"/>
          <w:spacing w:val="0"/>
          <w:sz w:val="24"/>
          <w:szCs w:val="24"/>
          <w:shd w:val="clear" w:fill="FFFFFF"/>
          <w:lang w:val="en-US" w:eastAsia="zh-CN"/>
        </w:rPr>
        <w:t>项目感染病区包括感染楼（3#楼）和发热楼（4#楼），设置在项目北部，东侧有山体阻挡，南侧设置了宽度为32m的绿化隔离带将住院楼分隔开，西侧和北侧为城市道路，分别设置了宽度为20m的绿化隔离带。感染病区单独设置了2个普通车行出入口和1个污车专用车库出入口。项目感染病区选址及规划布局符合《</w:t>
      </w:r>
      <w:r>
        <w:rPr>
          <w:rFonts w:ascii="宋体" w:hAnsi="宋体" w:eastAsia="宋体" w:cs="宋体"/>
          <w:sz w:val="24"/>
          <w:szCs w:val="24"/>
        </w:rPr>
        <w:t>传染病医院建设标准</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建标173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要求。</w:t>
      </w:r>
    </w:p>
    <w:p w14:paraId="782F660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本项目所在地交通便利；项目所在地周围主要为居民区，周围无工、矿企业，无易燃、易爆物品的生产和贮存区；并远离高压线路及其设施；工程水文地质条件较好。</w:t>
      </w:r>
      <w:r>
        <w:rPr>
          <w:rFonts w:hint="default" w:ascii="Times New Roman" w:hAnsi="Times New Roman" w:eastAsia="宋体" w:cs="Times New Roman"/>
          <w:i w:val="0"/>
          <w:iCs w:val="0"/>
          <w:caps w:val="0"/>
          <w:color w:val="auto"/>
          <w:spacing w:val="0"/>
          <w:sz w:val="24"/>
          <w:szCs w:val="24"/>
          <w:shd w:val="clear" w:fill="FFFFFF"/>
          <w:lang w:val="en-US" w:eastAsia="zh-CN"/>
        </w:rPr>
        <w:t>根据《综合医院建筑设计规范》（GB51039-2014）中的选址要求，本项目的选址对照分析详见下表。</w:t>
      </w:r>
    </w:p>
    <w:p w14:paraId="6AC06121">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-1  项目与《综合医院建筑设计规范》的符合性分析</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9"/>
        <w:gridCol w:w="4604"/>
        <w:gridCol w:w="643"/>
      </w:tblGrid>
      <w:tr w14:paraId="10AFB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shd w:val="clear" w:color="auto" w:fill="D7D7D7" w:themeFill="background1" w:themeFillShade="D8"/>
            <w:vAlign w:val="center"/>
          </w:tcPr>
          <w:p w14:paraId="48341BC8">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《综合医院建筑设计规范》</w:t>
            </w:r>
          </w:p>
          <w:p w14:paraId="0E0C0D2C">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GB51039-2014中的选址要求要求</w:t>
            </w:r>
          </w:p>
        </w:tc>
        <w:tc>
          <w:tcPr>
            <w:tcW w:w="4604" w:type="dxa"/>
            <w:shd w:val="clear" w:color="auto" w:fill="D7D7D7" w:themeFill="background1" w:themeFillShade="D8"/>
            <w:vAlign w:val="center"/>
          </w:tcPr>
          <w:p w14:paraId="6EEB49C5">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本项目情况</w:t>
            </w:r>
          </w:p>
        </w:tc>
        <w:tc>
          <w:tcPr>
            <w:tcW w:w="643" w:type="dxa"/>
            <w:shd w:val="clear" w:color="auto" w:fill="D7D7D7" w:themeFill="background1" w:themeFillShade="D8"/>
            <w:vAlign w:val="center"/>
          </w:tcPr>
          <w:p w14:paraId="2B5CEC7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141" w:name="_Toc25732"/>
            <w:bookmarkStart w:id="142" w:name="_Toc5693"/>
            <w:bookmarkStart w:id="143" w:name="_Toc5152"/>
            <w:bookmarkStart w:id="144" w:name="_Toc20775"/>
            <w:bookmarkStart w:id="145" w:name="_Toc29581"/>
            <w:bookmarkStart w:id="146" w:name="_Toc2501"/>
            <w:r>
              <w:rPr>
                <w:rFonts w:hint="default" w:ascii="Times New Roman" w:hAnsi="Times New Roman" w:eastAsia="宋体" w:cs="Times New Roman"/>
                <w:b/>
                <w:bCs/>
                <w:color w:val="auto"/>
                <w:sz w:val="21"/>
                <w:szCs w:val="21"/>
                <w:vertAlign w:val="baseline"/>
                <w:lang w:val="en-US" w:eastAsia="zh-CN"/>
              </w:rPr>
              <w:t>符合情况</w:t>
            </w:r>
            <w:bookmarkEnd w:id="141"/>
            <w:bookmarkEnd w:id="142"/>
            <w:bookmarkEnd w:id="143"/>
            <w:bookmarkEnd w:id="144"/>
            <w:bookmarkEnd w:id="145"/>
            <w:bookmarkEnd w:id="146"/>
          </w:p>
        </w:tc>
      </w:tr>
      <w:tr w14:paraId="64A6B1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7C1C5B84">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交通方便，宜面临2条城市道路；</w:t>
            </w:r>
          </w:p>
        </w:tc>
        <w:tc>
          <w:tcPr>
            <w:tcW w:w="4604" w:type="dxa"/>
            <w:vAlign w:val="center"/>
          </w:tcPr>
          <w:p w14:paraId="78A8137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47" w:name="_Toc2811"/>
            <w:bookmarkStart w:id="148" w:name="_Toc19504"/>
            <w:bookmarkStart w:id="149" w:name="_Toc13407"/>
            <w:bookmarkStart w:id="150" w:name="_Toc3346"/>
            <w:bookmarkStart w:id="151" w:name="_Toc5018"/>
            <w:bookmarkStart w:id="152" w:name="_Toc22580"/>
            <w:r>
              <w:rPr>
                <w:rFonts w:hint="default" w:ascii="Times New Roman" w:hAnsi="Times New Roman" w:eastAsia="宋体" w:cs="Times New Roman"/>
                <w:color w:val="auto"/>
                <w:sz w:val="21"/>
                <w:szCs w:val="21"/>
                <w:vertAlign w:val="baseline"/>
                <w:lang w:val="en-US" w:eastAsia="zh-CN"/>
              </w:rPr>
              <w:t>项目东临蓬莱路，西临滨江路B段，交通便利</w:t>
            </w:r>
            <w:bookmarkEnd w:id="147"/>
            <w:bookmarkEnd w:id="148"/>
            <w:bookmarkEnd w:id="149"/>
            <w:bookmarkEnd w:id="150"/>
            <w:bookmarkEnd w:id="151"/>
            <w:bookmarkEnd w:id="152"/>
          </w:p>
        </w:tc>
        <w:tc>
          <w:tcPr>
            <w:tcW w:w="643" w:type="dxa"/>
            <w:vAlign w:val="center"/>
          </w:tcPr>
          <w:p w14:paraId="4AE20B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53" w:name="_Toc10239"/>
            <w:bookmarkStart w:id="154" w:name="_Toc22678"/>
            <w:bookmarkStart w:id="155" w:name="_Toc30401"/>
            <w:bookmarkStart w:id="156" w:name="_Toc15273"/>
            <w:bookmarkStart w:id="157" w:name="_Toc17763"/>
            <w:bookmarkStart w:id="158" w:name="_Toc20312"/>
            <w:r>
              <w:rPr>
                <w:rFonts w:hint="default" w:ascii="Times New Roman" w:hAnsi="Times New Roman" w:eastAsia="宋体" w:cs="Times New Roman"/>
                <w:color w:val="auto"/>
                <w:sz w:val="21"/>
                <w:szCs w:val="21"/>
                <w:vertAlign w:val="baseline"/>
                <w:lang w:val="en-US" w:eastAsia="zh-CN"/>
              </w:rPr>
              <w:t>符合</w:t>
            </w:r>
            <w:bookmarkEnd w:id="153"/>
            <w:bookmarkEnd w:id="154"/>
            <w:bookmarkEnd w:id="155"/>
            <w:bookmarkEnd w:id="156"/>
            <w:bookmarkEnd w:id="157"/>
            <w:bookmarkEnd w:id="158"/>
          </w:p>
        </w:tc>
      </w:tr>
      <w:tr w14:paraId="3AD38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63E72D2A">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便于利用城市基础设施，便于院内部分服务的社会化；</w:t>
            </w:r>
          </w:p>
        </w:tc>
        <w:tc>
          <w:tcPr>
            <w:tcW w:w="4604" w:type="dxa"/>
            <w:vAlign w:val="center"/>
          </w:tcPr>
          <w:p w14:paraId="13C3DB61">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项目周边供水、供电等基础设施完善，满足条件</w:t>
            </w:r>
          </w:p>
        </w:tc>
        <w:tc>
          <w:tcPr>
            <w:tcW w:w="643" w:type="dxa"/>
            <w:vAlign w:val="center"/>
          </w:tcPr>
          <w:p w14:paraId="6D6ABC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59" w:name="_Toc24721"/>
            <w:bookmarkStart w:id="160" w:name="_Toc11301"/>
            <w:bookmarkStart w:id="161" w:name="_Toc25934"/>
            <w:bookmarkStart w:id="162" w:name="_Toc14496"/>
            <w:bookmarkStart w:id="163" w:name="_Toc32731"/>
            <w:bookmarkStart w:id="164" w:name="_Toc26088"/>
            <w:r>
              <w:rPr>
                <w:rFonts w:hint="default" w:ascii="Times New Roman" w:hAnsi="Times New Roman" w:eastAsia="宋体" w:cs="Times New Roman"/>
                <w:color w:val="auto"/>
                <w:sz w:val="21"/>
                <w:szCs w:val="21"/>
                <w:vertAlign w:val="baseline"/>
                <w:lang w:val="en-US" w:eastAsia="zh-CN"/>
              </w:rPr>
              <w:t>符合</w:t>
            </w:r>
            <w:bookmarkEnd w:id="159"/>
            <w:bookmarkEnd w:id="160"/>
            <w:bookmarkEnd w:id="161"/>
            <w:bookmarkEnd w:id="162"/>
            <w:bookmarkEnd w:id="163"/>
            <w:bookmarkEnd w:id="164"/>
          </w:p>
        </w:tc>
      </w:tr>
      <w:tr w14:paraId="0BF944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5E7A51E3">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环境宜安静，应远离污染源；</w:t>
            </w:r>
          </w:p>
        </w:tc>
        <w:tc>
          <w:tcPr>
            <w:tcW w:w="4604" w:type="dxa"/>
            <w:vAlign w:val="center"/>
          </w:tcPr>
          <w:p w14:paraId="4B2DBB17">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周边近距离无高噪声污染源，经监测和采取主动防护措施后，可保持室内环境安静</w:t>
            </w:r>
          </w:p>
        </w:tc>
        <w:tc>
          <w:tcPr>
            <w:tcW w:w="643" w:type="dxa"/>
            <w:vAlign w:val="center"/>
          </w:tcPr>
          <w:p w14:paraId="4320C21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65" w:name="_Toc22993"/>
            <w:bookmarkStart w:id="166" w:name="_Toc31194"/>
            <w:bookmarkStart w:id="167" w:name="_Toc4118"/>
            <w:bookmarkStart w:id="168" w:name="_Toc8263"/>
            <w:bookmarkStart w:id="169" w:name="_Toc30917"/>
            <w:bookmarkStart w:id="170" w:name="_Toc19803"/>
            <w:r>
              <w:rPr>
                <w:rFonts w:hint="default" w:ascii="Times New Roman" w:hAnsi="Times New Roman" w:eastAsia="宋体" w:cs="Times New Roman"/>
                <w:color w:val="auto"/>
                <w:sz w:val="21"/>
                <w:szCs w:val="21"/>
                <w:vertAlign w:val="baseline"/>
                <w:lang w:val="en-US" w:eastAsia="zh-CN"/>
              </w:rPr>
              <w:t>符合</w:t>
            </w:r>
            <w:bookmarkEnd w:id="165"/>
            <w:bookmarkEnd w:id="166"/>
            <w:bookmarkEnd w:id="167"/>
            <w:bookmarkEnd w:id="168"/>
            <w:bookmarkEnd w:id="169"/>
            <w:bookmarkEnd w:id="170"/>
          </w:p>
        </w:tc>
      </w:tr>
      <w:tr w14:paraId="012DC8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7CFEA056">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地形宜力求规整，适宜医院功能布局；</w:t>
            </w:r>
          </w:p>
        </w:tc>
        <w:tc>
          <w:tcPr>
            <w:tcW w:w="4604" w:type="dxa"/>
            <w:vAlign w:val="center"/>
          </w:tcPr>
          <w:p w14:paraId="7680D1F4">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项目场地工程地质条件较好，无断层、溶洞、软土、湿陷性土等不利地质条件，适宜建筑物建造</w:t>
            </w:r>
          </w:p>
        </w:tc>
        <w:tc>
          <w:tcPr>
            <w:tcW w:w="643" w:type="dxa"/>
            <w:vAlign w:val="center"/>
          </w:tcPr>
          <w:p w14:paraId="4E7C595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71" w:name="_Toc14275"/>
            <w:bookmarkStart w:id="172" w:name="_Toc31907"/>
            <w:bookmarkStart w:id="173" w:name="_Toc18411"/>
            <w:bookmarkStart w:id="174" w:name="_Toc7442"/>
            <w:bookmarkStart w:id="175" w:name="_Toc7766"/>
            <w:bookmarkStart w:id="176" w:name="_Toc18169"/>
            <w:r>
              <w:rPr>
                <w:rFonts w:hint="default" w:ascii="Times New Roman" w:hAnsi="Times New Roman" w:eastAsia="宋体" w:cs="Times New Roman"/>
                <w:color w:val="auto"/>
                <w:sz w:val="21"/>
                <w:szCs w:val="21"/>
                <w:vertAlign w:val="baseline"/>
                <w:lang w:val="en-US" w:eastAsia="zh-CN"/>
              </w:rPr>
              <w:t>符合</w:t>
            </w:r>
            <w:bookmarkEnd w:id="171"/>
            <w:bookmarkEnd w:id="172"/>
            <w:bookmarkEnd w:id="173"/>
            <w:bookmarkEnd w:id="174"/>
            <w:bookmarkEnd w:id="175"/>
            <w:bookmarkEnd w:id="176"/>
          </w:p>
        </w:tc>
      </w:tr>
      <w:tr w14:paraId="45CCC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269" w:type="dxa"/>
            <w:vAlign w:val="center"/>
          </w:tcPr>
          <w:p w14:paraId="134E598C">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远离易燃、易爆物品的生产和储存区，并应远离高压线路及其设施；</w:t>
            </w:r>
          </w:p>
        </w:tc>
        <w:tc>
          <w:tcPr>
            <w:tcW w:w="4604" w:type="dxa"/>
            <w:vAlign w:val="center"/>
          </w:tcPr>
          <w:p w14:paraId="166E8C63">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项目拟建地周边无易燃、易爆物品的生产和储存区、高压线路等，满足条件</w:t>
            </w:r>
          </w:p>
        </w:tc>
        <w:tc>
          <w:tcPr>
            <w:tcW w:w="643" w:type="dxa"/>
            <w:vAlign w:val="center"/>
          </w:tcPr>
          <w:p w14:paraId="72A5AC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77" w:name="_Toc20413"/>
            <w:bookmarkStart w:id="178" w:name="_Toc12424"/>
            <w:bookmarkStart w:id="179" w:name="_Toc3960"/>
            <w:bookmarkStart w:id="180" w:name="_Toc9321"/>
            <w:bookmarkStart w:id="181" w:name="_Toc16983"/>
            <w:bookmarkStart w:id="182" w:name="_Toc28099"/>
            <w:r>
              <w:rPr>
                <w:rFonts w:hint="default" w:ascii="Times New Roman" w:hAnsi="Times New Roman" w:eastAsia="宋体" w:cs="Times New Roman"/>
                <w:color w:val="auto"/>
                <w:sz w:val="21"/>
                <w:szCs w:val="21"/>
                <w:vertAlign w:val="baseline"/>
                <w:lang w:val="en-US" w:eastAsia="zh-CN"/>
              </w:rPr>
              <w:t>符合</w:t>
            </w:r>
            <w:bookmarkEnd w:id="177"/>
            <w:bookmarkEnd w:id="178"/>
            <w:bookmarkEnd w:id="179"/>
            <w:bookmarkEnd w:id="180"/>
            <w:bookmarkEnd w:id="181"/>
            <w:bookmarkEnd w:id="182"/>
          </w:p>
        </w:tc>
      </w:tr>
      <w:tr w14:paraId="4F239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73556C84">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不应临近少年儿童活动密集场所；</w:t>
            </w:r>
          </w:p>
        </w:tc>
        <w:tc>
          <w:tcPr>
            <w:tcW w:w="4604" w:type="dxa"/>
            <w:vAlign w:val="center"/>
          </w:tcPr>
          <w:p w14:paraId="72A64D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83" w:name="_Toc29638"/>
            <w:bookmarkStart w:id="184" w:name="_Toc104"/>
            <w:bookmarkStart w:id="185" w:name="_Toc1067"/>
            <w:bookmarkStart w:id="186" w:name="_Toc20698"/>
            <w:bookmarkStart w:id="187" w:name="_Toc10574"/>
            <w:bookmarkStart w:id="188" w:name="_Toc15797"/>
            <w:r>
              <w:rPr>
                <w:rFonts w:hint="default" w:ascii="Times New Roman" w:hAnsi="Times New Roman" w:eastAsia="宋体" w:cs="Times New Roman"/>
                <w:color w:val="auto"/>
                <w:sz w:val="21"/>
                <w:szCs w:val="21"/>
                <w:vertAlign w:val="baseline"/>
                <w:lang w:val="en-US" w:eastAsia="zh-CN"/>
              </w:rPr>
              <w:t>项目西侧220m大英县蓬莱初级中学校，西侧为235m为大英县郪江幼儿园</w:t>
            </w:r>
            <w:bookmarkEnd w:id="183"/>
            <w:bookmarkEnd w:id="184"/>
            <w:bookmarkEnd w:id="185"/>
            <w:r>
              <w:rPr>
                <w:rFonts w:hint="default" w:ascii="Times New Roman" w:hAnsi="Times New Roman" w:eastAsia="宋体" w:cs="Times New Roman"/>
                <w:color w:val="auto"/>
                <w:sz w:val="21"/>
                <w:szCs w:val="21"/>
                <w:vertAlign w:val="baseline"/>
                <w:lang w:val="en-US" w:eastAsia="zh-CN"/>
              </w:rPr>
              <w:t>，距离较远，且中间有住宅小区（和喜·公园里）阻隔。</w:t>
            </w:r>
            <w:bookmarkEnd w:id="186"/>
            <w:bookmarkEnd w:id="187"/>
            <w:bookmarkEnd w:id="188"/>
          </w:p>
        </w:tc>
        <w:tc>
          <w:tcPr>
            <w:tcW w:w="643" w:type="dxa"/>
            <w:vAlign w:val="center"/>
          </w:tcPr>
          <w:p w14:paraId="603A17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89" w:name="_Toc12059"/>
            <w:bookmarkStart w:id="190" w:name="_Toc15962"/>
            <w:bookmarkStart w:id="191" w:name="_Toc540"/>
            <w:bookmarkStart w:id="192" w:name="_Toc26262"/>
            <w:bookmarkStart w:id="193" w:name="_Toc20119"/>
            <w:bookmarkStart w:id="194" w:name="_Toc8032"/>
            <w:r>
              <w:rPr>
                <w:rFonts w:hint="default" w:ascii="Times New Roman" w:hAnsi="Times New Roman" w:eastAsia="宋体" w:cs="Times New Roman"/>
                <w:color w:val="auto"/>
                <w:sz w:val="21"/>
                <w:szCs w:val="21"/>
                <w:vertAlign w:val="baseline"/>
                <w:lang w:val="en-US" w:eastAsia="zh-CN"/>
              </w:rPr>
              <w:t>符合</w:t>
            </w:r>
            <w:bookmarkEnd w:id="189"/>
            <w:bookmarkEnd w:id="190"/>
            <w:bookmarkEnd w:id="191"/>
            <w:bookmarkEnd w:id="192"/>
            <w:bookmarkEnd w:id="193"/>
            <w:bookmarkEnd w:id="194"/>
          </w:p>
        </w:tc>
      </w:tr>
      <w:tr w14:paraId="4E682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69" w:type="dxa"/>
            <w:vAlign w:val="center"/>
          </w:tcPr>
          <w:p w14:paraId="1CFFF605">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不应污染、影响城市的其他区域。</w:t>
            </w:r>
          </w:p>
        </w:tc>
        <w:tc>
          <w:tcPr>
            <w:tcW w:w="4604" w:type="dxa"/>
            <w:vAlign w:val="center"/>
          </w:tcPr>
          <w:p w14:paraId="6BE10439">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项目地块四周均为市政道路，地块相对孤立独立，在经过采取环保措施后，可满足要求。</w:t>
            </w:r>
          </w:p>
        </w:tc>
        <w:tc>
          <w:tcPr>
            <w:tcW w:w="643" w:type="dxa"/>
            <w:vAlign w:val="center"/>
          </w:tcPr>
          <w:p w14:paraId="637C48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195" w:name="_Toc27878"/>
            <w:bookmarkStart w:id="196" w:name="_Toc8017"/>
            <w:bookmarkStart w:id="197" w:name="_Toc8064"/>
            <w:bookmarkStart w:id="198" w:name="_Toc13130"/>
            <w:bookmarkStart w:id="199" w:name="_Toc31633"/>
            <w:bookmarkStart w:id="200" w:name="_Toc32167"/>
            <w:r>
              <w:rPr>
                <w:rFonts w:hint="default" w:ascii="Times New Roman" w:hAnsi="Times New Roman" w:eastAsia="宋体" w:cs="Times New Roman"/>
                <w:color w:val="auto"/>
                <w:sz w:val="21"/>
                <w:szCs w:val="21"/>
                <w:vertAlign w:val="baseline"/>
                <w:lang w:val="en-US" w:eastAsia="zh-CN"/>
              </w:rPr>
              <w:t>符合</w:t>
            </w:r>
            <w:bookmarkEnd w:id="195"/>
            <w:bookmarkEnd w:id="196"/>
            <w:bookmarkEnd w:id="197"/>
            <w:bookmarkEnd w:id="198"/>
            <w:bookmarkEnd w:id="199"/>
            <w:bookmarkEnd w:id="200"/>
          </w:p>
        </w:tc>
      </w:tr>
    </w:tbl>
    <w:p w14:paraId="6B0F1F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综上所述，项目选址满足《综合医院建筑设计规范》GB51039-2014 中的选址要求，无明显外环境制约因素，本项目土地使用合法，项目选址合理。项目在采取相应污染防治措施、风险防范措施，不会对周围环境及人群造成明显的不利影响。</w:t>
      </w:r>
    </w:p>
    <w:p w14:paraId="7A1EADCC">
      <w:pPr>
        <w:pStyle w:val="7"/>
        <w:bidi w:val="0"/>
        <w:rPr>
          <w:rFonts w:hint="default" w:ascii="Times New Roman" w:hAnsi="Times New Roman" w:eastAsia="宋体" w:cs="Times New Roman"/>
          <w:color w:val="auto"/>
          <w:lang w:val="en-US" w:eastAsia="zh-CN"/>
        </w:rPr>
      </w:pPr>
      <w:bookmarkStart w:id="201" w:name="_Toc8072"/>
      <w:r>
        <w:rPr>
          <w:rFonts w:hint="default" w:ascii="Times New Roman" w:hAnsi="Times New Roman" w:eastAsia="宋体" w:cs="Times New Roman"/>
          <w:color w:val="auto"/>
          <w:lang w:val="en-US" w:eastAsia="zh-CN"/>
        </w:rPr>
        <w:t>1.4.2 项目“三线一单”符合性分析</w:t>
      </w:r>
      <w:bookmarkEnd w:id="201"/>
    </w:p>
    <w:p w14:paraId="206EF4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pacing w:val="-6"/>
          <w:sz w:val="24"/>
          <w:szCs w:val="24"/>
        </w:rPr>
        <w:t>生态保护红线</w:t>
      </w:r>
    </w:p>
    <w:p w14:paraId="66BBDAA0">
      <w:pPr>
        <w:keepNext w:val="0"/>
        <w:keepLines w:val="0"/>
        <w:pageBreakBefore w:val="0"/>
        <w:widowControl/>
        <w:suppressLineNumbers w:val="0"/>
        <w:kinsoku/>
        <w:wordWrap/>
        <w:overflowPunct/>
        <w:topLinePunct w:val="0"/>
        <w:autoSpaceDE/>
        <w:autoSpaceDN/>
        <w:bidi w:val="0"/>
        <w:spacing w:line="360" w:lineRule="auto"/>
        <w:ind w:firstLine="456" w:firstLineChars="200"/>
        <w:jc w:val="left"/>
        <w:textAlignment w:val="auto"/>
        <w:rPr>
          <w:rFonts w:hint="eastAsia" w:ascii="宋体" w:hAnsi="宋体" w:eastAsia="宋体" w:cs="宋体"/>
          <w:color w:val="auto"/>
          <w:spacing w:val="-6"/>
          <w:sz w:val="24"/>
          <w:szCs w:val="24"/>
        </w:rPr>
      </w:pPr>
      <w:bookmarkStart w:id="202" w:name="_Toc7066"/>
      <w:bookmarkStart w:id="203" w:name="_Toc28353"/>
      <w:bookmarkStart w:id="204" w:name="_Toc13946"/>
      <w:r>
        <w:rPr>
          <w:rFonts w:hint="eastAsia" w:ascii="宋体" w:hAnsi="宋体" w:eastAsia="宋体" w:cs="宋体"/>
          <w:color w:val="auto"/>
          <w:spacing w:val="-6"/>
          <w:sz w:val="24"/>
          <w:szCs w:val="24"/>
        </w:rPr>
        <w:t>根据四川省政府公布的《四川省人民政府关于印发四川省生态保护红线方案的通知》（川府发〔2018〕24号），本项目位于</w:t>
      </w:r>
      <w:r>
        <w:rPr>
          <w:rFonts w:hint="eastAsia" w:ascii="宋体" w:hAnsi="宋体" w:eastAsia="宋体" w:cs="宋体"/>
          <w:color w:val="auto"/>
          <w:spacing w:val="-6"/>
          <w:sz w:val="24"/>
          <w:szCs w:val="24"/>
          <w:lang w:val="en-US" w:eastAsia="zh-CN"/>
        </w:rPr>
        <w:t>大英县文旅产业园</w:t>
      </w:r>
      <w:r>
        <w:rPr>
          <w:rFonts w:hint="eastAsia" w:ascii="宋体" w:hAnsi="宋体" w:eastAsia="宋体" w:cs="宋体"/>
          <w:color w:val="auto"/>
          <w:spacing w:val="-6"/>
          <w:sz w:val="24"/>
          <w:szCs w:val="24"/>
        </w:rPr>
        <w:t>，</w:t>
      </w:r>
      <w:r>
        <w:rPr>
          <w:rFonts w:hint="eastAsia" w:ascii="宋体" w:hAnsi="宋体" w:eastAsia="宋体" w:cs="宋体"/>
          <w:color w:val="000000"/>
          <w:kern w:val="0"/>
          <w:sz w:val="24"/>
          <w:szCs w:val="24"/>
          <w:lang w:val="en-US" w:eastAsia="zh-CN" w:bidi="ar"/>
        </w:rPr>
        <w:t>项目不涉及自然保护区、风景名胜区、饮用水水源保护区等敏感区</w:t>
      </w:r>
      <w:r>
        <w:rPr>
          <w:rFonts w:hint="eastAsia" w:ascii="宋体" w:hAnsi="宋体" w:eastAsia="宋体" w:cs="宋体"/>
          <w:color w:val="auto"/>
          <w:spacing w:val="-6"/>
          <w:sz w:val="24"/>
          <w:szCs w:val="24"/>
          <w:lang w:eastAsia="zh-CN"/>
        </w:rPr>
        <w:t>，</w:t>
      </w:r>
      <w:r>
        <w:rPr>
          <w:rFonts w:hint="eastAsia" w:ascii="宋体" w:hAnsi="宋体" w:eastAsia="宋体" w:cs="宋体"/>
          <w:color w:val="auto"/>
          <w:spacing w:val="-6"/>
          <w:sz w:val="24"/>
          <w:szCs w:val="24"/>
        </w:rPr>
        <w:t>不在生态红线范围内。</w:t>
      </w:r>
    </w:p>
    <w:p w14:paraId="46901F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本项目位于遂宁市大英县文旅产业园内，根据《遂宁市人民政府</w:t>
      </w:r>
      <w:r>
        <w:rPr>
          <w:rFonts w:hint="default" w:ascii="Times New Roman" w:hAnsi="Times New Roman" w:eastAsia="宋体" w:cs="Times New Roman"/>
          <w:color w:val="auto"/>
          <w:spacing w:val="-6"/>
          <w:sz w:val="24"/>
          <w:szCs w:val="24"/>
          <w:lang w:val="en-US" w:eastAsia="zh-CN"/>
        </w:rPr>
        <w:t>关于落实生态保护红线、环境质量底线、资源利用上线制定生态环境准入清单实施生态环境分区管控的通知</w:t>
      </w:r>
      <w:r>
        <w:rPr>
          <w:rFonts w:hint="default" w:ascii="Times New Roman" w:hAnsi="Times New Roman" w:eastAsia="宋体" w:cs="Times New Roman"/>
          <w:color w:val="auto"/>
          <w:sz w:val="24"/>
          <w:szCs w:val="24"/>
          <w:lang w:val="en-US" w:eastAsia="zh-CN"/>
        </w:rPr>
        <w:t>》（遂府函[2021]74号），项目所在地为城镇重点管控单元。</w:t>
      </w:r>
      <w:r>
        <w:rPr>
          <w:rFonts w:hint="default" w:ascii="Times New Roman" w:hAnsi="Times New Roman" w:eastAsia="宋体" w:cs="Times New Roman"/>
          <w:color w:val="auto"/>
          <w:spacing w:val="-6"/>
          <w:sz w:val="24"/>
          <w:szCs w:val="24"/>
          <w:lang w:eastAsia="zh-CN"/>
        </w:rPr>
        <w:t>本项目建设与文件提出的区县总体生态环境管控要求符合性分析见下表：</w:t>
      </w:r>
      <w:bookmarkEnd w:id="202"/>
      <w:bookmarkEnd w:id="203"/>
      <w:bookmarkEnd w:id="204"/>
    </w:p>
    <w:p w14:paraId="62C30C46">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p>
    <w:p w14:paraId="390CC9A4">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表1.4-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与遂府函[2021]74号</w:t>
      </w:r>
      <w:r>
        <w:rPr>
          <w:rFonts w:hint="default" w:ascii="Times New Roman" w:hAnsi="Times New Roman" w:eastAsia="宋体" w:cs="Times New Roman"/>
          <w:b/>
          <w:bCs/>
          <w:color w:val="auto"/>
          <w:sz w:val="21"/>
          <w:szCs w:val="21"/>
          <w:highlight w:val="none"/>
          <w:lang w:eastAsia="zh-CN"/>
        </w:rPr>
        <w:t>文件符合性分析</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429"/>
        <w:gridCol w:w="3288"/>
        <w:gridCol w:w="971"/>
      </w:tblGrid>
      <w:tr w14:paraId="1E5993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000000" w:sz="8" w:space="0"/>
              <w:bottom w:val="single" w:color="000000" w:sz="8" w:space="0"/>
              <w:right w:val="single" w:color="000000" w:sz="8" w:space="0"/>
            </w:tcBorders>
            <w:shd w:val="clear" w:color="auto" w:fill="D7D7D7" w:themeFill="background1" w:themeFillShade="D8"/>
            <w:vAlign w:val="center"/>
          </w:tcPr>
          <w:p w14:paraId="156C07D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b/>
                <w:bCs/>
                <w:color w:val="000000"/>
                <w:spacing w:val="-6"/>
                <w:sz w:val="21"/>
                <w:szCs w:val="21"/>
                <w:lang w:val="en-US" w:eastAsia="zh-CN"/>
              </w:rPr>
            </w:pPr>
            <w:bookmarkStart w:id="205" w:name="_Toc19496"/>
            <w:bookmarkStart w:id="206" w:name="_Toc20336"/>
            <w:bookmarkStart w:id="207" w:name="_Toc22560"/>
            <w:r>
              <w:rPr>
                <w:rFonts w:hint="default" w:ascii="Times New Roman" w:hAnsi="Times New Roman" w:eastAsia="宋体" w:cs="Times New Roman"/>
                <w:b/>
                <w:bCs/>
                <w:color w:val="000000"/>
                <w:spacing w:val="-6"/>
                <w:sz w:val="21"/>
                <w:szCs w:val="21"/>
                <w:lang w:val="en-US" w:eastAsia="zh-CN"/>
              </w:rPr>
              <w:t>区域</w:t>
            </w:r>
            <w:bookmarkEnd w:id="205"/>
            <w:bookmarkEnd w:id="206"/>
            <w:bookmarkEnd w:id="207"/>
          </w:p>
        </w:tc>
        <w:tc>
          <w:tcPr>
            <w:tcW w:w="3432"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14:paraId="26F2D9A8">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b/>
                <w:bCs/>
                <w:color w:val="000000"/>
                <w:spacing w:val="-6"/>
                <w:sz w:val="21"/>
                <w:szCs w:val="21"/>
                <w:lang w:val="en-US" w:eastAsia="zh-CN"/>
              </w:rPr>
            </w:pPr>
            <w:bookmarkStart w:id="208" w:name="_Toc28046"/>
            <w:bookmarkStart w:id="209" w:name="_Toc13148"/>
            <w:bookmarkStart w:id="210" w:name="_Toc13890"/>
            <w:r>
              <w:rPr>
                <w:rFonts w:hint="default" w:ascii="Times New Roman" w:hAnsi="Times New Roman" w:eastAsia="宋体" w:cs="Times New Roman"/>
                <w:b/>
                <w:bCs/>
                <w:color w:val="000000"/>
                <w:sz w:val="21"/>
                <w:szCs w:val="21"/>
                <w:highlight w:val="none"/>
                <w:lang w:val="en-US" w:eastAsia="zh-CN"/>
              </w:rPr>
              <w:t>遂</w:t>
            </w:r>
            <w:r>
              <w:rPr>
                <w:rFonts w:hint="default" w:ascii="Times New Roman" w:hAnsi="Times New Roman" w:eastAsia="宋体" w:cs="Times New Roman"/>
                <w:b/>
                <w:bCs/>
                <w:color w:val="000000"/>
                <w:spacing w:val="-6"/>
                <w:sz w:val="21"/>
                <w:szCs w:val="21"/>
                <w:lang w:val="en-US" w:eastAsia="zh-CN"/>
              </w:rPr>
              <w:t>府发[2021]7号</w:t>
            </w:r>
            <w:bookmarkEnd w:id="208"/>
            <w:bookmarkEnd w:id="209"/>
            <w:bookmarkEnd w:id="210"/>
          </w:p>
        </w:tc>
        <w:tc>
          <w:tcPr>
            <w:tcW w:w="3291"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14:paraId="428F0597">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b/>
                <w:bCs/>
                <w:color w:val="000000"/>
                <w:spacing w:val="-6"/>
                <w:sz w:val="21"/>
                <w:szCs w:val="21"/>
                <w:lang w:val="en-US" w:eastAsia="zh-CN"/>
              </w:rPr>
            </w:pPr>
            <w:bookmarkStart w:id="211" w:name="_Toc30452"/>
            <w:bookmarkStart w:id="212" w:name="_Toc25451"/>
            <w:bookmarkStart w:id="213" w:name="_Toc27652"/>
            <w:r>
              <w:rPr>
                <w:rFonts w:hint="default" w:ascii="Times New Roman" w:hAnsi="Times New Roman" w:eastAsia="宋体" w:cs="Times New Roman"/>
                <w:b/>
                <w:bCs/>
                <w:color w:val="000000"/>
                <w:spacing w:val="-6"/>
                <w:sz w:val="21"/>
                <w:szCs w:val="21"/>
                <w:lang w:val="en-US" w:eastAsia="zh-CN"/>
              </w:rPr>
              <w:t>本项目</w:t>
            </w:r>
            <w:bookmarkEnd w:id="211"/>
            <w:bookmarkEnd w:id="212"/>
            <w:bookmarkEnd w:id="213"/>
          </w:p>
        </w:tc>
        <w:tc>
          <w:tcPr>
            <w:tcW w:w="971" w:type="dxa"/>
            <w:tcBorders>
              <w:top w:val="single" w:color="000000" w:sz="8" w:space="0"/>
              <w:left w:val="single" w:color="000000" w:sz="8" w:space="0"/>
              <w:bottom w:val="single" w:color="000000" w:sz="8" w:space="0"/>
            </w:tcBorders>
            <w:shd w:val="clear" w:color="auto" w:fill="D7D7D7" w:themeFill="background1" w:themeFillShade="D8"/>
            <w:vAlign w:val="center"/>
          </w:tcPr>
          <w:p w14:paraId="3B2235C4">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b/>
                <w:bCs/>
                <w:color w:val="000000"/>
                <w:spacing w:val="-6"/>
                <w:sz w:val="21"/>
                <w:szCs w:val="21"/>
                <w:lang w:val="en-US" w:eastAsia="zh-CN"/>
              </w:rPr>
            </w:pPr>
            <w:bookmarkStart w:id="214" w:name="_Toc29033"/>
            <w:bookmarkStart w:id="215" w:name="_Toc30351"/>
            <w:bookmarkStart w:id="216" w:name="_Toc11108"/>
            <w:r>
              <w:rPr>
                <w:rFonts w:hint="default" w:ascii="Times New Roman" w:hAnsi="Times New Roman" w:eastAsia="宋体" w:cs="Times New Roman"/>
                <w:b/>
                <w:bCs/>
                <w:color w:val="000000"/>
                <w:spacing w:val="-6"/>
                <w:sz w:val="21"/>
                <w:szCs w:val="21"/>
                <w:lang w:val="en-US" w:eastAsia="zh-CN"/>
              </w:rPr>
              <w:t>符合性</w:t>
            </w:r>
            <w:bookmarkEnd w:id="214"/>
            <w:bookmarkEnd w:id="215"/>
            <w:bookmarkEnd w:id="216"/>
          </w:p>
        </w:tc>
      </w:tr>
      <w:tr w14:paraId="25C45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8" w:type="dxa"/>
            <w:vMerge w:val="restart"/>
            <w:tcBorders>
              <w:top w:val="single" w:color="000000" w:sz="8" w:space="0"/>
              <w:bottom w:val="single" w:color="000000" w:sz="8" w:space="0"/>
              <w:right w:val="single" w:color="000000" w:sz="8" w:space="0"/>
            </w:tcBorders>
            <w:shd w:val="clear" w:color="auto" w:fill="FFFFFF"/>
            <w:vAlign w:val="center"/>
          </w:tcPr>
          <w:p w14:paraId="02BD3AC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17" w:name="_Toc13982"/>
            <w:bookmarkStart w:id="218" w:name="_Toc11631"/>
            <w:bookmarkStart w:id="219" w:name="_Toc672"/>
            <w:r>
              <w:rPr>
                <w:rFonts w:hint="default" w:ascii="Times New Roman" w:hAnsi="Times New Roman" w:eastAsia="宋体" w:cs="Times New Roman"/>
                <w:color w:val="000000"/>
                <w:spacing w:val="-6"/>
                <w:sz w:val="21"/>
                <w:szCs w:val="21"/>
                <w:lang w:val="en-US" w:eastAsia="zh-CN"/>
              </w:rPr>
              <w:t>大英县</w:t>
            </w:r>
            <w:bookmarkEnd w:id="217"/>
            <w:bookmarkEnd w:id="218"/>
            <w:bookmarkEnd w:id="219"/>
          </w:p>
        </w:tc>
        <w:tc>
          <w:tcPr>
            <w:tcW w:w="343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8E3602">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20" w:name="_Toc28162"/>
            <w:bookmarkStart w:id="221" w:name="_Toc21883"/>
            <w:bookmarkStart w:id="222" w:name="_Toc7252"/>
            <w:r>
              <w:rPr>
                <w:rFonts w:hint="default" w:ascii="Times New Roman" w:hAnsi="Times New Roman" w:eastAsia="宋体" w:cs="Times New Roman"/>
                <w:color w:val="000000"/>
                <w:spacing w:val="-6"/>
                <w:sz w:val="21"/>
                <w:szCs w:val="21"/>
                <w:lang w:val="en-US" w:eastAsia="zh-CN"/>
              </w:rPr>
              <w:t>（1）加强郪江流域污染治理、农业面源污染治理，严格控制化肥农药使用量，科学划定禁养区，积极推广畜禽清洁养殖和畜禽粪污无害化、资源化处理技术；</w:t>
            </w:r>
            <w:bookmarkEnd w:id="220"/>
            <w:bookmarkEnd w:id="221"/>
            <w:bookmarkEnd w:id="222"/>
          </w:p>
        </w:tc>
        <w:tc>
          <w:tcPr>
            <w:tcW w:w="329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AA0F058">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23" w:name="_Toc18114"/>
            <w:bookmarkStart w:id="224" w:name="_Toc1166"/>
            <w:bookmarkStart w:id="225" w:name="_Toc10851"/>
            <w:r>
              <w:rPr>
                <w:rFonts w:hint="default" w:ascii="Times New Roman" w:hAnsi="Times New Roman" w:eastAsia="宋体" w:cs="Times New Roman"/>
                <w:color w:val="000000"/>
                <w:kern w:val="0"/>
                <w:sz w:val="21"/>
                <w:szCs w:val="21"/>
                <w:highlight w:val="none"/>
                <w:vertAlign w:val="baseline"/>
                <w:lang w:val="en-US" w:eastAsia="zh-CN"/>
              </w:rPr>
              <w:t>本项目废水经污水处理设施处理后排入大英县城市生活污水处理厂处理达标后排入郪江，不会对郪江流域造成较大影响。</w:t>
            </w:r>
            <w:bookmarkEnd w:id="223"/>
            <w:bookmarkEnd w:id="224"/>
            <w:bookmarkEnd w:id="225"/>
          </w:p>
        </w:tc>
        <w:tc>
          <w:tcPr>
            <w:tcW w:w="971" w:type="dxa"/>
            <w:tcBorders>
              <w:top w:val="single" w:color="000000" w:sz="8" w:space="0"/>
              <w:left w:val="single" w:color="000000" w:sz="8" w:space="0"/>
              <w:bottom w:val="single" w:color="000000" w:sz="8" w:space="0"/>
            </w:tcBorders>
            <w:shd w:val="clear" w:color="auto" w:fill="FFFFFF"/>
            <w:vAlign w:val="center"/>
          </w:tcPr>
          <w:p w14:paraId="739F5667">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26" w:name="_Toc25892"/>
            <w:bookmarkStart w:id="227" w:name="_Toc6874"/>
            <w:bookmarkStart w:id="228" w:name="_Toc24686"/>
            <w:r>
              <w:rPr>
                <w:rFonts w:hint="default" w:ascii="Times New Roman" w:hAnsi="Times New Roman" w:eastAsia="宋体" w:cs="Times New Roman"/>
                <w:color w:val="000000"/>
                <w:spacing w:val="-6"/>
                <w:sz w:val="21"/>
                <w:szCs w:val="21"/>
                <w:lang w:val="en-US" w:eastAsia="zh-CN"/>
              </w:rPr>
              <w:t>符合</w:t>
            </w:r>
            <w:bookmarkEnd w:id="226"/>
            <w:bookmarkEnd w:id="227"/>
            <w:bookmarkEnd w:id="228"/>
          </w:p>
        </w:tc>
      </w:tr>
      <w:tr w14:paraId="0795C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8" w:type="dxa"/>
            <w:vMerge w:val="continue"/>
            <w:tcBorders>
              <w:top w:val="single" w:color="000000" w:sz="8" w:space="0"/>
              <w:bottom w:val="single" w:color="000000" w:sz="8" w:space="0"/>
              <w:right w:val="single" w:color="000000" w:sz="8" w:space="0"/>
            </w:tcBorders>
            <w:shd w:val="clear" w:color="auto" w:fill="FFFFFF"/>
            <w:vAlign w:val="center"/>
          </w:tcPr>
          <w:p w14:paraId="617C82B6">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000000"/>
                <w:spacing w:val="-6"/>
                <w:sz w:val="21"/>
                <w:szCs w:val="21"/>
                <w:lang w:val="en-US" w:eastAsia="zh-CN"/>
              </w:rPr>
            </w:pPr>
          </w:p>
        </w:tc>
        <w:tc>
          <w:tcPr>
            <w:tcW w:w="343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1D71D8">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29" w:name="_Toc25285"/>
            <w:bookmarkStart w:id="230" w:name="_Toc11573"/>
            <w:bookmarkStart w:id="231" w:name="_Toc14905"/>
            <w:r>
              <w:rPr>
                <w:rFonts w:hint="default" w:ascii="Times New Roman" w:hAnsi="Times New Roman" w:eastAsia="宋体" w:cs="Times New Roman"/>
                <w:color w:val="000000"/>
                <w:spacing w:val="-6"/>
                <w:sz w:val="21"/>
                <w:szCs w:val="21"/>
                <w:lang w:val="en-US" w:eastAsia="zh-CN"/>
              </w:rPr>
              <w:t>（2）现有涉及五类重金属排放的企业，严控污染物排放；</w:t>
            </w:r>
            <w:bookmarkEnd w:id="229"/>
            <w:bookmarkEnd w:id="230"/>
            <w:bookmarkEnd w:id="231"/>
          </w:p>
        </w:tc>
        <w:tc>
          <w:tcPr>
            <w:tcW w:w="329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69E2CCA">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32" w:name="_Toc3802"/>
            <w:bookmarkStart w:id="233" w:name="_Toc2604"/>
            <w:bookmarkStart w:id="234" w:name="_Toc10459"/>
            <w:r>
              <w:rPr>
                <w:rFonts w:hint="default" w:ascii="Times New Roman" w:hAnsi="Times New Roman" w:eastAsia="宋体" w:cs="Times New Roman"/>
                <w:color w:val="000000"/>
                <w:spacing w:val="-6"/>
                <w:sz w:val="21"/>
                <w:szCs w:val="21"/>
                <w:lang w:val="en-US" w:eastAsia="zh-CN"/>
              </w:rPr>
              <w:t>本项目为新建项目，属于医疗行业，不涉及重金属排放。</w:t>
            </w:r>
            <w:bookmarkEnd w:id="232"/>
            <w:bookmarkEnd w:id="233"/>
            <w:bookmarkEnd w:id="234"/>
          </w:p>
        </w:tc>
        <w:tc>
          <w:tcPr>
            <w:tcW w:w="971" w:type="dxa"/>
            <w:tcBorders>
              <w:top w:val="single" w:color="000000" w:sz="8" w:space="0"/>
              <w:left w:val="single" w:color="000000" w:sz="8" w:space="0"/>
              <w:bottom w:val="single" w:color="000000" w:sz="8" w:space="0"/>
            </w:tcBorders>
            <w:shd w:val="clear" w:color="auto" w:fill="FFFFFF"/>
            <w:vAlign w:val="center"/>
          </w:tcPr>
          <w:p w14:paraId="4B5B6B53">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35" w:name="_Toc30021"/>
            <w:bookmarkStart w:id="236" w:name="_Toc10154"/>
            <w:bookmarkStart w:id="237" w:name="_Toc18026"/>
            <w:r>
              <w:rPr>
                <w:rFonts w:hint="default" w:ascii="Times New Roman" w:hAnsi="Times New Roman" w:eastAsia="宋体" w:cs="Times New Roman"/>
                <w:color w:val="000000"/>
                <w:spacing w:val="-6"/>
                <w:sz w:val="21"/>
                <w:szCs w:val="21"/>
                <w:lang w:val="en-US" w:eastAsia="zh-CN"/>
              </w:rPr>
              <w:t>符合</w:t>
            </w:r>
            <w:bookmarkEnd w:id="235"/>
            <w:bookmarkEnd w:id="236"/>
            <w:bookmarkEnd w:id="237"/>
          </w:p>
        </w:tc>
      </w:tr>
      <w:tr w14:paraId="770C36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8" w:type="dxa"/>
            <w:vMerge w:val="continue"/>
            <w:tcBorders>
              <w:top w:val="single" w:color="000000" w:sz="8" w:space="0"/>
              <w:bottom w:val="single" w:color="000000" w:sz="8" w:space="0"/>
              <w:right w:val="single" w:color="000000" w:sz="8" w:space="0"/>
            </w:tcBorders>
            <w:shd w:val="clear" w:color="auto" w:fill="FFFFFF"/>
            <w:vAlign w:val="center"/>
          </w:tcPr>
          <w:p w14:paraId="2BA2AC50">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9"/>
              <w:rPr>
                <w:rFonts w:hint="default" w:ascii="Times New Roman" w:hAnsi="Times New Roman" w:eastAsia="宋体" w:cs="Times New Roman"/>
                <w:color w:val="000000"/>
                <w:spacing w:val="-6"/>
                <w:sz w:val="21"/>
                <w:szCs w:val="21"/>
                <w:lang w:val="en-US" w:eastAsia="zh-CN"/>
              </w:rPr>
            </w:pPr>
          </w:p>
        </w:tc>
        <w:tc>
          <w:tcPr>
            <w:tcW w:w="343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5C6ED57">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38" w:name="_Toc2427"/>
            <w:bookmarkStart w:id="239" w:name="_Toc22766"/>
            <w:bookmarkStart w:id="240" w:name="_Toc19537"/>
            <w:r>
              <w:rPr>
                <w:rFonts w:hint="default" w:ascii="Times New Roman" w:hAnsi="Times New Roman" w:eastAsia="宋体" w:cs="Times New Roman"/>
                <w:color w:val="000000"/>
                <w:spacing w:val="-6"/>
                <w:sz w:val="21"/>
                <w:szCs w:val="21"/>
                <w:lang w:val="en-US" w:eastAsia="zh-CN"/>
              </w:rPr>
              <w:t>（3）加强污染地块环境风险防控管理。</w:t>
            </w:r>
            <w:bookmarkEnd w:id="238"/>
            <w:bookmarkEnd w:id="239"/>
            <w:bookmarkEnd w:id="240"/>
          </w:p>
        </w:tc>
        <w:tc>
          <w:tcPr>
            <w:tcW w:w="329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C1500C">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41" w:name="_Toc14214"/>
            <w:bookmarkStart w:id="242" w:name="_Toc8199"/>
            <w:bookmarkStart w:id="243" w:name="_Toc18877"/>
            <w:r>
              <w:rPr>
                <w:rFonts w:hint="default" w:ascii="Times New Roman" w:hAnsi="Times New Roman" w:eastAsia="宋体" w:cs="Times New Roman"/>
                <w:color w:val="000000"/>
                <w:kern w:val="0"/>
                <w:sz w:val="21"/>
                <w:szCs w:val="21"/>
                <w:highlight w:val="none"/>
                <w:vertAlign w:val="baseline"/>
                <w:lang w:val="en-US" w:eastAsia="zh-CN"/>
              </w:rPr>
              <w:t>本项目属于新建项目，用地属于医疗卫生用地，不属于污染地块。</w:t>
            </w:r>
            <w:bookmarkEnd w:id="241"/>
            <w:bookmarkEnd w:id="242"/>
            <w:bookmarkEnd w:id="243"/>
          </w:p>
        </w:tc>
        <w:tc>
          <w:tcPr>
            <w:tcW w:w="971" w:type="dxa"/>
            <w:tcBorders>
              <w:top w:val="single" w:color="000000" w:sz="8" w:space="0"/>
              <w:left w:val="single" w:color="000000" w:sz="8" w:space="0"/>
              <w:bottom w:val="single" w:color="000000" w:sz="8" w:space="0"/>
            </w:tcBorders>
            <w:shd w:val="clear" w:color="auto" w:fill="FFFFFF"/>
            <w:vAlign w:val="center"/>
          </w:tcPr>
          <w:p w14:paraId="561EC318">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outlineLvl w:val="1"/>
              <w:rPr>
                <w:rFonts w:hint="default" w:ascii="Times New Roman" w:hAnsi="Times New Roman" w:eastAsia="宋体" w:cs="Times New Roman"/>
                <w:color w:val="000000"/>
                <w:spacing w:val="-6"/>
                <w:sz w:val="21"/>
                <w:szCs w:val="21"/>
                <w:lang w:val="en-US" w:eastAsia="zh-CN"/>
              </w:rPr>
            </w:pPr>
            <w:bookmarkStart w:id="244" w:name="_Toc111"/>
            <w:bookmarkStart w:id="245" w:name="_Toc10190"/>
            <w:bookmarkStart w:id="246" w:name="_Toc14102"/>
            <w:r>
              <w:rPr>
                <w:rFonts w:hint="default" w:ascii="Times New Roman" w:hAnsi="Times New Roman" w:eastAsia="宋体" w:cs="Times New Roman"/>
                <w:color w:val="000000"/>
                <w:spacing w:val="-6"/>
                <w:sz w:val="21"/>
                <w:szCs w:val="21"/>
                <w:lang w:val="en-US" w:eastAsia="zh-CN"/>
              </w:rPr>
              <w:t>符合</w:t>
            </w:r>
            <w:bookmarkEnd w:id="244"/>
            <w:bookmarkEnd w:id="245"/>
            <w:bookmarkEnd w:id="246"/>
          </w:p>
        </w:tc>
      </w:tr>
    </w:tbl>
    <w:p w14:paraId="14569ECF">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drawing>
          <wp:inline distT="0" distB="0" distL="114300" distR="114300">
            <wp:extent cx="5191125" cy="3691255"/>
            <wp:effectExtent l="0" t="0" r="952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191125" cy="3691255"/>
                    </a:xfrm>
                    <a:prstGeom prst="rect">
                      <a:avLst/>
                    </a:prstGeom>
                    <a:noFill/>
                    <a:ln>
                      <a:noFill/>
                    </a:ln>
                  </pic:spPr>
                </pic:pic>
              </a:graphicData>
            </a:graphic>
          </wp:inline>
        </w:drawing>
      </w:r>
    </w:p>
    <w:p w14:paraId="4CD669D1">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图1.4-1 与遂宁市环境管控单元位置关系图</w:t>
      </w:r>
    </w:p>
    <w:p w14:paraId="419EAE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247" w:name="_Toc20173"/>
      <w:bookmarkStart w:id="248" w:name="_Toc31338"/>
      <w:bookmarkStart w:id="249" w:name="_Toc8041"/>
      <w:r>
        <w:rPr>
          <w:rFonts w:hint="default" w:ascii="Times New Roman" w:hAnsi="Times New Roman" w:eastAsia="宋体" w:cs="Times New Roman"/>
          <w:color w:val="auto"/>
          <w:sz w:val="24"/>
          <w:szCs w:val="24"/>
          <w:lang w:val="en-US" w:eastAsia="zh-CN"/>
        </w:rPr>
        <w:t>综上，本项目不属于重点行业，项目废气废水均能有效控制，</w:t>
      </w:r>
      <w:r>
        <w:rPr>
          <w:rFonts w:hint="default" w:ascii="Times New Roman" w:hAnsi="Times New Roman" w:eastAsia="宋体" w:cs="Times New Roman"/>
          <w:color w:val="auto"/>
          <w:spacing w:val="-6"/>
          <w:sz w:val="24"/>
          <w:szCs w:val="24"/>
          <w:lang w:eastAsia="zh-CN"/>
        </w:rPr>
        <w:t>建设单位落实到各环保要求的前提下，对周围环境影响较小，符合</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pacing w:val="-6"/>
          <w:sz w:val="24"/>
          <w:szCs w:val="24"/>
          <w:lang w:val="en-US" w:eastAsia="zh-CN"/>
        </w:rPr>
        <w:t>关于落实生态保护红线、环境质量底线、资源利用上线制定生态环境准入清单实施生态环境分区管控的通知</w:t>
      </w:r>
      <w:r>
        <w:rPr>
          <w:rFonts w:hint="default" w:ascii="Times New Roman" w:hAnsi="Times New Roman" w:eastAsia="宋体" w:cs="Times New Roman"/>
          <w:color w:val="auto"/>
          <w:sz w:val="24"/>
          <w:szCs w:val="24"/>
          <w:lang w:val="en-US" w:eastAsia="zh-CN"/>
        </w:rPr>
        <w:t>》（遂府函[2021]74号）提出的管控要求。</w:t>
      </w:r>
      <w:bookmarkEnd w:id="247"/>
      <w:bookmarkEnd w:id="248"/>
      <w:bookmarkEnd w:id="249"/>
    </w:p>
    <w:p w14:paraId="55CE7D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250" w:name="_Toc17910"/>
      <w:bookmarkStart w:id="251" w:name="_Toc23453"/>
      <w:bookmarkStart w:id="252" w:name="_Toc30773"/>
      <w:bookmarkStart w:id="253" w:name="_Toc24718"/>
      <w:bookmarkStart w:id="254" w:name="_Toc3902"/>
      <w:r>
        <w:rPr>
          <w:rFonts w:hint="default" w:ascii="Times New Roman" w:hAnsi="Times New Roman" w:eastAsia="宋体" w:cs="Times New Roman"/>
          <w:color w:val="auto"/>
          <w:sz w:val="24"/>
          <w:szCs w:val="24"/>
          <w:lang w:val="en-US" w:eastAsia="zh-CN"/>
        </w:rPr>
        <w:t>（2）环境质量底线</w:t>
      </w:r>
      <w:bookmarkEnd w:id="250"/>
      <w:bookmarkEnd w:id="251"/>
      <w:bookmarkEnd w:id="252"/>
      <w:bookmarkEnd w:id="253"/>
      <w:bookmarkEnd w:id="254"/>
    </w:p>
    <w:p w14:paraId="1BB1F707">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根据遂宁市生态环境局公布的《2021年遂宁市环境质量公告》可知，项目所在区域环境空气质量符合《环境空气质量标准》（GB 3095-2012）及其修改清单二级标准，项目区域环境空气质量属于达标区域，大气环境质量较好。项目附近地表水为郪江，监测断面水质为Ⅲ类，满足《地表水环境质量标准》（GB3838-2002）III类水质要求，区域地表水质量较好。本次对项目地区域环境噪声和地下水环境质量进行检测，检测结果均能满足相应的环境质量标准要求。</w:t>
      </w:r>
    </w:p>
    <w:p w14:paraId="32736851">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lang w:val="en-US" w:eastAsia="zh-CN"/>
        </w:rPr>
        <w:t>项目建设期间及运营期废气均按照相关要进行处置后排放，本项目废水经与处理后排入大英县城市生活污水处理厂，院区内采取了分区防渗，对周围环境影响很小，符合环境质量底线要求。</w:t>
      </w:r>
    </w:p>
    <w:p w14:paraId="234EB496">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（3）资源利用上线</w:t>
      </w:r>
    </w:p>
    <w:p w14:paraId="70AC54BD">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项目不使用高污染能源，在运营过程中消耗一定量的水、电、天然气资源，消耗量相对于区域资源利用总量较小，符合资源利用上线要求。</w:t>
      </w:r>
    </w:p>
    <w:p w14:paraId="0F80EA55">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（4）环境准入负面清单</w:t>
      </w:r>
    </w:p>
    <w:p w14:paraId="4383B50C">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left"/>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属于《产业结构调整指导目录》（2019年本）（2021年修正）中鼓励类项目。根据《四川省长江经济带发展准入负面清单实施细则（试行）》（川长江办[2019]8号）、《长江经济带发展负面清单指南（试行，2022年版）》（长江办[2022]7号）、《四川省国家重点生态功能区产业准入负面清单第一批（试行）》和《四川省重点生态功能区产业准入负面清单第二批（试行）》的内容，项目不属于其中规定的负面清单范围。</w:t>
      </w:r>
    </w:p>
    <w:p w14:paraId="0536B5D0">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（5）与四川省“三线一单”数据分析系统及“三线一单”符合性分析</w:t>
      </w:r>
    </w:p>
    <w:p w14:paraId="32697EC8">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本次评价严格按照《项目环评“三线一单”符合性分析技术要点（试行）》（川环办函[2021]469号）进行“三线一单”符合性分析。</w:t>
      </w:r>
    </w:p>
    <w:p w14:paraId="4C31C184">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w:t>
      </w:r>
      <w:r>
        <w:rPr>
          <w:rFonts w:hint="default" w:ascii="Times New Roman" w:hAnsi="Times New Roman" w:eastAsia="宋体" w:cs="Times New Roman"/>
          <w:color w:val="auto"/>
          <w:sz w:val="24"/>
        </w:rPr>
        <w:t>四川省“三线一单”数据分析系系统（网址：</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"https://tftb.sczwfw.gov.cn:"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https://tftb.sczwfw.gov.cn:</w:t>
      </w:r>
      <w:r>
        <w:rPr>
          <w:rFonts w:hint="default" w:ascii="Times New Roman" w:hAnsi="Times New Roman" w:eastAsia="宋体" w:cs="Times New Roman"/>
          <w:color w:val="auto"/>
          <w:sz w:val="24"/>
        </w:rPr>
        <w:fldChar w:fldCharType="end"/>
      </w:r>
    </w:p>
    <w:p w14:paraId="6D0CB8F9">
      <w:pPr>
        <w:keepNext w:val="0"/>
        <w:keepLines w:val="0"/>
        <w:pageBreakBefore w:val="0"/>
        <w:widowControl/>
        <w:kinsoku/>
        <w:wordWrap/>
        <w:overflowPunct/>
        <w:topLinePunct w:val="0"/>
        <w:bidi w:val="0"/>
        <w:adjustRightInd/>
        <w:snapToGrid/>
        <w:spacing w:line="360" w:lineRule="auto"/>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8085/hos-server/pub/jmas/jmasbucket/jmopen_files/webapp/html5/sxydctfx/index.html?areaCode=510000000000），本项目“三线一单”符合性分析成果如下：</w:t>
      </w:r>
    </w:p>
    <w:p w14:paraId="3CE77DB1">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①</w:t>
      </w:r>
      <w:r>
        <w:rPr>
          <w:rFonts w:hint="default" w:ascii="Times New Roman" w:hAnsi="Times New Roman" w:eastAsia="宋体" w:cs="Times New Roman"/>
          <w:color w:val="auto"/>
          <w:sz w:val="24"/>
        </w:rPr>
        <w:t>概况</w:t>
      </w:r>
    </w:p>
    <w:p w14:paraId="702F2D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255" w:name="_Toc15309"/>
      <w:bookmarkStart w:id="256" w:name="_Toc23274"/>
      <w:bookmarkStart w:id="257" w:name="_Toc2728"/>
      <w:bookmarkStart w:id="258" w:name="_Toc8045"/>
      <w:bookmarkStart w:id="259" w:name="_Toc10660"/>
      <w:r>
        <w:rPr>
          <w:rFonts w:hint="default" w:ascii="Times New Roman" w:hAnsi="Times New Roman" w:eastAsia="宋体" w:cs="Times New Roman"/>
          <w:color w:val="auto"/>
          <w:sz w:val="24"/>
          <w:szCs w:val="24"/>
          <w:lang w:val="en-US" w:eastAsia="zh-CN"/>
        </w:rPr>
        <w:t>项目所在地涉及环境管控单元5个，</w:t>
      </w:r>
      <w:r>
        <w:rPr>
          <w:rFonts w:hint="default" w:ascii="Times New Roman" w:hAnsi="Times New Roman" w:eastAsia="宋体" w:cs="Times New Roman"/>
          <w:color w:val="auto"/>
          <w:sz w:val="24"/>
        </w:rPr>
        <w:t>涉及管控单元见下</w:t>
      </w:r>
      <w:r>
        <w:rPr>
          <w:rFonts w:hint="default" w:ascii="Times New Roman" w:hAnsi="Times New Roman" w:eastAsia="宋体" w:cs="Times New Roman"/>
          <w:color w:val="auto"/>
          <w:sz w:val="24"/>
          <w:lang w:val="en-US" w:eastAsia="zh-CN"/>
        </w:rPr>
        <w:t>表。</w:t>
      </w:r>
      <w:bookmarkEnd w:id="255"/>
      <w:bookmarkEnd w:id="256"/>
      <w:bookmarkEnd w:id="257"/>
      <w:bookmarkEnd w:id="258"/>
      <w:bookmarkEnd w:id="259"/>
    </w:p>
    <w:p w14:paraId="45954977">
      <w:pPr>
        <w:rPr>
          <w:rFonts w:hint="default" w:ascii="Times New Roman" w:hAnsi="Times New Roman" w:eastAsia="宋体" w:cs="Times New Roman"/>
          <w:b/>
          <w:bCs/>
          <w:color w:val="auto"/>
          <w:sz w:val="21"/>
          <w:szCs w:val="21"/>
          <w:highlight w:val="none"/>
          <w:lang w:val="en-US" w:eastAsia="zh-CN"/>
        </w:rPr>
      </w:pPr>
      <w:bookmarkStart w:id="260" w:name="_Toc2926"/>
      <w:bookmarkStart w:id="261" w:name="_Toc1506"/>
      <w:r>
        <w:rPr>
          <w:rFonts w:hint="default" w:ascii="Times New Roman" w:hAnsi="Times New Roman" w:eastAsia="宋体" w:cs="Times New Roman"/>
          <w:b/>
          <w:bCs/>
          <w:color w:val="auto"/>
          <w:sz w:val="21"/>
          <w:szCs w:val="21"/>
          <w:highlight w:val="none"/>
          <w:lang w:val="en-US" w:eastAsia="zh-CN"/>
        </w:rPr>
        <w:br w:type="page"/>
      </w:r>
    </w:p>
    <w:p w14:paraId="1C140849">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表1.4-</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本项目涉及管控单元一览表</w:t>
      </w:r>
      <w:bookmarkEnd w:id="260"/>
      <w:bookmarkEnd w:id="261"/>
    </w:p>
    <w:tbl>
      <w:tblPr>
        <w:tblStyle w:val="2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65"/>
        <w:gridCol w:w="1151"/>
        <w:gridCol w:w="858"/>
        <w:gridCol w:w="1488"/>
        <w:gridCol w:w="1604"/>
      </w:tblGrid>
      <w:tr w14:paraId="37FD57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shd w:val="clear" w:color="auto" w:fill="D7D7D7" w:themeFill="background1" w:themeFillShade="D8"/>
            <w:noWrap w:val="0"/>
            <w:vAlign w:val="center"/>
          </w:tcPr>
          <w:p w14:paraId="4246E8E0">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986" w:type="pct"/>
            <w:shd w:val="clear" w:color="auto" w:fill="D7D7D7" w:themeFill="background1" w:themeFillShade="D8"/>
            <w:noWrap w:val="0"/>
            <w:vAlign w:val="center"/>
          </w:tcPr>
          <w:p w14:paraId="2060F0C7">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743" w:type="pct"/>
            <w:shd w:val="clear" w:color="auto" w:fill="D7D7D7" w:themeFill="background1" w:themeFillShade="D8"/>
            <w:noWrap w:val="0"/>
            <w:vAlign w:val="center"/>
          </w:tcPr>
          <w:p w14:paraId="614D07C7">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1" w:type="pct"/>
            <w:shd w:val="clear" w:color="auto" w:fill="D7D7D7" w:themeFill="background1" w:themeFillShade="D8"/>
            <w:noWrap w:val="0"/>
            <w:vAlign w:val="center"/>
          </w:tcPr>
          <w:p w14:paraId="6B4BF465">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所属区县</w:t>
            </w:r>
          </w:p>
        </w:tc>
        <w:tc>
          <w:tcPr>
            <w:tcW w:w="941" w:type="pct"/>
            <w:shd w:val="clear" w:color="auto" w:fill="D7D7D7" w:themeFill="background1" w:themeFillShade="D8"/>
            <w:noWrap w:val="0"/>
            <w:vAlign w:val="center"/>
          </w:tcPr>
          <w:p w14:paraId="788FD26B">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1009" w:type="pct"/>
            <w:shd w:val="clear" w:color="auto" w:fill="D7D7D7" w:themeFill="background1" w:themeFillShade="D8"/>
            <w:noWrap w:val="0"/>
            <w:vAlign w:val="center"/>
          </w:tcPr>
          <w:p w14:paraId="55D82C5E">
            <w:pPr>
              <w:widowControl/>
              <w:spacing w:line="240" w:lineRule="auto"/>
              <w:ind w:firstLine="0" w:firstLineChars="0"/>
              <w:jc w:val="center"/>
              <w:rPr>
                <w:rStyle w:val="22"/>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14:paraId="5E355B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184EA036">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ZH51092320001</w:t>
            </w:r>
          </w:p>
        </w:tc>
        <w:tc>
          <w:tcPr>
            <w:tcW w:w="986" w:type="pct"/>
            <w:noWrap w:val="0"/>
            <w:vAlign w:val="center"/>
          </w:tcPr>
          <w:p w14:paraId="5A8B1126">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743" w:type="pct"/>
            <w:noWrap w:val="0"/>
            <w:vAlign w:val="center"/>
          </w:tcPr>
          <w:p w14:paraId="42D1243E">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遂宁市</w:t>
            </w:r>
          </w:p>
        </w:tc>
        <w:tc>
          <w:tcPr>
            <w:tcW w:w="571" w:type="pct"/>
            <w:noWrap w:val="0"/>
            <w:vAlign w:val="center"/>
          </w:tcPr>
          <w:p w14:paraId="3A1969C2">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w:t>
            </w:r>
          </w:p>
        </w:tc>
        <w:tc>
          <w:tcPr>
            <w:tcW w:w="941" w:type="pct"/>
            <w:noWrap w:val="0"/>
            <w:vAlign w:val="center"/>
          </w:tcPr>
          <w:p w14:paraId="6A080D1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环境管控单元</w:t>
            </w:r>
          </w:p>
        </w:tc>
        <w:tc>
          <w:tcPr>
            <w:tcW w:w="1009" w:type="pct"/>
            <w:noWrap w:val="0"/>
            <w:vAlign w:val="center"/>
          </w:tcPr>
          <w:p w14:paraId="153A62B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环境综合管控单元城镇重点管控单元</w:t>
            </w:r>
          </w:p>
        </w:tc>
      </w:tr>
      <w:tr w14:paraId="59A93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087DD01C">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YS5109232220002</w:t>
            </w:r>
          </w:p>
        </w:tc>
        <w:tc>
          <w:tcPr>
            <w:tcW w:w="986" w:type="pct"/>
            <w:noWrap w:val="0"/>
            <w:vAlign w:val="center"/>
          </w:tcPr>
          <w:p w14:paraId="45395A64">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郪江大英县郪江口控制单元</w:t>
            </w:r>
          </w:p>
        </w:tc>
        <w:tc>
          <w:tcPr>
            <w:tcW w:w="743" w:type="pct"/>
            <w:noWrap w:val="0"/>
            <w:vAlign w:val="center"/>
          </w:tcPr>
          <w:p w14:paraId="17003BA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遂宁市</w:t>
            </w:r>
          </w:p>
        </w:tc>
        <w:tc>
          <w:tcPr>
            <w:tcW w:w="571" w:type="pct"/>
            <w:noWrap w:val="0"/>
            <w:vAlign w:val="center"/>
          </w:tcPr>
          <w:p w14:paraId="29C878DB">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w:t>
            </w:r>
          </w:p>
        </w:tc>
        <w:tc>
          <w:tcPr>
            <w:tcW w:w="941" w:type="pct"/>
            <w:noWrap w:val="0"/>
            <w:vAlign w:val="center"/>
          </w:tcPr>
          <w:p w14:paraId="08EFC7F9">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水环境管控分区</w:t>
            </w:r>
          </w:p>
        </w:tc>
        <w:tc>
          <w:tcPr>
            <w:tcW w:w="1009" w:type="pct"/>
            <w:noWrap w:val="0"/>
            <w:vAlign w:val="center"/>
          </w:tcPr>
          <w:p w14:paraId="125D56B1">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水环境城镇生活污染重点管控区</w:t>
            </w:r>
          </w:p>
        </w:tc>
      </w:tr>
      <w:tr w14:paraId="3CF82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0508AA87">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YS5109232340001</w:t>
            </w:r>
          </w:p>
        </w:tc>
        <w:tc>
          <w:tcPr>
            <w:tcW w:w="986" w:type="pct"/>
            <w:noWrap w:val="0"/>
            <w:vAlign w:val="center"/>
          </w:tcPr>
          <w:p w14:paraId="746CA6AC">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743" w:type="pct"/>
            <w:noWrap w:val="0"/>
            <w:vAlign w:val="center"/>
          </w:tcPr>
          <w:p w14:paraId="0A5A206E">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遂宁市</w:t>
            </w:r>
          </w:p>
        </w:tc>
        <w:tc>
          <w:tcPr>
            <w:tcW w:w="571" w:type="pct"/>
            <w:noWrap w:val="0"/>
            <w:vAlign w:val="center"/>
          </w:tcPr>
          <w:p w14:paraId="14F64F98">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w:t>
            </w:r>
          </w:p>
        </w:tc>
        <w:tc>
          <w:tcPr>
            <w:tcW w:w="941" w:type="pct"/>
            <w:noWrap w:val="0"/>
            <w:vAlign w:val="center"/>
          </w:tcPr>
          <w:p w14:paraId="394457AB">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大气环境管控分区</w:t>
            </w:r>
          </w:p>
        </w:tc>
        <w:tc>
          <w:tcPr>
            <w:tcW w:w="1009" w:type="pct"/>
            <w:noWrap w:val="0"/>
            <w:vAlign w:val="center"/>
          </w:tcPr>
          <w:p w14:paraId="6F560701">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大气环境受体敏感重点管控区</w:t>
            </w:r>
          </w:p>
        </w:tc>
      </w:tr>
      <w:tr w14:paraId="77BB6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7FF9561F">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YS5109232540005</w:t>
            </w:r>
          </w:p>
        </w:tc>
        <w:tc>
          <w:tcPr>
            <w:tcW w:w="986" w:type="pct"/>
            <w:noWrap w:val="0"/>
            <w:vAlign w:val="center"/>
          </w:tcPr>
          <w:p w14:paraId="116DB2C4">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大英县城市建成区</w:t>
            </w:r>
          </w:p>
        </w:tc>
        <w:tc>
          <w:tcPr>
            <w:tcW w:w="743" w:type="pct"/>
            <w:noWrap w:val="0"/>
            <w:vAlign w:val="center"/>
          </w:tcPr>
          <w:p w14:paraId="402EB13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遂宁市</w:t>
            </w:r>
          </w:p>
        </w:tc>
        <w:tc>
          <w:tcPr>
            <w:tcW w:w="571" w:type="pct"/>
            <w:noWrap w:val="0"/>
            <w:vAlign w:val="center"/>
          </w:tcPr>
          <w:p w14:paraId="1AE463B3">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w:t>
            </w:r>
          </w:p>
        </w:tc>
        <w:tc>
          <w:tcPr>
            <w:tcW w:w="941" w:type="pct"/>
            <w:noWrap w:val="0"/>
            <w:vAlign w:val="center"/>
          </w:tcPr>
          <w:p w14:paraId="60239456">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自然资源管控分区</w:t>
            </w:r>
          </w:p>
        </w:tc>
        <w:tc>
          <w:tcPr>
            <w:tcW w:w="1009" w:type="pct"/>
            <w:noWrap w:val="0"/>
            <w:vAlign w:val="center"/>
          </w:tcPr>
          <w:p w14:paraId="47BF0256">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高污染燃料禁燃区</w:t>
            </w:r>
          </w:p>
        </w:tc>
      </w:tr>
      <w:tr w14:paraId="61168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3B77B9AB">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YS5109232550001</w:t>
            </w:r>
          </w:p>
        </w:tc>
        <w:tc>
          <w:tcPr>
            <w:tcW w:w="986" w:type="pct"/>
            <w:noWrap w:val="0"/>
            <w:vAlign w:val="center"/>
          </w:tcPr>
          <w:p w14:paraId="175C118C">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大英县自然资源重点管控区</w:t>
            </w:r>
          </w:p>
        </w:tc>
        <w:tc>
          <w:tcPr>
            <w:tcW w:w="743" w:type="pct"/>
            <w:noWrap w:val="0"/>
            <w:vAlign w:val="center"/>
          </w:tcPr>
          <w:p w14:paraId="44CB8C9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遂宁市</w:t>
            </w:r>
          </w:p>
        </w:tc>
        <w:tc>
          <w:tcPr>
            <w:tcW w:w="571" w:type="pct"/>
            <w:noWrap w:val="0"/>
            <w:vAlign w:val="center"/>
          </w:tcPr>
          <w:p w14:paraId="7D02AFD6">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w:t>
            </w:r>
          </w:p>
        </w:tc>
        <w:tc>
          <w:tcPr>
            <w:tcW w:w="941" w:type="pct"/>
            <w:noWrap w:val="0"/>
            <w:vAlign w:val="center"/>
          </w:tcPr>
          <w:p w14:paraId="2EB7A368">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自然资源管控分区</w:t>
            </w:r>
          </w:p>
        </w:tc>
        <w:tc>
          <w:tcPr>
            <w:tcW w:w="1009" w:type="pct"/>
            <w:noWrap w:val="0"/>
            <w:vAlign w:val="center"/>
          </w:tcPr>
          <w:p w14:paraId="3E6D063D">
            <w:pPr>
              <w:pStyle w:val="32"/>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自然资源重点管控区</w:t>
            </w:r>
          </w:p>
        </w:tc>
      </w:tr>
    </w:tbl>
    <w:p w14:paraId="5B2906F6">
      <w:pPr>
        <w:keepNext w:val="0"/>
        <w:keepLines w:val="0"/>
        <w:pageBreakBefore w:val="0"/>
        <w:widowControl w:val="0"/>
        <w:kinsoku/>
        <w:wordWrap/>
        <w:overflowPunct/>
        <w:topLinePunct w:val="0"/>
        <w:bidi w:val="0"/>
        <w:adjustRightInd w:val="0"/>
        <w:spacing w:line="240" w:lineRule="auto"/>
        <w:jc w:val="center"/>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4572000" cy="3863975"/>
            <wp:effectExtent l="0" t="0" r="0" b="3175"/>
            <wp:docPr id="8" name="图片 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
                    <pic:cNvPicPr>
                      <a:picLocks noChangeAspect="1"/>
                    </pic:cNvPicPr>
                  </pic:nvPicPr>
                  <pic:blipFill>
                    <a:blip r:embed="rId10"/>
                    <a:stretch>
                      <a:fillRect/>
                    </a:stretch>
                  </pic:blipFill>
                  <pic:spPr>
                    <a:xfrm>
                      <a:off x="0" y="0"/>
                      <a:ext cx="4572000" cy="3863975"/>
                    </a:xfrm>
                    <a:prstGeom prst="rect">
                      <a:avLst/>
                    </a:prstGeom>
                  </pic:spPr>
                </pic:pic>
              </a:graphicData>
            </a:graphic>
          </wp:inline>
        </w:drawing>
      </w:r>
    </w:p>
    <w:p w14:paraId="20948F17">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图1.4-2  四川省“三线一单”数据分析系统图</w:t>
      </w:r>
    </w:p>
    <w:p w14:paraId="6FDA71A1">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②</w:t>
      </w:r>
      <w:r>
        <w:rPr>
          <w:rFonts w:hint="default" w:ascii="Times New Roman" w:hAnsi="Times New Roman" w:eastAsia="宋体" w:cs="Times New Roman"/>
          <w:color w:val="auto"/>
          <w:sz w:val="24"/>
        </w:rPr>
        <w:t>生态环境准入清单</w:t>
      </w:r>
    </w:p>
    <w:p w14:paraId="092BDB43">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sectPr>
          <w:headerReference r:id="rId6" w:type="default"/>
          <w:footerReference r:id="rId7"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9" w:charSpace="0"/>
        </w:sectPr>
      </w:pPr>
      <w:r>
        <w:rPr>
          <w:rFonts w:hint="default" w:ascii="Times New Roman" w:hAnsi="Times New Roman" w:eastAsia="宋体" w:cs="Times New Roman"/>
          <w:color w:val="auto"/>
          <w:sz w:val="24"/>
        </w:rPr>
        <w:t>本项目生态环境准入清单符合性分析见下表</w:t>
      </w:r>
      <w:r>
        <w:rPr>
          <w:rFonts w:hint="default" w:ascii="Times New Roman" w:hAnsi="Times New Roman" w:eastAsia="宋体" w:cs="Times New Roman"/>
          <w:color w:val="auto"/>
          <w:sz w:val="24"/>
          <w:lang w:eastAsia="zh-CN"/>
        </w:rPr>
        <w:t>。</w:t>
      </w:r>
    </w:p>
    <w:p w14:paraId="1248B3BB">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表1.4-</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生态环境准入清单符合性分析表</w:t>
      </w:r>
    </w:p>
    <w:tbl>
      <w:tblPr>
        <w:tblStyle w:val="3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419"/>
        <w:gridCol w:w="4585"/>
        <w:gridCol w:w="1500"/>
        <w:gridCol w:w="2675"/>
        <w:gridCol w:w="1879"/>
      </w:tblGrid>
      <w:tr w14:paraId="66A5BD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8" w:type="dxa"/>
            <w:shd w:val="clear" w:color="auto" w:fill="BEBEBE" w:themeFill="background1" w:themeFillShade="BF"/>
            <w:noWrap w:val="0"/>
            <w:vAlign w:val="center"/>
          </w:tcPr>
          <w:p w14:paraId="73C56F2E">
            <w:pPr>
              <w:widowControl/>
              <w:spacing w:line="240" w:lineRule="auto"/>
              <w:ind w:firstLine="0" w:firstLineChars="0"/>
              <w:jc w:val="center"/>
              <w:rPr>
                <w:rStyle w:val="22"/>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419" w:type="dxa"/>
            <w:shd w:val="clear" w:color="auto" w:fill="BEBEBE" w:themeFill="background1" w:themeFillShade="BF"/>
            <w:noWrap w:val="0"/>
            <w:vAlign w:val="center"/>
          </w:tcPr>
          <w:p w14:paraId="0A760348">
            <w:pPr>
              <w:widowControl/>
              <w:spacing w:line="240" w:lineRule="auto"/>
              <w:ind w:firstLine="0" w:firstLineChars="0"/>
              <w:jc w:val="center"/>
              <w:rPr>
                <w:rStyle w:val="22"/>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4585" w:type="dxa"/>
            <w:shd w:val="clear" w:color="auto" w:fill="BEBEBE" w:themeFill="background1" w:themeFillShade="BF"/>
            <w:noWrap w:val="0"/>
            <w:vAlign w:val="center"/>
          </w:tcPr>
          <w:p w14:paraId="3DCF096A">
            <w:pPr>
              <w:widowControl w:val="0"/>
              <w:spacing w:line="240" w:lineRule="auto"/>
              <w:ind w:firstLine="0" w:firstLineChars="0"/>
              <w:jc w:val="center"/>
              <w:rPr>
                <w:rStyle w:val="22"/>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遂宁市普适性清单</w:t>
            </w:r>
          </w:p>
        </w:tc>
        <w:tc>
          <w:tcPr>
            <w:tcW w:w="1500" w:type="dxa"/>
            <w:shd w:val="clear" w:color="auto" w:fill="BEBEBE" w:themeFill="background1" w:themeFillShade="BF"/>
            <w:noWrap w:val="0"/>
            <w:vAlign w:val="center"/>
          </w:tcPr>
          <w:p w14:paraId="1D32C50D">
            <w:pPr>
              <w:widowControl/>
              <w:spacing w:line="240" w:lineRule="auto"/>
              <w:ind w:firstLine="0" w:firstLineChars="0"/>
              <w:jc w:val="center"/>
              <w:rPr>
                <w:rStyle w:val="22"/>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管控类别</w:t>
            </w:r>
          </w:p>
        </w:tc>
        <w:tc>
          <w:tcPr>
            <w:tcW w:w="2675" w:type="dxa"/>
            <w:shd w:val="clear" w:color="auto" w:fill="BEBEBE" w:themeFill="background1" w:themeFillShade="BF"/>
            <w:noWrap w:val="0"/>
            <w:vAlign w:val="center"/>
          </w:tcPr>
          <w:p w14:paraId="28A4A0F2">
            <w:pPr>
              <w:widowControl/>
              <w:spacing w:line="240" w:lineRule="auto"/>
              <w:ind w:firstLine="0" w:firstLineChars="0"/>
              <w:jc w:val="center"/>
              <w:rPr>
                <w:rStyle w:val="22"/>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单元特性管控要求</w:t>
            </w:r>
          </w:p>
        </w:tc>
        <w:tc>
          <w:tcPr>
            <w:tcW w:w="1879" w:type="dxa"/>
            <w:shd w:val="clear" w:color="auto" w:fill="BEBEBE" w:themeFill="background1" w:themeFillShade="BF"/>
            <w:noWrap w:val="0"/>
            <w:vAlign w:val="center"/>
          </w:tcPr>
          <w:p w14:paraId="68D1331D">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r>
      <w:tr w14:paraId="46B17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3" w:hRule="atLeast"/>
        </w:trPr>
        <w:tc>
          <w:tcPr>
            <w:tcW w:w="1798" w:type="dxa"/>
            <w:vMerge w:val="restart"/>
            <w:noWrap w:val="0"/>
            <w:vAlign w:val="center"/>
          </w:tcPr>
          <w:p w14:paraId="55C3584F">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ZH51092320001</w:t>
            </w:r>
          </w:p>
        </w:tc>
        <w:tc>
          <w:tcPr>
            <w:tcW w:w="1419" w:type="dxa"/>
            <w:vMerge w:val="restart"/>
            <w:noWrap w:val="0"/>
            <w:vAlign w:val="center"/>
          </w:tcPr>
          <w:p w14:paraId="7A9A96E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restart"/>
            <w:noWrap w:val="0"/>
            <w:vAlign w:val="top"/>
          </w:tcPr>
          <w:p w14:paraId="2AD6FF6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36B81D0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76EB5E1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1.原则上禁止新建工业企业。</w:t>
            </w:r>
          </w:p>
          <w:p w14:paraId="1BC443A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止在长江干支流岸线一公里范围内新建、扩建化工园区和化工项目。禁止在长江干流岸线三公里范围内和重要支流岸线一公里范围内新建、改建、扩建尾矿库；但是以提升安全、生态环境保护水平为目的改建除外。</w:t>
            </w:r>
          </w:p>
          <w:p w14:paraId="7A2D1EA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3.严格执行相关行业企业布局选址要求，禁止在居民区、学校、医疗和养老机构等周边新建有色金属冶炼、焦化、化工、铅蓄电池制造等行业企业。有序搬迁或依法关闭对土壤造成严重污染的现有企业。</w:t>
            </w:r>
          </w:p>
          <w:p w14:paraId="7A0E4C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32F4365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1.现有工业企业不得新增污染物排放。</w:t>
            </w:r>
          </w:p>
          <w:p w14:paraId="70BFBA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2.严控新设工业园区，如确需新布局工业园区，应充分论证选址的环境合理性。</w:t>
            </w:r>
          </w:p>
          <w:p w14:paraId="7ABE241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3.严控在长江及主要支流岸线1公里范围内新建石油化工、煤化工、涉磷、造纸、印染、制革等项目。</w:t>
            </w:r>
          </w:p>
          <w:p w14:paraId="050B543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58F0AD1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1.现有工业企业适时进行有序退出。</w:t>
            </w:r>
          </w:p>
          <w:p w14:paraId="060708E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2.按照相关规划和要求，清理整顿非法采砂、非法码头，全面清除不合规码头。</w:t>
            </w:r>
          </w:p>
          <w:p w14:paraId="51528EF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1CBA15E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AB62D5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3EECE35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12B9BD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74B4CD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21AF524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1.到2023年，县级及以上城市设施能力基本满足生活污水处理需求。生活污水收集效能明显提升。</w:t>
            </w:r>
          </w:p>
          <w:p w14:paraId="150123E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2.到2025年，水环境敏感地区污水处理基本达到一级A排放标准。</w:t>
            </w:r>
          </w:p>
          <w:p w14:paraId="4414344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3.到2035年，城市生活污水收集管网基本全覆盖，城镇污 水处理能力全覆盖。</w:t>
            </w:r>
          </w:p>
          <w:p w14:paraId="3EDF7FF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4.机动车船实施国六排放标准，推广使用达到国六排放标准的燃气车辆。</w:t>
            </w:r>
          </w:p>
          <w:p w14:paraId="1AAD32E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6288418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0E87DE6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12）定期对油烟净化设施进行维护保养，并保存维护保养记录，确保油烟稳定达标排放，设施正常使用率不低于90%。</w:t>
            </w:r>
          </w:p>
          <w:p w14:paraId="4EF6080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4F56B1A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0A56B98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4268F41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77E6EE4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1.企业环境风险防控要求：现有涉及五类重金属排放的企业，严控污染物排放，限时整治或搬迁。</w:t>
            </w:r>
          </w:p>
          <w:p w14:paraId="610DCB2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2.用地环境风险防控要求：（1）工业企业退出用地，须经评估、修复满足相应用地功能后，方可改变用途。（2）列入建设用地土壤污染风险管控和修复名录的地块，不得作为住宅、公共管理与公共服务用地。</w:t>
            </w:r>
          </w:p>
          <w:p w14:paraId="4A10FE4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4CB57F3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649250C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到2025年，全国地级及以上缺水城市再生水利用率达到25%。</w:t>
            </w:r>
          </w:p>
          <w:p w14:paraId="6560743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372BA2E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全面建设节水型社会，达到合理高效用水。</w:t>
            </w:r>
          </w:p>
          <w:p w14:paraId="6B2F54B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410EE05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1.严控使用燃煤等高污染燃料，禁止焚烧垃圾。</w:t>
            </w:r>
          </w:p>
          <w:p w14:paraId="02300C9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2.全面淘汰每小时10蒸吨以下的燃煤锅炉；在供气管网覆盖不到的其他地区，改用电、新能源或洁净煤。</w:t>
            </w:r>
          </w:p>
          <w:p w14:paraId="023596B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691FDB5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505DD99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1.禁燃区内禁止燃烧以下高污染燃料：</w:t>
            </w:r>
          </w:p>
          <w:p w14:paraId="03A699C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02A2E65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（2）石油焦、油页岩、原油、重油、渣油、煤焦油。</w:t>
            </w:r>
          </w:p>
          <w:p w14:paraId="16B2607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（3）非专用锅炉或未配置高效除尘设施的专用锅炉燃用的生物质成型燃料。</w:t>
            </w:r>
          </w:p>
          <w:p w14:paraId="5CACDC7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2.禁燃区内禁止新建、扩建燃用高污染燃料的锅炉、炉窑、炉灶等燃烧设施（集中供热、电厂锅炉除外）。</w:t>
            </w:r>
          </w:p>
          <w:p w14:paraId="3F49E52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09F63A6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4BB5E5E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4A9A45C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37237544">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空间布局约束</w:t>
            </w:r>
          </w:p>
        </w:tc>
        <w:tc>
          <w:tcPr>
            <w:tcW w:w="2675" w:type="dxa"/>
            <w:noWrap w:val="0"/>
            <w:vAlign w:val="center"/>
          </w:tcPr>
          <w:p w14:paraId="66F0312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禁止开发建设活动的要求</w:t>
            </w:r>
          </w:p>
          <w:p w14:paraId="724FD26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5D0301E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限制开发建设活动的要求</w:t>
            </w:r>
          </w:p>
          <w:p w14:paraId="162C59B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1.工业用地布局在新城综合发展区的南部、“北城新区”功能片区的北部、东南部的工业组团2.其他参照遂宁市总体准入要求-城镇重点管控单元</w:t>
            </w:r>
          </w:p>
          <w:p w14:paraId="687DFBF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允许开发建设活动的要求</w:t>
            </w:r>
          </w:p>
          <w:p w14:paraId="6723522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不符合空间布局要求活动的退出要求</w:t>
            </w:r>
          </w:p>
          <w:p w14:paraId="722BE5C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位于城镇空间内的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2.其他参照遂宁市总体准入要求-城镇重点管控单元</w:t>
            </w:r>
          </w:p>
          <w:p w14:paraId="2950CAB4">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其他空间布局约束要求</w:t>
            </w:r>
          </w:p>
        </w:tc>
        <w:tc>
          <w:tcPr>
            <w:tcW w:w="1879" w:type="dxa"/>
            <w:noWrap w:val="0"/>
            <w:vAlign w:val="center"/>
          </w:tcPr>
          <w:p w14:paraId="61AEFB6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本项目属于综合医院建设，不属于工业生产项目，位于遂宁市大英县文旅产业园区，用地符合《大英县国土空间规划》（2019-2035年）中心城区土地利用规划医疗卫生用地。</w:t>
            </w:r>
          </w:p>
        </w:tc>
      </w:tr>
      <w:tr w14:paraId="76F5B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2" w:hRule="atLeast"/>
        </w:trPr>
        <w:tc>
          <w:tcPr>
            <w:tcW w:w="1798" w:type="dxa"/>
            <w:vMerge w:val="continue"/>
            <w:noWrap w:val="0"/>
            <w:vAlign w:val="center"/>
          </w:tcPr>
          <w:p w14:paraId="597ED26F">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ZH51092320001</w:t>
            </w:r>
          </w:p>
        </w:tc>
        <w:tc>
          <w:tcPr>
            <w:tcW w:w="1419" w:type="dxa"/>
            <w:vMerge w:val="continue"/>
            <w:noWrap w:val="0"/>
            <w:vAlign w:val="center"/>
          </w:tcPr>
          <w:p w14:paraId="5503F37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4827668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6D6D50B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2BA161A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1.原则上禁止新建工业企业。</w:t>
            </w:r>
          </w:p>
          <w:p w14:paraId="5349DBC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2.禁止在长江干支流岸线一公里范围内新建、扩建化工园区和化工项目。禁止在长江干流岸线三公里范围内和重要支流岸线一公里范围内新建、改建、扩建尾矿库；但是以提升安全、生态环境保护水平为目</w:t>
            </w:r>
            <w:bookmarkStart w:id="2946" w:name="_GoBack"/>
            <w:bookmarkEnd w:id="2946"/>
            <w:r>
              <w:rPr>
                <w:rStyle w:val="22"/>
                <w:rFonts w:hint="eastAsia" w:eastAsia="宋体" w:cs="Times New Roman"/>
                <w:color w:val="auto"/>
                <w:kern w:val="0"/>
                <w:sz w:val="21"/>
                <w:szCs w:val="21"/>
                <w:lang w:val="en-US" w:eastAsia="zh-CN" w:bidi="ar-SA"/>
              </w:rPr>
              <w:t>的</w:t>
            </w:r>
            <w:r>
              <w:rPr>
                <w:rStyle w:val="22"/>
                <w:rFonts w:hint="default" w:ascii="Times New Roman" w:hAnsi="Times New Roman" w:eastAsia="宋体" w:cs="Times New Roman"/>
                <w:color w:val="auto"/>
                <w:kern w:val="0"/>
                <w:sz w:val="21"/>
                <w:szCs w:val="21"/>
                <w:lang w:val="en-US" w:eastAsia="zh-CN" w:bidi="ar-SA"/>
              </w:rPr>
              <w:t>改建除外。</w:t>
            </w:r>
          </w:p>
          <w:p w14:paraId="7A7AFF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3.严格执行相关行业企业布局选址要求，禁止在居民区、学校、医疗和养老机构等周边新建有色金属冶炼、焦化、化工、铅蓄电池制造等行业企业。有序搬迁或依法关闭对土壤造成严重污染的现有企业。</w:t>
            </w:r>
          </w:p>
          <w:p w14:paraId="281D54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509337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1.现有工业企业不得新增污染物排放。</w:t>
            </w:r>
          </w:p>
          <w:p w14:paraId="5555C4E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2.严控新设工业园区，如确需新布局工业园区，应充分论证选址的环境合理性。</w:t>
            </w:r>
          </w:p>
          <w:p w14:paraId="7F15B75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3.严控在长江及主要支流岸线1公里范围内新建石油化工、煤化工、涉磷、造纸、印染、制革等项目。</w:t>
            </w:r>
          </w:p>
          <w:p w14:paraId="6B2A12F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3F04332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1.现有工业企业适时进行有序退出。</w:t>
            </w:r>
          </w:p>
          <w:p w14:paraId="3EED4D7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2.按照相关规划和要求，清理整顿非法采砂、非法码头，全面清除不合规码头。</w:t>
            </w:r>
          </w:p>
          <w:p w14:paraId="5E786FD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1F84D13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4B993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6BA1DF7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313CBDF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FCB135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483A20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1.到2023年，县级及以上城市设施能力基本满足生活污水处理需求。生活污水收集效能明显提升。</w:t>
            </w:r>
          </w:p>
          <w:p w14:paraId="4BD1A72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2.到2025年，水环境敏感地区污水处理基本达到一级A排放标准。</w:t>
            </w:r>
          </w:p>
          <w:p w14:paraId="5D21F9A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3.到2035年，城市生活污水收集管网基本全覆盖，城镇污 水处理能力全覆盖。</w:t>
            </w:r>
          </w:p>
          <w:p w14:paraId="4F4943B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4.机动车船实施国六排放标准，推广使用达到国六排放标准的燃气车辆。</w:t>
            </w:r>
          </w:p>
          <w:p w14:paraId="4496EBF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47CE325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33C229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12）定期对油烟净化设施进行维护保养，并保存维护保养记录，确保油烟稳定达标排放，设施正常使用率不低于90%。</w:t>
            </w:r>
          </w:p>
          <w:p w14:paraId="41AE9BA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0758E0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0D49A3F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08580D1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F66623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1.企业环境风险防控要求：现有涉及五类重金属排放的企业，严控污染物排放，限时整治或搬迁。</w:t>
            </w:r>
          </w:p>
          <w:p w14:paraId="39D0F34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2.用地环境风险防控要求：（1）工业企业退出用地，须经评估、修复满足相应用地功能后，方可改变用途。（2）列入建设用地土壤污染风险管控和修复名录的地块，不得作为住宅、公共管理与公共服务用地。</w:t>
            </w:r>
          </w:p>
          <w:p w14:paraId="204CA0E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5CF8AB0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08A589C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到2025年，全国地级及以上缺水城市再生水利用率达到25%。</w:t>
            </w:r>
          </w:p>
          <w:p w14:paraId="527E7C7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7B844B4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全面建设节水型社会，达到合理高效用水。</w:t>
            </w:r>
          </w:p>
          <w:p w14:paraId="7650F30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130F0F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1.严控使用燃煤等高污染燃料，禁止焚烧垃圾。</w:t>
            </w:r>
          </w:p>
          <w:p w14:paraId="3EA4F36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2.全面淘汰每小时10蒸吨以下的燃煤锅炉；在供气管网覆盖不到的其他地区，改用电、新能源或洁净煤。</w:t>
            </w:r>
          </w:p>
          <w:p w14:paraId="4FD272E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644E742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32F74E3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1.禁燃区内禁止燃烧以下高污染燃料：</w:t>
            </w:r>
          </w:p>
          <w:p w14:paraId="33B3F23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197CB3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（2）石油焦、油页岩、原油、重油、渣油、煤焦油。</w:t>
            </w:r>
          </w:p>
          <w:p w14:paraId="557A0AC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70D2730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1E41573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6F60D6F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498D492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6AD4CF8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259A998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污染物排放管控</w:t>
            </w:r>
          </w:p>
        </w:tc>
        <w:tc>
          <w:tcPr>
            <w:tcW w:w="2675" w:type="dxa"/>
            <w:noWrap w:val="0"/>
            <w:vAlign w:val="center"/>
          </w:tcPr>
          <w:p w14:paraId="26943924">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现有源提标升级改造</w:t>
            </w:r>
          </w:p>
          <w:p w14:paraId="1745863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51C5688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新增源等量或倍量替代</w:t>
            </w:r>
          </w:p>
          <w:p w14:paraId="6245B62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4909E07A">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新增源排放标准限值</w:t>
            </w:r>
          </w:p>
          <w:p w14:paraId="34E3DB7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污染物排放绩效水平准入要求</w:t>
            </w:r>
          </w:p>
          <w:p w14:paraId="13A5179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4727048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其他污染物排放管控要求</w:t>
            </w:r>
          </w:p>
        </w:tc>
        <w:tc>
          <w:tcPr>
            <w:tcW w:w="1879" w:type="dxa"/>
            <w:noWrap w:val="0"/>
            <w:vAlign w:val="center"/>
          </w:tcPr>
          <w:p w14:paraId="3F14BE1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项目符合遂宁市城镇重点管控单元管控要求。废水经污水处理设施处理后排入市政管网，废气均按照要求处理后达标排放。</w:t>
            </w:r>
          </w:p>
        </w:tc>
      </w:tr>
      <w:tr w14:paraId="0DB4F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8" w:type="dxa"/>
            <w:vMerge w:val="continue"/>
            <w:noWrap w:val="0"/>
            <w:vAlign w:val="center"/>
          </w:tcPr>
          <w:p w14:paraId="56380851">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ZH51092320001</w:t>
            </w:r>
          </w:p>
        </w:tc>
        <w:tc>
          <w:tcPr>
            <w:tcW w:w="1419" w:type="dxa"/>
            <w:vMerge w:val="continue"/>
            <w:noWrap w:val="0"/>
            <w:vAlign w:val="center"/>
          </w:tcPr>
          <w:p w14:paraId="63C50FB5">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767CD9D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7ED42D8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4048BE3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1.原则上禁止新建工业企业。</w:t>
            </w:r>
          </w:p>
          <w:p w14:paraId="537F886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2.禁止在长江干支流岸线一公里范围内新建、扩建化工园区和化工项目。禁止在长江干流岸线三公里范围内和重要支流岸线一公里范围内新建、改建、扩建尾矿库；但是以提升安全、生态环境保护水平为目</w:t>
            </w:r>
            <w:r>
              <w:rPr>
                <w:rStyle w:val="22"/>
                <w:rFonts w:hint="eastAsia" w:eastAsia="宋体" w:cs="Times New Roman"/>
                <w:color w:val="auto"/>
                <w:kern w:val="0"/>
                <w:sz w:val="21"/>
                <w:szCs w:val="21"/>
                <w:lang w:val="en-US" w:eastAsia="zh-CN" w:bidi="ar-SA"/>
              </w:rPr>
              <w:t>的</w:t>
            </w:r>
            <w:r>
              <w:rPr>
                <w:rStyle w:val="22"/>
                <w:rFonts w:hint="default" w:ascii="Times New Roman" w:hAnsi="Times New Roman" w:eastAsia="宋体" w:cs="Times New Roman"/>
                <w:color w:val="auto"/>
                <w:kern w:val="0"/>
                <w:sz w:val="21"/>
                <w:szCs w:val="21"/>
                <w:lang w:val="en-US" w:eastAsia="zh-CN" w:bidi="ar-SA"/>
              </w:rPr>
              <w:t>改建除外。</w:t>
            </w:r>
          </w:p>
          <w:p w14:paraId="17EBF78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3.严格执行相关行业企业布局选址要求，禁止在居民区、学校、医疗和养老机构等周边新建有色金属冶炼、焦化、化工、铅蓄电池制造等行业企业。有序搬迁或依法关闭对土壤造成严重污染的现有企业。</w:t>
            </w:r>
          </w:p>
          <w:p w14:paraId="4473802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168844E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1.现有工业企业不得新增污染物排放。</w:t>
            </w:r>
          </w:p>
          <w:p w14:paraId="298FFA7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2.严控新设工业园区，如确需新布局工业园区，应充分论证选址的环境合理性。</w:t>
            </w:r>
          </w:p>
          <w:p w14:paraId="1065DA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3.严控在长江及主要支流岸线1公里范围内新建石油化工、煤化工、涉磷、造纸、印染、制革等项目。</w:t>
            </w:r>
          </w:p>
          <w:p w14:paraId="059F93A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173C686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1.现有工业企业适时进行有序退出。</w:t>
            </w:r>
          </w:p>
          <w:p w14:paraId="22721CE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2.按照相关规划和要求，清理整顿非法采砂、非法码头，全面清除不合规码头。</w:t>
            </w:r>
          </w:p>
          <w:p w14:paraId="442A94B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362EDB1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6A9B70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5C1B633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2887B16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9E70A7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791328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1.到2023年，县级及以上城市设施能力基本满足生活污水处理需求。生活污水收集效能明显提升。</w:t>
            </w:r>
          </w:p>
          <w:p w14:paraId="70224CA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2.到2025年，水环境敏感地区污水处理基本达到一级A排放标准。</w:t>
            </w:r>
          </w:p>
          <w:p w14:paraId="226A03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3.到2035年，城市生活污水收集管网基本全覆盖，城镇污 水处理能力全覆盖。</w:t>
            </w:r>
          </w:p>
          <w:p w14:paraId="62949CB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4.机动车船实施国六排放标准，推广使用达到国六排放标准的燃气车辆。</w:t>
            </w:r>
          </w:p>
          <w:p w14:paraId="695879C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33F815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771DF61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12）定期对油烟净化设施进行维护保养，并保存维护保养记录，确保油烟稳定达标排放，设施正常使用率不低于90%。</w:t>
            </w:r>
          </w:p>
          <w:p w14:paraId="0943B4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33931B4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5845C4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1631F8B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0CDD4A2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1.企业环境风险防控要求：现有涉及五类重金属排放的企业，严控污染物排放，限时整治或搬迁。</w:t>
            </w:r>
          </w:p>
          <w:p w14:paraId="477FD9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2.用地环境风险防控要求：（1）工业企业退出用地，须经评估、修复满足相应用地功能后，方可改变用途。（2）列入建设用地土壤污染风险管控和修复名录的地块，不得作为住宅、公共管理与公共服务用地。</w:t>
            </w:r>
          </w:p>
          <w:p w14:paraId="6E9DFA1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30CDFAE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216A7F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到2025年，全国地级及以上缺水城市再生水利用率达到25%。</w:t>
            </w:r>
          </w:p>
          <w:p w14:paraId="052D093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46EF34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全面建设节水型社会，达到合理高效用水。</w:t>
            </w:r>
          </w:p>
          <w:p w14:paraId="5E4E85A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1B07F57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1.严控使用燃煤等高污染燃料，禁止焚烧垃圾。</w:t>
            </w:r>
          </w:p>
          <w:p w14:paraId="37C6F71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2.全面淘汰每小时10蒸吨以下的燃煤锅炉；在供气管网覆盖不到的其他地区，改用电、新能源或洁净煤。</w:t>
            </w:r>
          </w:p>
          <w:p w14:paraId="3358753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78E559C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1A7E28B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1.禁燃区内禁止燃烧以下高污染燃料：</w:t>
            </w:r>
          </w:p>
          <w:p w14:paraId="140D01E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7B6532A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（2）石油焦、油页岩、原油、重油、渣油、煤焦油。</w:t>
            </w:r>
          </w:p>
          <w:p w14:paraId="384AF8B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20F8C7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73C1691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3ADDFC3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4CE8E59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55821E7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0D318D20">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环境风险防控</w:t>
            </w:r>
          </w:p>
        </w:tc>
        <w:tc>
          <w:tcPr>
            <w:tcW w:w="2675" w:type="dxa"/>
            <w:noWrap w:val="0"/>
            <w:vAlign w:val="center"/>
          </w:tcPr>
          <w:p w14:paraId="77445A1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严格管控类农用地管控要求</w:t>
            </w:r>
          </w:p>
          <w:p w14:paraId="4C2AB13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有一定危险性仓库用地远离市区，按有关规范选址和建设，留够防护距离。2.城镇开发边界的划定避让永久基本农田红线和生态保护红线，避开蓄滞洪区、地质灾害易发区等。3.其他参照遂宁市总体准入要求-城镇重点管控单元</w:t>
            </w:r>
          </w:p>
          <w:p w14:paraId="19B8C07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安全利用类农用地管控要求</w:t>
            </w:r>
          </w:p>
          <w:p w14:paraId="1D9F307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有一定危险性仓库用地远离市区，按有关规范选址和建设，留够防护距离。2.城镇开发边界的划定避让永久基本农田红线和生态保护红线，避开蓄滞洪区、地质灾害易发区等。3.其他参照遂宁市总体准入要求-城镇重点管控单元</w:t>
            </w:r>
          </w:p>
          <w:p w14:paraId="5C8FC2A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污染地块管控要求</w:t>
            </w:r>
          </w:p>
          <w:p w14:paraId="5C3DE79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有一定危险性仓库用地远离市区，按有关规范选址和建设，留够防护距离。2.城镇开发边界的划定避让永久基本农田红线和生态保护红线，避开蓄滞洪区、地质灾害易发区等。3.其他参照遂宁市总体准入要求-城镇重点管控单元</w:t>
            </w:r>
          </w:p>
          <w:p w14:paraId="7D807C5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园区环境风险防控要求</w:t>
            </w:r>
          </w:p>
          <w:p w14:paraId="20C44CDF">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企业环境风险防控要求</w:t>
            </w:r>
          </w:p>
          <w:p w14:paraId="20930D1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2087F65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其他环境风险防控要求</w:t>
            </w:r>
          </w:p>
        </w:tc>
        <w:tc>
          <w:tcPr>
            <w:tcW w:w="1879" w:type="dxa"/>
            <w:noWrap w:val="0"/>
            <w:vAlign w:val="center"/>
          </w:tcPr>
          <w:p w14:paraId="778F737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项目位于遂宁市大英县文旅产业园区，用地符合《大英县国土空间规划》（2019-2035年）中心城区土地利用规划医疗卫生用地。</w:t>
            </w:r>
          </w:p>
        </w:tc>
      </w:tr>
      <w:tr w14:paraId="41BC6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8" w:type="dxa"/>
            <w:vMerge w:val="continue"/>
            <w:noWrap w:val="0"/>
            <w:vAlign w:val="center"/>
          </w:tcPr>
          <w:p w14:paraId="68076DA2">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ZH51092320001</w:t>
            </w:r>
          </w:p>
        </w:tc>
        <w:tc>
          <w:tcPr>
            <w:tcW w:w="1419" w:type="dxa"/>
            <w:vMerge w:val="continue"/>
            <w:noWrap w:val="0"/>
            <w:vAlign w:val="center"/>
          </w:tcPr>
          <w:p w14:paraId="5AEE865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0FFD745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152262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62E706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1.原则上禁止新建工业企业。</w:t>
            </w:r>
          </w:p>
          <w:p w14:paraId="2B97BDD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2.禁止在长江干支流岸线一公里范围内新建、扩建化工园区和化工项目。禁止在长江干流岸线三公里范围内和重要支流岸线一公里范围内新建、改建、扩建尾矿库；但是以提升安全、生态环境保护水平为目</w:t>
            </w:r>
            <w:r>
              <w:rPr>
                <w:rStyle w:val="22"/>
                <w:rFonts w:hint="eastAsia" w:eastAsia="宋体" w:cs="Times New Roman"/>
                <w:color w:val="auto"/>
                <w:kern w:val="0"/>
                <w:sz w:val="21"/>
                <w:szCs w:val="21"/>
                <w:lang w:val="en-US" w:eastAsia="zh-CN" w:bidi="ar-SA"/>
              </w:rPr>
              <w:t>的</w:t>
            </w:r>
            <w:r>
              <w:rPr>
                <w:rStyle w:val="22"/>
                <w:rFonts w:hint="default" w:ascii="Times New Roman" w:hAnsi="Times New Roman" w:eastAsia="宋体" w:cs="Times New Roman"/>
                <w:color w:val="auto"/>
                <w:kern w:val="0"/>
                <w:sz w:val="21"/>
                <w:szCs w:val="21"/>
                <w:lang w:val="en-US" w:eastAsia="zh-CN" w:bidi="ar-SA"/>
              </w:rPr>
              <w:t>改建除外。</w:t>
            </w:r>
          </w:p>
          <w:p w14:paraId="53E2F37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3.严格执行相关行业企业布局选址要求，禁止在居民区、学校、医疗和养老机构等周边新建有色金属冶炼、焦化、化工、铅蓄电池制造等行业企业。有序搬迁或依法关闭对土壤造成严重污染的现有企业。</w:t>
            </w:r>
          </w:p>
          <w:p w14:paraId="65D123D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58D2BE2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1.现有工业企业不得新增污染物排放。</w:t>
            </w:r>
          </w:p>
          <w:p w14:paraId="45DAADE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2.严控新设工业园区，如确需新布局工业园区，应充分论证选址的环境合理性。</w:t>
            </w:r>
          </w:p>
          <w:p w14:paraId="70C4BAA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3.严控在长江及主要支流岸线1公里范围内新建石油化工、煤化工、涉磷、造纸、印染、制革等项目。</w:t>
            </w:r>
          </w:p>
          <w:p w14:paraId="2857622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00AF0C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1.现有工业企业适时进行有序退出。</w:t>
            </w:r>
          </w:p>
          <w:p w14:paraId="36D7E05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2.按照相关规划和要求，清理整顿非法采砂、非法码头，全面清除不合规码头。</w:t>
            </w:r>
          </w:p>
          <w:p w14:paraId="04E14CB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2F85869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3480D3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2D0AC0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5F439C7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D5DBA7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5C41C9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1.到2023年，县级及以上城市设施能力基本满足生活污水处理需求。生活污水收集效能明显提升。</w:t>
            </w:r>
          </w:p>
          <w:p w14:paraId="4F6C396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2.到2025年，水环境敏感地区污水处理基本达到一级A排放标准。</w:t>
            </w:r>
          </w:p>
          <w:p w14:paraId="7C51F9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3.到2035年，城市生活污水收集管网基本全覆盖，城镇污 水处理能力全覆盖。</w:t>
            </w:r>
          </w:p>
          <w:p w14:paraId="7C32937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4.机动车船实施国六排放标准，推广使用达到国六排放标准的燃气车辆。</w:t>
            </w:r>
          </w:p>
          <w:p w14:paraId="795649D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0CD5FE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0AE124D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污染物排放绩效水平准入要求：（1）到2025年基本消除城市建成区生活污水直排口和收集处理设施空白区。（2）到2030年，遂宁市城市生活污水处理率提高到97%。（3）严格落实建设工地管理要求，做好扬尘污染管控工作。（4）城市建成区道路机械化清扫率达到90%以上。（5）工业固体废物资源化利用、无害化处置率100%；危险废物、医疗废物和放射性废物无害化处置率100%。（6）到2025年底，建立健全源头严防、过程严管、后果严惩的危险废物监管体系。危险废物利用处置能力充分保障，技术和运营水平进一步提升。（7）从事机动车修理、印刷、服装干洗、研发等排放挥发性有机污染物的生产作业，应当按照有关技术规范进行综合治理。推广机动车维修企业使用水性、紫外光固化涂料，禁止露天和敞开式喷漆作业；包装印刷业必须使用符合环保要求的油墨；餐饮服务业油烟必须经处理达到相应排放标准要求。（8）建材行业原料破碎、生产、运输、装卸等各环节严格落实抑尘措施，有效控制粉尘无组织排放。（9）到2023年底，地级以上城市具备厨余垃圾集中处理能力，县城生活垃圾无害化处理率保持95%以上，乡镇及行政村生活垃圾收转运处置体系基本实现全覆盖；生活垃圾处理设施信息化监管水平明显提升。（10）到2025年，城市和县城污泥无害化、资源化利用水平进一步提升，城市污泥无害化处置率达到90%以上。（11）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12）定期对油烟净化设施进行维护保养，并保存维护保养记录，确保油烟稳定达标排放，设施正常使用率不低于90%。</w:t>
            </w:r>
          </w:p>
          <w:p w14:paraId="263EAE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64B1864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5C9B751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68134FC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6D2E048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1.企业环境风险防控要求：现有涉及五类重金属排放的企业，严控污染物排放，限时整治或搬迁。</w:t>
            </w:r>
          </w:p>
          <w:p w14:paraId="74D8D3A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2.用地环境风险防控要求：（1）工业企业退出用地，须经评估、修复满足相应用地功能后，方可改变用途。（2）列入建设用地土壤污染风险管控和修复名录的地块，不得作为住宅、公共管理与公共服务用地。</w:t>
            </w:r>
          </w:p>
          <w:p w14:paraId="6FBEF4B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2DE1BBD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157B0F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到2025年，全国地级及以上缺水城市再生水利用率达到25%。</w:t>
            </w:r>
          </w:p>
          <w:p w14:paraId="2435C6E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77D9FF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全面建设节水型社会，达到合理高效用水。</w:t>
            </w:r>
          </w:p>
          <w:p w14:paraId="75ABAB9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31D6979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1.严控使用燃煤等高污染燃料，禁止焚烧垃圾。</w:t>
            </w:r>
          </w:p>
          <w:p w14:paraId="0C1D79E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2.全面淘汰每小时10蒸吨以下的燃煤锅炉；在供气管网覆盖不到的其他地区，改用电、新能源或洁净煤。</w:t>
            </w:r>
          </w:p>
          <w:p w14:paraId="02C513A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4C79DB9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11529CE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1.禁燃区内禁止燃烧以下高污染燃料：</w:t>
            </w:r>
          </w:p>
          <w:p w14:paraId="21817D9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527B40E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（2）石油焦、油页岩、原油、重油、渣油、煤焦油。</w:t>
            </w:r>
          </w:p>
          <w:p w14:paraId="183CAC3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3523B59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7FF5922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4F57F28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17DD509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5B9F6A6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46E68D49">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资源开发效率要求</w:t>
            </w:r>
          </w:p>
        </w:tc>
        <w:tc>
          <w:tcPr>
            <w:tcW w:w="2675" w:type="dxa"/>
            <w:noWrap w:val="0"/>
            <w:vAlign w:val="center"/>
          </w:tcPr>
          <w:p w14:paraId="79CE369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水资源利用效率要求</w:t>
            </w:r>
          </w:p>
          <w:p w14:paraId="193F993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7A8D9914">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地下水开采要求</w:t>
            </w:r>
          </w:p>
          <w:p w14:paraId="1343C73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（1）大英县2030年地下水开采控制控制量保持在0.06亿m3以内。（2）全面建设节水型社会，达到合理高效用水。</w:t>
            </w:r>
          </w:p>
          <w:p w14:paraId="5C5AC25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能源利用效率要求</w:t>
            </w:r>
          </w:p>
          <w:p w14:paraId="6B1E995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参照遂宁市总体准入要求-城镇重点管控单元</w:t>
            </w:r>
          </w:p>
          <w:p w14:paraId="7AA7CBBC">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其他资源利用效率要求</w:t>
            </w:r>
          </w:p>
          <w:p w14:paraId="31CDEE7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禁燃区管控要求：参照遂宁市总体准入要求-城镇重点管控单元</w:t>
            </w:r>
          </w:p>
        </w:tc>
        <w:tc>
          <w:tcPr>
            <w:tcW w:w="1879" w:type="dxa"/>
            <w:noWrap w:val="0"/>
            <w:vAlign w:val="center"/>
          </w:tcPr>
          <w:p w14:paraId="3281BAFC">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本项目为综合医院建设，不使用高污染能源，不属于高耗水、排放有毒有害污染物废水的高污染项目。项目建设符合遂宁市城镇重点管控单元管控要求。</w:t>
            </w:r>
          </w:p>
        </w:tc>
      </w:tr>
      <w:tr w14:paraId="64AA4C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1798" w:type="dxa"/>
            <w:vMerge w:val="restart"/>
            <w:noWrap w:val="0"/>
            <w:vAlign w:val="center"/>
          </w:tcPr>
          <w:p w14:paraId="27203E67">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YS5109232220002</w:t>
            </w:r>
          </w:p>
        </w:tc>
        <w:tc>
          <w:tcPr>
            <w:tcW w:w="1419" w:type="dxa"/>
            <w:vMerge w:val="restart"/>
            <w:noWrap w:val="0"/>
            <w:vAlign w:val="center"/>
          </w:tcPr>
          <w:p w14:paraId="06D0CEB7">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郪江大英县郪江口控制单元</w:t>
            </w:r>
          </w:p>
        </w:tc>
        <w:tc>
          <w:tcPr>
            <w:tcW w:w="4585" w:type="dxa"/>
            <w:vMerge w:val="restart"/>
            <w:noWrap w:val="0"/>
            <w:vAlign w:val="top"/>
          </w:tcPr>
          <w:p w14:paraId="4A202C3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5886C5D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08B3216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D3CD61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5044EEB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271A50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2121C12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FD2F9E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3E1F722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DEDDA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3EA2B02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105D8C6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E4CA0E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786C37B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8533EC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C4EC9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1E773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035D78F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1948FF7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F86617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33EDE7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14035E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6778BA4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2044952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814373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046FAB7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758641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7429B96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510153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3D338B0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4B1031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33FC4C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05384027">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空间布局约束</w:t>
            </w:r>
          </w:p>
        </w:tc>
        <w:tc>
          <w:tcPr>
            <w:tcW w:w="2675" w:type="dxa"/>
            <w:noWrap w:val="0"/>
            <w:vAlign w:val="center"/>
          </w:tcPr>
          <w:p w14:paraId="52DCA57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禁止开发建设活动的要求</w:t>
            </w:r>
          </w:p>
          <w:p w14:paraId="64E67E34">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限制开发建设活动的要求</w:t>
            </w:r>
          </w:p>
          <w:p w14:paraId="453DB34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允许开发建设活动的要求</w:t>
            </w:r>
          </w:p>
          <w:p w14:paraId="32CB592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不符合空间布局要求活动的退出要求</w:t>
            </w:r>
          </w:p>
          <w:p w14:paraId="51D6AE9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其他空间布局约束要求</w:t>
            </w:r>
          </w:p>
        </w:tc>
        <w:tc>
          <w:tcPr>
            <w:tcW w:w="1879" w:type="dxa"/>
            <w:noWrap w:val="0"/>
            <w:vAlign w:val="center"/>
          </w:tcPr>
          <w:p w14:paraId="6043E57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本项目为综合医院建设，是产业政策鼓励类项目，用地为医疗卫生用地。</w:t>
            </w:r>
          </w:p>
        </w:tc>
      </w:tr>
      <w:tr w14:paraId="07F49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8" w:type="dxa"/>
            <w:vMerge w:val="continue"/>
            <w:noWrap w:val="0"/>
            <w:vAlign w:val="center"/>
          </w:tcPr>
          <w:p w14:paraId="1878BEF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YS5109232220002</w:t>
            </w:r>
          </w:p>
        </w:tc>
        <w:tc>
          <w:tcPr>
            <w:tcW w:w="1419" w:type="dxa"/>
            <w:vMerge w:val="continue"/>
            <w:noWrap w:val="0"/>
            <w:vAlign w:val="center"/>
          </w:tcPr>
          <w:p w14:paraId="279712C2">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郪江大英县郪江口控制单元</w:t>
            </w:r>
          </w:p>
        </w:tc>
        <w:tc>
          <w:tcPr>
            <w:tcW w:w="4585" w:type="dxa"/>
            <w:vMerge w:val="continue"/>
            <w:noWrap w:val="0"/>
            <w:vAlign w:val="top"/>
          </w:tcPr>
          <w:p w14:paraId="7A1C579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6C2D54C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01C0FC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A7491A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7CE297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AFC978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52958C5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ADD842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16A25BC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3D7172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4CAB79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4DF3766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46F80E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2D7013B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4602A4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407DB65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D49F8F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23B271D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6405E54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BA9E80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3BFE30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88B66C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5F0D38C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7054F26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69E5D3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3D306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282E23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6CA366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6A9D2A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64780DA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C34517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0CC6C18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7D6127FE">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污染物排放管控</w:t>
            </w:r>
          </w:p>
        </w:tc>
        <w:tc>
          <w:tcPr>
            <w:tcW w:w="2675" w:type="dxa"/>
            <w:noWrap w:val="0"/>
            <w:vAlign w:val="center"/>
          </w:tcPr>
          <w:p w14:paraId="2E9418A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城镇污水污染控制措施要求</w:t>
            </w:r>
          </w:p>
          <w:p w14:paraId="586C7E8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强化城镇生活污染源治理，健全城镇生活污水收集管网和生活垃圾收集、转运、处理系统。</w:t>
            </w:r>
          </w:p>
          <w:p w14:paraId="7522C18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工业废水污染控制措施要求</w:t>
            </w:r>
          </w:p>
          <w:p w14:paraId="6C36423D">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农业面源水污染控制措施要求</w:t>
            </w:r>
          </w:p>
          <w:p w14:paraId="66C2F96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船舶港口水污染控制措施要求</w:t>
            </w:r>
          </w:p>
          <w:p w14:paraId="07628CA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饮用水水源和其它特殊水体保护要求</w:t>
            </w:r>
          </w:p>
        </w:tc>
        <w:tc>
          <w:tcPr>
            <w:tcW w:w="1879" w:type="dxa"/>
            <w:noWrap w:val="0"/>
            <w:vAlign w:val="center"/>
          </w:tcPr>
          <w:p w14:paraId="5282812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项目废水经污水处理设施处理达到《医疗机构水污染物排放标准》（GB18466-2005）预处理标准后排入大英县城市生活污水处理厂。</w:t>
            </w:r>
          </w:p>
        </w:tc>
      </w:tr>
      <w:tr w14:paraId="2115E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798" w:type="dxa"/>
            <w:vMerge w:val="continue"/>
            <w:noWrap w:val="0"/>
            <w:vAlign w:val="center"/>
          </w:tcPr>
          <w:p w14:paraId="7D9D1A1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YS5109232220002</w:t>
            </w:r>
          </w:p>
        </w:tc>
        <w:tc>
          <w:tcPr>
            <w:tcW w:w="1419" w:type="dxa"/>
            <w:vMerge w:val="continue"/>
            <w:noWrap w:val="0"/>
            <w:vAlign w:val="center"/>
          </w:tcPr>
          <w:p w14:paraId="3398811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郪江大英县郪江口控制单元</w:t>
            </w:r>
          </w:p>
        </w:tc>
        <w:tc>
          <w:tcPr>
            <w:tcW w:w="4585" w:type="dxa"/>
            <w:vMerge w:val="continue"/>
            <w:noWrap w:val="0"/>
            <w:vAlign w:val="top"/>
          </w:tcPr>
          <w:p w14:paraId="5149435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33CFC84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7C4D9F4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30F7EF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7C01557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2B29F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4B5C42D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E1B5E6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56106D3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9A8A72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5137224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633BBDF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FB6A92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3E15C53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4A359E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690754B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9DEE5E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0B98309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287C935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0EBC9B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6C136FC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48B4A0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2F430CF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5A7F771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0DE545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0AE1D7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DAD3FE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480A443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CE4854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29BBC64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24791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7666D73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18DDE331">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环境风险防控</w:t>
            </w:r>
          </w:p>
        </w:tc>
        <w:tc>
          <w:tcPr>
            <w:tcW w:w="2675" w:type="dxa"/>
            <w:noWrap w:val="0"/>
            <w:vAlign w:val="center"/>
          </w:tcPr>
          <w:p w14:paraId="4E912F1D">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879" w:type="dxa"/>
            <w:noWrap w:val="0"/>
            <w:vAlign w:val="center"/>
          </w:tcPr>
          <w:p w14:paraId="76BDD03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本项目属于综合医院建设，不属于工业生产项目，用地属医疗卫生用地，符合规划要求。发热楼和感染楼四周设置有绿化隔离带，做好分区防渗，加强风险防控措施</w:t>
            </w:r>
          </w:p>
        </w:tc>
      </w:tr>
      <w:tr w14:paraId="19A32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798" w:type="dxa"/>
            <w:vMerge w:val="continue"/>
            <w:noWrap w:val="0"/>
            <w:vAlign w:val="center"/>
          </w:tcPr>
          <w:p w14:paraId="56AE6366">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YS5109232220002</w:t>
            </w:r>
          </w:p>
        </w:tc>
        <w:tc>
          <w:tcPr>
            <w:tcW w:w="1419" w:type="dxa"/>
            <w:vMerge w:val="continue"/>
            <w:noWrap w:val="0"/>
            <w:vAlign w:val="center"/>
          </w:tcPr>
          <w:p w14:paraId="60172567">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郪江大英县郪江口控制单元</w:t>
            </w:r>
          </w:p>
        </w:tc>
        <w:tc>
          <w:tcPr>
            <w:tcW w:w="4585" w:type="dxa"/>
            <w:vMerge w:val="continue"/>
            <w:noWrap w:val="0"/>
            <w:vAlign w:val="top"/>
          </w:tcPr>
          <w:p w14:paraId="5E418B4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643C153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5697780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5AC821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0C6015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3DF0D9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787EF98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388BAD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2F6916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E7F85E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11110D7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3C0C21C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0735DB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5A5CCBC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C2F9CE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8EB78D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3CD05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28FEA37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26A12E8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1C2FF5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65DF421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0AFD00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406A876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06E9F55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863E0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48034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43BF45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08F2C1B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50FE4C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3D32AB5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BCF324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4A1BC6C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37E88DD0">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资源开发效率要求</w:t>
            </w:r>
          </w:p>
        </w:tc>
        <w:tc>
          <w:tcPr>
            <w:tcW w:w="2675" w:type="dxa"/>
            <w:noWrap w:val="0"/>
            <w:vAlign w:val="center"/>
          </w:tcPr>
          <w:p w14:paraId="4894787F">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60427774">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5FF06D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8" w:type="dxa"/>
            <w:vMerge w:val="restart"/>
            <w:noWrap w:val="0"/>
            <w:vAlign w:val="center"/>
          </w:tcPr>
          <w:p w14:paraId="215C1DD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YS5109232340001</w:t>
            </w:r>
          </w:p>
        </w:tc>
        <w:tc>
          <w:tcPr>
            <w:tcW w:w="1419" w:type="dxa"/>
            <w:vMerge w:val="restart"/>
            <w:noWrap w:val="0"/>
            <w:vAlign w:val="center"/>
          </w:tcPr>
          <w:p w14:paraId="7A1F6E04">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1D5A554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5BDCDC0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6E5A90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4D5F13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7B42289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8296BD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025A907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5FE1F2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4D7F97D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5CE23F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181CFFD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2785836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030FA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38DD9CB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68BBAF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87012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D3BDC0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090F668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231F452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E026D3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C7D3D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BFC4F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52E3458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1CB145B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F62ABF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7664375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71B44A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2B4340D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AB194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1BADAA9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88375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7B2FBC5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43DF77FF">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空间布局约束</w:t>
            </w:r>
          </w:p>
        </w:tc>
        <w:tc>
          <w:tcPr>
            <w:tcW w:w="2675" w:type="dxa"/>
            <w:noWrap w:val="0"/>
            <w:vAlign w:val="center"/>
          </w:tcPr>
          <w:p w14:paraId="0593B8C1">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禁止开发建设活动的要求</w:t>
            </w:r>
          </w:p>
          <w:p w14:paraId="1A59192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限制开发建设活动的要求</w:t>
            </w:r>
          </w:p>
          <w:p w14:paraId="09248DCF">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允许开发建设活动的要求</w:t>
            </w:r>
          </w:p>
          <w:p w14:paraId="3137FC01">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不符合空间布局要求活动的退出要求</w:t>
            </w:r>
          </w:p>
          <w:p w14:paraId="2EF5911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其他空间布局约束要求</w:t>
            </w:r>
          </w:p>
        </w:tc>
        <w:tc>
          <w:tcPr>
            <w:tcW w:w="1879" w:type="dxa"/>
            <w:noWrap w:val="0"/>
            <w:vAlign w:val="center"/>
          </w:tcPr>
          <w:p w14:paraId="1B1F86D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本项目为综合医院建设，是产业政策鼓励类项目，用地为医疗卫生用地。</w:t>
            </w:r>
          </w:p>
        </w:tc>
      </w:tr>
      <w:tr w14:paraId="64382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8" w:type="dxa"/>
            <w:vMerge w:val="continue"/>
            <w:noWrap w:val="0"/>
            <w:vAlign w:val="center"/>
          </w:tcPr>
          <w:p w14:paraId="59F188A4">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YS5109232340001</w:t>
            </w:r>
          </w:p>
        </w:tc>
        <w:tc>
          <w:tcPr>
            <w:tcW w:w="1419" w:type="dxa"/>
            <w:vMerge w:val="continue"/>
            <w:noWrap w:val="0"/>
            <w:vAlign w:val="center"/>
          </w:tcPr>
          <w:p w14:paraId="7C09BE76">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4562DBA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92627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5A8E901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629932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3E7F8D1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DF9550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41DEE71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2EA15F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592250A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3B0C3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7AB6FD5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65C4C5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A73BA1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6C83488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BA98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054DDFC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15EDDD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68D4E04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23B03BA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334E30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3201381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39E1DB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00CF22B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0D39CF8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3070E1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58C541F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730CC1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6A1E29D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969292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0CBBF2E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112D8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122B78D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61AE74D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污染物排放管控</w:t>
            </w:r>
          </w:p>
        </w:tc>
        <w:tc>
          <w:tcPr>
            <w:tcW w:w="2675" w:type="dxa"/>
            <w:noWrap w:val="0"/>
            <w:vAlign w:val="center"/>
          </w:tcPr>
          <w:p w14:paraId="5813AC7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大气环境质量执行标准</w:t>
            </w:r>
          </w:p>
          <w:p w14:paraId="4F0B1AB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《环境空气质量标准》（GB3095-2012）：二级</w:t>
            </w:r>
          </w:p>
          <w:p w14:paraId="2E9BD11E">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区域大气污染物削减/替代要求</w:t>
            </w:r>
          </w:p>
          <w:p w14:paraId="1402CA0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新增大气污染物排放的建设项目实施总量削减替代。</w:t>
            </w:r>
          </w:p>
          <w:p w14:paraId="4DC97B7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燃煤和其他能源大气污染控制要求</w:t>
            </w:r>
          </w:p>
          <w:p w14:paraId="783D5B45">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工业废气污染控制要求</w:t>
            </w:r>
          </w:p>
          <w:p w14:paraId="48770BE1">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机动车船大气污染控制要求</w:t>
            </w:r>
          </w:p>
          <w:p w14:paraId="5324C8B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扬尘污染控制要求</w:t>
            </w:r>
          </w:p>
          <w:p w14:paraId="69A2A6A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农业生产经营活动大气污染控制要求</w:t>
            </w:r>
          </w:p>
          <w:p w14:paraId="4F213E2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重点行业企业专项治理要求</w:t>
            </w:r>
          </w:p>
          <w:p w14:paraId="10DB8D80">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其他大气污染物排放管控要求</w:t>
            </w:r>
          </w:p>
        </w:tc>
        <w:tc>
          <w:tcPr>
            <w:tcW w:w="1879" w:type="dxa"/>
            <w:noWrap w:val="0"/>
            <w:vAlign w:val="center"/>
          </w:tcPr>
          <w:p w14:paraId="79F52D44">
            <w:pPr>
              <w:pStyle w:val="33"/>
              <w:widowControl/>
              <w:shd w:val="clear" w:color="auto" w:fill="FFFFFF"/>
              <w:spacing w:line="240" w:lineRule="auto"/>
              <w:ind w:firstLine="0" w:firstLineChars="0"/>
              <w:jc w:val="center"/>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本项目为综合医院建设，用地为医疗卫生用地。废气均按照要求处理后达标排放，无总量控制指标。</w:t>
            </w:r>
          </w:p>
        </w:tc>
      </w:tr>
      <w:tr w14:paraId="7691A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798" w:type="dxa"/>
            <w:vMerge w:val="continue"/>
            <w:noWrap w:val="0"/>
            <w:vAlign w:val="center"/>
          </w:tcPr>
          <w:p w14:paraId="0C914E8A">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YS5109232340001</w:t>
            </w:r>
          </w:p>
        </w:tc>
        <w:tc>
          <w:tcPr>
            <w:tcW w:w="1419" w:type="dxa"/>
            <w:vMerge w:val="continue"/>
            <w:noWrap w:val="0"/>
            <w:vAlign w:val="center"/>
          </w:tcPr>
          <w:p w14:paraId="411031D7">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45325E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041250C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46DAD9D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B4EC83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442AC20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1BE510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017C48D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41E002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4F229DB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93E74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363822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2F3285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41BE0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6958EB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584D2B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7E66317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C2E6F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759D30C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2BD604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E8BD2B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0712AF2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FE6C18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5C452EC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01D4FE7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6A8AC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27B018E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614AC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63B31B8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34B663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72C7DC3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C89BF3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4D169DE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0490AE1E">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环境风险防控</w:t>
            </w:r>
          </w:p>
        </w:tc>
        <w:tc>
          <w:tcPr>
            <w:tcW w:w="2675" w:type="dxa"/>
            <w:noWrap w:val="0"/>
            <w:vAlign w:val="center"/>
          </w:tcPr>
          <w:p w14:paraId="6422354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严控使用燃煤等高污染燃料，禁止焚烧垃圾。</w:t>
            </w:r>
          </w:p>
        </w:tc>
        <w:tc>
          <w:tcPr>
            <w:tcW w:w="1879" w:type="dxa"/>
            <w:noWrap w:val="0"/>
            <w:vAlign w:val="center"/>
          </w:tcPr>
          <w:p w14:paraId="160A13A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项目锅炉采用电锅炉，不使用高污染燃料，不涉及垃圾焚烧。</w:t>
            </w:r>
          </w:p>
        </w:tc>
      </w:tr>
      <w:tr w14:paraId="1AD17A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798" w:type="dxa"/>
            <w:vMerge w:val="continue"/>
            <w:noWrap w:val="0"/>
            <w:vAlign w:val="center"/>
          </w:tcPr>
          <w:p w14:paraId="42B5761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YS5109232340001</w:t>
            </w:r>
          </w:p>
        </w:tc>
        <w:tc>
          <w:tcPr>
            <w:tcW w:w="1419" w:type="dxa"/>
            <w:vMerge w:val="continue"/>
            <w:noWrap w:val="0"/>
            <w:vAlign w:val="center"/>
          </w:tcPr>
          <w:p w14:paraId="349C027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大英县中心城区</w:t>
            </w:r>
          </w:p>
        </w:tc>
        <w:tc>
          <w:tcPr>
            <w:tcW w:w="4585" w:type="dxa"/>
            <w:vMerge w:val="continue"/>
            <w:noWrap w:val="0"/>
            <w:vAlign w:val="top"/>
          </w:tcPr>
          <w:p w14:paraId="0505106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57B2AD1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341BA7F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528F7D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3F94DBF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DD2D04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2DD3722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4FCCAE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20DC8F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B216CB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7D7F31D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63191E6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CCF93F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1EC89BD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4EBDA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36957DC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855699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7177366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5BD2AE5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13EC0B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16141AE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3DA2C7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1D10399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344FA40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30F850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415CA67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544DF5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24C7321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2642E5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74532E0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C5AA8D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334EA5A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09F7D012">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资源开发效率要求</w:t>
            </w:r>
          </w:p>
        </w:tc>
        <w:tc>
          <w:tcPr>
            <w:tcW w:w="2675" w:type="dxa"/>
            <w:vMerge w:val="restart"/>
            <w:noWrap w:val="0"/>
            <w:vAlign w:val="center"/>
          </w:tcPr>
          <w:p w14:paraId="7686FAE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3EA6AF2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39804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8" w:type="dxa"/>
            <w:vMerge w:val="restart"/>
            <w:noWrap w:val="0"/>
            <w:vAlign w:val="center"/>
          </w:tcPr>
          <w:p w14:paraId="54553276">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YS5109232540005</w:t>
            </w:r>
          </w:p>
        </w:tc>
        <w:tc>
          <w:tcPr>
            <w:tcW w:w="1419" w:type="dxa"/>
            <w:vMerge w:val="restart"/>
            <w:noWrap w:val="0"/>
            <w:vAlign w:val="center"/>
          </w:tcPr>
          <w:p w14:paraId="340885FD">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大英县城市建成区</w:t>
            </w:r>
          </w:p>
        </w:tc>
        <w:tc>
          <w:tcPr>
            <w:tcW w:w="4585" w:type="dxa"/>
            <w:vMerge w:val="continue"/>
            <w:noWrap w:val="0"/>
            <w:vAlign w:val="top"/>
          </w:tcPr>
          <w:p w14:paraId="5C15250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2AB18AD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66B35C1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B74AE9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1DA2EA5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4C2FAD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5D77F36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36069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30340FE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F9E47A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2CBC8C8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64CF287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68F3F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42BCB99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3CA6E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7E566F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C607B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09C45D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3BC5AC1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833AF1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22C1D1D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CC0BD5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0C8EB72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7B979A9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B0E08F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501B5F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194C4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25D06B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19BDB4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6C96ED9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E62B1E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3C7B3D6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5C57DF10">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空间布局约束</w:t>
            </w:r>
          </w:p>
        </w:tc>
        <w:tc>
          <w:tcPr>
            <w:tcW w:w="2675" w:type="dxa"/>
            <w:vMerge w:val="continue"/>
            <w:noWrap w:val="0"/>
            <w:vAlign w:val="center"/>
          </w:tcPr>
          <w:p w14:paraId="41FEEC85">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6F7A17B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11D99C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798" w:type="dxa"/>
            <w:vMerge w:val="continue"/>
            <w:noWrap w:val="0"/>
            <w:vAlign w:val="center"/>
          </w:tcPr>
          <w:p w14:paraId="106474D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YS5109232540005</w:t>
            </w:r>
          </w:p>
        </w:tc>
        <w:tc>
          <w:tcPr>
            <w:tcW w:w="1419" w:type="dxa"/>
            <w:vMerge w:val="continue"/>
            <w:noWrap w:val="0"/>
            <w:vAlign w:val="center"/>
          </w:tcPr>
          <w:p w14:paraId="579BA6EA">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大英县城市建成区</w:t>
            </w:r>
          </w:p>
        </w:tc>
        <w:tc>
          <w:tcPr>
            <w:tcW w:w="4585" w:type="dxa"/>
            <w:vMerge w:val="continue"/>
            <w:noWrap w:val="0"/>
            <w:vAlign w:val="top"/>
          </w:tcPr>
          <w:p w14:paraId="42469DB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4DC9E6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28B792A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580713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7A188C8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9935ED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2B4C282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3495A8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126324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C4ABE4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0EAA0EC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44E93D0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3E93D2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1D3B6D2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77F19B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9C656B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BA4AB8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3FB646E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480AD1B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951922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28FB7D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E66537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7E34DA0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4B4D868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328A87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1D3D773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BDF85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72790DA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66A498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47D27B4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AE43B6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48F3BFE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3A92B94F">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污染物排放管控</w:t>
            </w:r>
          </w:p>
        </w:tc>
        <w:tc>
          <w:tcPr>
            <w:tcW w:w="2675" w:type="dxa"/>
            <w:vMerge w:val="continue"/>
            <w:noWrap w:val="0"/>
            <w:vAlign w:val="center"/>
          </w:tcPr>
          <w:p w14:paraId="326FF39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768D1CF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0CE0B6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98" w:type="dxa"/>
            <w:vMerge w:val="continue"/>
            <w:noWrap w:val="0"/>
            <w:vAlign w:val="center"/>
          </w:tcPr>
          <w:p w14:paraId="3E80C471">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YS5109232540005</w:t>
            </w:r>
          </w:p>
        </w:tc>
        <w:tc>
          <w:tcPr>
            <w:tcW w:w="1419" w:type="dxa"/>
            <w:vMerge w:val="continue"/>
            <w:noWrap w:val="0"/>
            <w:vAlign w:val="center"/>
          </w:tcPr>
          <w:p w14:paraId="735FADB5">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大英县城市建成区</w:t>
            </w:r>
          </w:p>
        </w:tc>
        <w:tc>
          <w:tcPr>
            <w:tcW w:w="4585" w:type="dxa"/>
            <w:vMerge w:val="continue"/>
            <w:noWrap w:val="0"/>
            <w:vAlign w:val="top"/>
          </w:tcPr>
          <w:p w14:paraId="7B86186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3D59C3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3CB15C5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B58C19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7C4F040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8E4E1A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2C6C40A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D97779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4F5EC05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AE2402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028763B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431CB7C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6A0E21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48A003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2895D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76E0623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A62BA3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257BF8E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365F4E5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243482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369397D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498660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4E4EF7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1478DCF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6B0731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17AAC7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9F48B5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57FDB62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ED1D12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349859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B617C3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2F5606C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6EE1E209">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环境风险防控</w:t>
            </w:r>
          </w:p>
        </w:tc>
        <w:tc>
          <w:tcPr>
            <w:tcW w:w="2675" w:type="dxa"/>
            <w:vMerge w:val="continue"/>
            <w:noWrap w:val="0"/>
            <w:vAlign w:val="center"/>
          </w:tcPr>
          <w:p w14:paraId="2C26D40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5C639575">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7D7EB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5" w:hRule="atLeast"/>
        </w:trPr>
        <w:tc>
          <w:tcPr>
            <w:tcW w:w="1798" w:type="dxa"/>
            <w:vMerge w:val="continue"/>
            <w:noWrap w:val="0"/>
            <w:vAlign w:val="center"/>
          </w:tcPr>
          <w:p w14:paraId="046A7A3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YS5109232540005</w:t>
            </w:r>
          </w:p>
        </w:tc>
        <w:tc>
          <w:tcPr>
            <w:tcW w:w="1419" w:type="dxa"/>
            <w:vMerge w:val="continue"/>
            <w:noWrap w:val="0"/>
            <w:vAlign w:val="center"/>
          </w:tcPr>
          <w:p w14:paraId="37A0E093">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大英县城市建成区</w:t>
            </w:r>
          </w:p>
        </w:tc>
        <w:tc>
          <w:tcPr>
            <w:tcW w:w="4585" w:type="dxa"/>
            <w:vMerge w:val="continue"/>
            <w:noWrap w:val="0"/>
            <w:vAlign w:val="top"/>
          </w:tcPr>
          <w:p w14:paraId="6A5B62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92A78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7E7CE3F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5C0CE2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43661EA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2DC985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0D47F9E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ED4720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6473D7D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C44CF8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3561886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50BF146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5A66DD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2B0EBDC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87C97F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4D4A83A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6AB60C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747A940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06D06D2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B88C8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40C164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358CCA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5B38ABE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412E4D5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3FEAFF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67589D0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AC8665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4C3F594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6FC03D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7FE7B09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916AE7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317D708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00CE4E0C">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资源开发效率要求</w:t>
            </w:r>
          </w:p>
        </w:tc>
        <w:tc>
          <w:tcPr>
            <w:tcW w:w="2675" w:type="dxa"/>
            <w:noWrap w:val="0"/>
            <w:vAlign w:val="center"/>
          </w:tcPr>
          <w:p w14:paraId="441BA95C">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土地资源开发效率要求</w:t>
            </w:r>
          </w:p>
          <w:p w14:paraId="52B0C29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能源资源开发效率要求</w:t>
            </w:r>
          </w:p>
          <w:p w14:paraId="492DEEC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能源消耗、污染物排放不得超过能源利用上线控制性指标</w:t>
            </w:r>
          </w:p>
          <w:p w14:paraId="7B1C3BBD">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其他资源开发效率要求</w:t>
            </w:r>
          </w:p>
        </w:tc>
        <w:tc>
          <w:tcPr>
            <w:tcW w:w="1879" w:type="dxa"/>
            <w:noWrap w:val="0"/>
            <w:vAlign w:val="center"/>
          </w:tcPr>
          <w:p w14:paraId="6312D6C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项目不使用高污染能源，在运营过程中消耗一定量的水、电、天然气资源，消耗量相对于区域资源利用总量较小。</w:t>
            </w:r>
          </w:p>
        </w:tc>
      </w:tr>
      <w:tr w14:paraId="0CA56B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798" w:type="dxa"/>
            <w:vMerge w:val="restart"/>
            <w:noWrap w:val="0"/>
            <w:vAlign w:val="center"/>
          </w:tcPr>
          <w:p w14:paraId="181E4224">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YS5109232550001</w:t>
            </w:r>
          </w:p>
        </w:tc>
        <w:tc>
          <w:tcPr>
            <w:tcW w:w="1419" w:type="dxa"/>
            <w:vMerge w:val="restart"/>
            <w:noWrap w:val="0"/>
            <w:vAlign w:val="center"/>
          </w:tcPr>
          <w:p w14:paraId="0109F316">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大英县自然资源重点管控区</w:t>
            </w:r>
          </w:p>
        </w:tc>
        <w:tc>
          <w:tcPr>
            <w:tcW w:w="4585" w:type="dxa"/>
            <w:vMerge w:val="continue"/>
            <w:noWrap w:val="0"/>
            <w:vAlign w:val="top"/>
          </w:tcPr>
          <w:p w14:paraId="07A4838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153F5D8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5EFDDC5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B294F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6CDFE06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A16E8E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5B4695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3D74FF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72DC8B3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EBA5D0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5D4390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6002603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94CC21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135B7EF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1BD6ED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40E368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8B50D6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15E3FEA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563274A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FE5B8A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2405122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931B7F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7B5ABC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2C79E9E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EAB743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547E03E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D2690E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7BDC898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081A73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2A59CCC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2D8E24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6970E99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42780F0F">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空间布局约束</w:t>
            </w:r>
          </w:p>
        </w:tc>
        <w:tc>
          <w:tcPr>
            <w:tcW w:w="2675" w:type="dxa"/>
            <w:noWrap w:val="0"/>
            <w:vAlign w:val="center"/>
          </w:tcPr>
          <w:p w14:paraId="4A26A00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合理开发高效利用水资源，建设节水型社会；优化土地利用布局与结构；优化产业空间布局，构建清洁能源体系</w:t>
            </w:r>
          </w:p>
        </w:tc>
        <w:tc>
          <w:tcPr>
            <w:tcW w:w="1879" w:type="dxa"/>
            <w:noWrap w:val="0"/>
            <w:vAlign w:val="center"/>
          </w:tcPr>
          <w:p w14:paraId="5469D6A2">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项目用地为医疗用地，不使用高污染能源。</w:t>
            </w:r>
          </w:p>
        </w:tc>
      </w:tr>
      <w:tr w14:paraId="58DC28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798" w:type="dxa"/>
            <w:vMerge w:val="continue"/>
            <w:noWrap w:val="0"/>
            <w:vAlign w:val="center"/>
          </w:tcPr>
          <w:p w14:paraId="369E9AD8">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YS5109232550001</w:t>
            </w:r>
          </w:p>
        </w:tc>
        <w:tc>
          <w:tcPr>
            <w:tcW w:w="1419" w:type="dxa"/>
            <w:vMerge w:val="continue"/>
            <w:noWrap w:val="0"/>
            <w:vAlign w:val="center"/>
          </w:tcPr>
          <w:p w14:paraId="1581972E">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大英县自然资源重点管控区</w:t>
            </w:r>
          </w:p>
        </w:tc>
        <w:tc>
          <w:tcPr>
            <w:tcW w:w="4585" w:type="dxa"/>
            <w:vMerge w:val="continue"/>
            <w:noWrap w:val="0"/>
            <w:vAlign w:val="top"/>
          </w:tcPr>
          <w:p w14:paraId="7885144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4ADB379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2313589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A3EFF0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0A1ECD0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651C1E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6C24D1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A6DA8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7E6117A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8FE303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61D018F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3147946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5DCBE1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2DE38EB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F1C9E4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421E4B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3BB4D6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7A4E00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6AC7E1F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7AA658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3FDCE5F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B74A1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3A0DA5B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0978B04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405F12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09F335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1DEDE6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20895B1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456AD5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6FC16DA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7336B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135281D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4A532554">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污染物排放管控</w:t>
            </w:r>
          </w:p>
        </w:tc>
        <w:tc>
          <w:tcPr>
            <w:tcW w:w="2675" w:type="dxa"/>
            <w:vMerge w:val="restart"/>
            <w:noWrap w:val="0"/>
            <w:vAlign w:val="center"/>
          </w:tcPr>
          <w:p w14:paraId="7C7C0E0B">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05A85971">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62AD3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98" w:type="dxa"/>
            <w:vMerge w:val="continue"/>
            <w:noWrap w:val="0"/>
            <w:vAlign w:val="center"/>
          </w:tcPr>
          <w:p w14:paraId="444D77B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YS5109232550001</w:t>
            </w:r>
          </w:p>
        </w:tc>
        <w:tc>
          <w:tcPr>
            <w:tcW w:w="1419" w:type="dxa"/>
            <w:vMerge w:val="continue"/>
            <w:noWrap w:val="0"/>
            <w:vAlign w:val="center"/>
          </w:tcPr>
          <w:p w14:paraId="3B89497B">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大英县自然资源重点管控区</w:t>
            </w:r>
          </w:p>
        </w:tc>
        <w:tc>
          <w:tcPr>
            <w:tcW w:w="4585" w:type="dxa"/>
            <w:vMerge w:val="continue"/>
            <w:noWrap w:val="0"/>
            <w:vAlign w:val="top"/>
          </w:tcPr>
          <w:p w14:paraId="5D2F3FD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506F906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6754E95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AD3C87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13E004B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DFC824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7D7AFE1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FBE908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4F2ADBB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718D2D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09C87F11">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33F375D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E2C359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5D3FDBA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2239FB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68ACE21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E9508EF">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7FFCAD5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1E5732F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84033B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0DCC0B9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C48312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0BAF23C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6BA85C0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26AEAB8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079D5C6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8DE960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4777747B">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A8A5C4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17A38DE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7456AEE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1C2EE98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3CC49702">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环境风险防控</w:t>
            </w:r>
          </w:p>
        </w:tc>
        <w:tc>
          <w:tcPr>
            <w:tcW w:w="2675" w:type="dxa"/>
            <w:vMerge w:val="continue"/>
            <w:noWrap w:val="0"/>
            <w:vAlign w:val="center"/>
          </w:tcPr>
          <w:p w14:paraId="5B3300F7">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c>
          <w:tcPr>
            <w:tcW w:w="1879" w:type="dxa"/>
            <w:noWrap w:val="0"/>
            <w:vAlign w:val="center"/>
          </w:tcPr>
          <w:p w14:paraId="5D5D2848">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w:t>
            </w:r>
          </w:p>
        </w:tc>
      </w:tr>
      <w:tr w14:paraId="4E52D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1798" w:type="dxa"/>
            <w:vMerge w:val="continue"/>
            <w:noWrap w:val="0"/>
            <w:vAlign w:val="center"/>
          </w:tcPr>
          <w:p w14:paraId="34AB4EE2">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YS5109232550001</w:t>
            </w:r>
          </w:p>
        </w:tc>
        <w:tc>
          <w:tcPr>
            <w:tcW w:w="1419" w:type="dxa"/>
            <w:vMerge w:val="continue"/>
            <w:noWrap w:val="0"/>
            <w:vAlign w:val="center"/>
          </w:tcPr>
          <w:p w14:paraId="3248D479">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大英县自然资源重点管控区</w:t>
            </w:r>
          </w:p>
        </w:tc>
        <w:tc>
          <w:tcPr>
            <w:tcW w:w="4585" w:type="dxa"/>
            <w:vMerge w:val="continue"/>
            <w:noWrap w:val="0"/>
            <w:vAlign w:val="top"/>
          </w:tcPr>
          <w:p w14:paraId="3AB5D8D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空间布局约束：</w:t>
            </w:r>
          </w:p>
          <w:p w14:paraId="2EF2EC2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禁止开发建设活动的要求</w:t>
            </w:r>
          </w:p>
          <w:p w14:paraId="2C72CF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2A3CD4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限制开发建设活动的要求</w:t>
            </w:r>
          </w:p>
          <w:p w14:paraId="0BE6784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4BBDBD52">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不符合空间布局要求活动的退出要求</w:t>
            </w:r>
          </w:p>
          <w:p w14:paraId="35ABA2BA">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01467B10">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其他空间布局约束要求</w:t>
            </w:r>
          </w:p>
          <w:p w14:paraId="22BA49E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A77EF6C">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污染物排放管控：</w:t>
            </w:r>
          </w:p>
          <w:p w14:paraId="030D510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允许排放量要求</w:t>
            </w:r>
          </w:p>
          <w:p w14:paraId="7265B3E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3D9878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现有源提标升级改造</w:t>
            </w:r>
          </w:p>
          <w:p w14:paraId="7689CF3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6F3F4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其他污染物排放管控要求</w:t>
            </w:r>
          </w:p>
          <w:p w14:paraId="5C839DD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3B89CE6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环境风险防控：</w:t>
            </w:r>
          </w:p>
          <w:p w14:paraId="6CBB11B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联防联控要求</w:t>
            </w:r>
          </w:p>
          <w:p w14:paraId="1C64F9D8">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F89562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其他环境风险防控要求</w:t>
            </w:r>
          </w:p>
          <w:p w14:paraId="305D92A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14CC387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资源开发利用效率要求：</w:t>
            </w:r>
          </w:p>
          <w:p w14:paraId="40BFB8B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水资源利用总量要求</w:t>
            </w:r>
          </w:p>
          <w:p w14:paraId="7C82357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603A9D17">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地下水开采要求</w:t>
            </w:r>
          </w:p>
          <w:p w14:paraId="4765A3A5">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F3A081D">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能源利用总量及效率要求</w:t>
            </w:r>
          </w:p>
          <w:p w14:paraId="60EDA486">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0DDFFB3">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禁燃区要求</w:t>
            </w:r>
          </w:p>
          <w:p w14:paraId="711F4EC4">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p w14:paraId="5356F10E">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其他资源利用效率要求</w:t>
            </w:r>
          </w:p>
          <w:p w14:paraId="463106F9">
            <w:pPr>
              <w:pStyle w:val="33"/>
              <w:widowControl w:val="0"/>
              <w:spacing w:line="240" w:lineRule="auto"/>
              <w:ind w:firstLine="0" w:firstLineChars="0"/>
              <w:jc w:val="both"/>
              <w:rPr>
                <w:rStyle w:val="22"/>
                <w:rFonts w:hint="default" w:ascii="Times New Roman" w:hAnsi="Times New Roman" w:eastAsia="宋体" w:cs="Times New Roman"/>
                <w:color w:val="auto"/>
                <w:kern w:val="0"/>
                <w:sz w:val="21"/>
                <w:szCs w:val="21"/>
                <w:lang w:val="en-US" w:eastAsia="zh-CN" w:bidi="ar-SA"/>
              </w:rPr>
            </w:pPr>
            <w:r>
              <w:rPr>
                <w:rStyle w:val="22"/>
                <w:rFonts w:hint="default" w:ascii="Times New Roman" w:hAnsi="Times New Roman" w:eastAsia="宋体" w:cs="Times New Roman"/>
                <w:color w:val="auto"/>
                <w:kern w:val="0"/>
                <w:sz w:val="21"/>
                <w:szCs w:val="21"/>
                <w:lang w:val="en-US" w:eastAsia="zh-CN" w:bidi="ar-SA"/>
              </w:rPr>
              <w:t>暂无</w:t>
            </w:r>
          </w:p>
        </w:tc>
        <w:tc>
          <w:tcPr>
            <w:tcW w:w="1500" w:type="dxa"/>
            <w:noWrap w:val="0"/>
            <w:vAlign w:val="center"/>
          </w:tcPr>
          <w:p w14:paraId="6419C58C">
            <w:pPr>
              <w:pStyle w:val="33"/>
              <w:widowControl/>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资源开发效率要求</w:t>
            </w:r>
          </w:p>
        </w:tc>
        <w:tc>
          <w:tcPr>
            <w:tcW w:w="2675" w:type="dxa"/>
            <w:noWrap w:val="0"/>
            <w:vAlign w:val="center"/>
          </w:tcPr>
          <w:p w14:paraId="1453C8F6">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土地资源开发效率要求</w:t>
            </w:r>
          </w:p>
          <w:p w14:paraId="2E42B399">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能源资源开发效率要求</w:t>
            </w:r>
          </w:p>
          <w:p w14:paraId="74729641">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其他资源开发效率要求</w:t>
            </w:r>
          </w:p>
        </w:tc>
        <w:tc>
          <w:tcPr>
            <w:tcW w:w="1879" w:type="dxa"/>
            <w:noWrap w:val="0"/>
            <w:vAlign w:val="center"/>
          </w:tcPr>
          <w:p w14:paraId="53D6E0F3">
            <w:pPr>
              <w:pStyle w:val="33"/>
              <w:widowControl/>
              <w:shd w:val="clear" w:color="auto" w:fill="FFFFFF"/>
              <w:spacing w:line="240" w:lineRule="auto"/>
              <w:ind w:firstLine="0" w:firstLineChars="0"/>
              <w:jc w:val="left"/>
              <w:rPr>
                <w:rStyle w:val="22"/>
                <w:rFonts w:hint="default" w:ascii="Times New Roman" w:hAnsi="Times New Roman" w:eastAsia="宋体" w:cs="Times New Roman"/>
                <w:color w:val="auto"/>
                <w:kern w:val="2"/>
                <w:sz w:val="21"/>
                <w:szCs w:val="21"/>
                <w:lang w:val="en-US" w:eastAsia="zh-CN" w:bidi="ar-SA"/>
              </w:rPr>
            </w:pPr>
            <w:r>
              <w:rPr>
                <w:rStyle w:val="22"/>
                <w:rFonts w:hint="default" w:ascii="Times New Roman" w:hAnsi="Times New Roman" w:eastAsia="宋体" w:cs="Times New Roman"/>
                <w:color w:val="auto"/>
                <w:kern w:val="2"/>
                <w:sz w:val="21"/>
                <w:szCs w:val="21"/>
                <w:lang w:val="en-US" w:eastAsia="zh-CN" w:bidi="ar-SA"/>
              </w:rPr>
              <w:t>项目用地为医疗用地，不使用高污染能源，在运营过程中消耗一定量的水、电、天然气资源，消耗量相对于区域资源利用总量较小。</w:t>
            </w:r>
          </w:p>
        </w:tc>
      </w:tr>
    </w:tbl>
    <w:p w14:paraId="5A1680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p>
    <w:p w14:paraId="2A930482">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9"/>
        <w:rPr>
          <w:rFonts w:hint="default" w:ascii="Times New Roman" w:hAnsi="Times New Roman" w:eastAsia="宋体" w:cs="Times New Roman"/>
          <w:b/>
          <w:bCs/>
          <w:color w:val="auto"/>
          <w:sz w:val="28"/>
          <w:szCs w:val="28"/>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DF55F95">
      <w:pPr>
        <w:pStyle w:val="6"/>
        <w:bidi w:val="0"/>
        <w:rPr>
          <w:rFonts w:hint="default" w:ascii="Times New Roman" w:hAnsi="Times New Roman" w:eastAsia="宋体" w:cs="Times New Roman"/>
          <w:color w:val="auto"/>
          <w:lang w:val="en-US"/>
        </w:rPr>
      </w:pPr>
      <w:bookmarkStart w:id="262" w:name="_Toc18247"/>
      <w:bookmarkStart w:id="263" w:name="_Toc12892"/>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评价因子与评价标准</w:t>
      </w:r>
      <w:bookmarkEnd w:id="262"/>
    </w:p>
    <w:p w14:paraId="02556608">
      <w:pPr>
        <w:pStyle w:val="7"/>
        <w:bidi w:val="0"/>
        <w:rPr>
          <w:rFonts w:hint="default" w:ascii="Times New Roman" w:hAnsi="Times New Roman" w:eastAsia="宋体" w:cs="Times New Roman"/>
          <w:color w:val="auto"/>
          <w:lang w:val="en-US" w:eastAsia="zh-CN"/>
        </w:rPr>
      </w:pPr>
      <w:bookmarkStart w:id="264" w:name="_Toc9357"/>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.1</w:t>
      </w:r>
      <w:r>
        <w:rPr>
          <w:rFonts w:hint="default" w:ascii="Times New Roman" w:hAnsi="Times New Roman" w:cs="Times New Roman"/>
          <w:color w:val="auto"/>
          <w:highlight w:val="none"/>
          <w:lang w:eastAsia="zh-CN"/>
        </w:rPr>
        <w:t>环境影响因素识别</w:t>
      </w:r>
      <w:bookmarkEnd w:id="264"/>
    </w:p>
    <w:p w14:paraId="67FA8B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项目施工期和运行期对周围环境产生影响的主要因素是废气、废水、噪声及固体废物，影响对象是环境空气、地表水、地下水、声环境、土壤环境</w:t>
      </w:r>
      <w:r>
        <w:rPr>
          <w:rFonts w:hint="eastAsia" w:ascii="Times New Roman" w:hAnsi="Times New Roman" w:eastAsia="宋体" w:cs="Times New Roman"/>
          <w:color w:val="auto"/>
          <w:kern w:val="0"/>
          <w:sz w:val="24"/>
          <w:szCs w:val="24"/>
          <w:lang w:val="en-US" w:eastAsia="zh-CN" w:bidi="ar"/>
        </w:rPr>
        <w:t>及项目</w:t>
      </w:r>
      <w:r>
        <w:rPr>
          <w:rFonts w:hint="default" w:ascii="Times New Roman" w:hAnsi="Times New Roman" w:eastAsia="宋体" w:cs="Times New Roman"/>
          <w:color w:val="auto"/>
          <w:kern w:val="0"/>
          <w:sz w:val="24"/>
          <w:szCs w:val="24"/>
          <w:lang w:val="en-US" w:eastAsia="zh-CN" w:bidi="ar"/>
        </w:rPr>
        <w:t>附近的居民等。</w:t>
      </w:r>
    </w:p>
    <w:p w14:paraId="4B51E9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根据对项目的工程分析，将其主要排污环节与环境影响要素及污染因子分析结果列于下表；利用矩阵法进行环境影响要素识别。</w:t>
      </w:r>
    </w:p>
    <w:p w14:paraId="7E64816D">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 xml:space="preserve">表1.5-1  </w:t>
      </w:r>
      <w:r>
        <w:rPr>
          <w:rFonts w:hint="default" w:ascii="Times New Roman" w:hAnsi="Times New Roman" w:cs="Times New Roman"/>
          <w:b/>
          <w:bCs/>
          <w:color w:val="auto"/>
          <w:sz w:val="21"/>
          <w:szCs w:val="21"/>
          <w:highlight w:val="none"/>
          <w:lang w:eastAsia="zh-CN"/>
        </w:rPr>
        <w:t>项目排污环节与环境要素及污染因子分析</w:t>
      </w:r>
    </w:p>
    <w:tbl>
      <w:tblPr>
        <w:tblStyle w:val="21"/>
        <w:tblW w:w="87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062"/>
        <w:gridCol w:w="2130"/>
        <w:gridCol w:w="1740"/>
        <w:gridCol w:w="1455"/>
        <w:gridCol w:w="1485"/>
      </w:tblGrid>
      <w:tr w14:paraId="38CA9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4" w:hRule="atLeast"/>
          <w:jc w:val="center"/>
        </w:trPr>
        <w:tc>
          <w:tcPr>
            <w:tcW w:w="1914" w:type="dxa"/>
            <w:gridSpan w:val="2"/>
            <w:tcBorders>
              <w:tl2br w:val="single" w:color="auto" w:sz="4" w:space="0"/>
            </w:tcBorders>
            <w:shd w:val="clear" w:color="auto" w:fill="D7D7D7" w:themeFill="background1" w:themeFillShade="D8"/>
            <w:vAlign w:val="center"/>
          </w:tcPr>
          <w:p w14:paraId="24B95FD8">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eastAsia="zh-CN"/>
              </w:rPr>
              <w:t>环境要素</w:t>
            </w:r>
          </w:p>
          <w:p w14:paraId="52B9040A">
            <w:pPr>
              <w:topLinePunct/>
              <w:spacing w:line="240" w:lineRule="auto"/>
              <w:ind w:firstLine="0" w:firstLineChars="0"/>
              <w:jc w:val="left"/>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排污环节</w:t>
            </w:r>
          </w:p>
        </w:tc>
        <w:tc>
          <w:tcPr>
            <w:tcW w:w="2130" w:type="dxa"/>
            <w:shd w:val="clear" w:color="auto" w:fill="D7D7D7" w:themeFill="background1" w:themeFillShade="D8"/>
            <w:vAlign w:val="center"/>
          </w:tcPr>
          <w:p w14:paraId="3EF97090">
            <w:pPr>
              <w:topLinePunct/>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废气</w:t>
            </w:r>
          </w:p>
        </w:tc>
        <w:tc>
          <w:tcPr>
            <w:tcW w:w="1740" w:type="dxa"/>
            <w:shd w:val="clear" w:color="auto" w:fill="D7D7D7" w:themeFill="background1" w:themeFillShade="D8"/>
            <w:vAlign w:val="center"/>
          </w:tcPr>
          <w:p w14:paraId="7BEDA994">
            <w:pPr>
              <w:topLinePunct/>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废水</w:t>
            </w:r>
          </w:p>
        </w:tc>
        <w:tc>
          <w:tcPr>
            <w:tcW w:w="1455" w:type="dxa"/>
            <w:shd w:val="clear" w:color="auto" w:fill="D7D7D7" w:themeFill="background1" w:themeFillShade="D8"/>
            <w:vAlign w:val="center"/>
          </w:tcPr>
          <w:p w14:paraId="6E6A1108">
            <w:pPr>
              <w:topLinePunct/>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噪声</w:t>
            </w:r>
          </w:p>
        </w:tc>
        <w:tc>
          <w:tcPr>
            <w:tcW w:w="1485" w:type="dxa"/>
            <w:shd w:val="clear" w:color="auto" w:fill="D7D7D7" w:themeFill="background1" w:themeFillShade="D8"/>
            <w:vAlign w:val="center"/>
          </w:tcPr>
          <w:p w14:paraId="6F3B7354">
            <w:pPr>
              <w:topLinePunct/>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固废</w:t>
            </w:r>
          </w:p>
        </w:tc>
      </w:tr>
      <w:tr w14:paraId="26111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vAlign w:val="center"/>
          </w:tcPr>
          <w:p w14:paraId="610778C1">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施工期</w:t>
            </w:r>
          </w:p>
        </w:tc>
        <w:tc>
          <w:tcPr>
            <w:tcW w:w="1062" w:type="dxa"/>
            <w:vAlign w:val="center"/>
          </w:tcPr>
          <w:p w14:paraId="119B11CF">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土建</w:t>
            </w:r>
          </w:p>
        </w:tc>
        <w:tc>
          <w:tcPr>
            <w:tcW w:w="2130" w:type="dxa"/>
            <w:vAlign w:val="center"/>
          </w:tcPr>
          <w:p w14:paraId="6ECC6D6C">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740" w:type="dxa"/>
            <w:vAlign w:val="center"/>
          </w:tcPr>
          <w:p w14:paraId="5D15FE43">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1455" w:type="dxa"/>
            <w:vAlign w:val="center"/>
          </w:tcPr>
          <w:p w14:paraId="628262AD">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机械噪声</w:t>
            </w:r>
          </w:p>
        </w:tc>
        <w:tc>
          <w:tcPr>
            <w:tcW w:w="1485" w:type="dxa"/>
            <w:vAlign w:val="center"/>
          </w:tcPr>
          <w:p w14:paraId="1947C1ED">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弃渣</w:t>
            </w:r>
          </w:p>
        </w:tc>
      </w:tr>
      <w:tr w14:paraId="2307E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14:paraId="60AF229E">
            <w:pPr>
              <w:topLinePunct/>
              <w:spacing w:line="240" w:lineRule="auto"/>
              <w:ind w:firstLine="0" w:firstLineChars="0"/>
              <w:jc w:val="center"/>
              <w:rPr>
                <w:rFonts w:hint="default" w:ascii="Times New Roman" w:hAnsi="Times New Roman" w:cs="Times New Roman"/>
                <w:color w:val="auto"/>
                <w:sz w:val="21"/>
                <w:szCs w:val="21"/>
                <w:highlight w:val="none"/>
              </w:rPr>
            </w:pPr>
          </w:p>
        </w:tc>
        <w:tc>
          <w:tcPr>
            <w:tcW w:w="1062" w:type="dxa"/>
            <w:vAlign w:val="center"/>
          </w:tcPr>
          <w:p w14:paraId="49AA083C">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机械</w:t>
            </w:r>
          </w:p>
        </w:tc>
        <w:tc>
          <w:tcPr>
            <w:tcW w:w="2130" w:type="dxa"/>
            <w:vAlign w:val="center"/>
          </w:tcPr>
          <w:p w14:paraId="25B9F48E">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CO、NO</w:t>
            </w:r>
            <w:r>
              <w:rPr>
                <w:rFonts w:hint="default" w:ascii="Times New Roman" w:hAnsi="Times New Roman" w:cs="Times New Roman"/>
                <w:color w:val="auto"/>
                <w:sz w:val="21"/>
                <w:szCs w:val="21"/>
                <w:highlight w:val="none"/>
                <w:vertAlign w:val="subscript"/>
                <w:lang w:val="en-US" w:eastAsia="zh-CN"/>
              </w:rPr>
              <w:t>X</w:t>
            </w:r>
          </w:p>
        </w:tc>
        <w:tc>
          <w:tcPr>
            <w:tcW w:w="1740" w:type="dxa"/>
            <w:vAlign w:val="center"/>
          </w:tcPr>
          <w:p w14:paraId="36BF29FC">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石油类</w:t>
            </w:r>
          </w:p>
        </w:tc>
        <w:tc>
          <w:tcPr>
            <w:tcW w:w="1455" w:type="dxa"/>
            <w:vAlign w:val="center"/>
          </w:tcPr>
          <w:p w14:paraId="13CF1E7C">
            <w:pPr>
              <w:topLinePunct/>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机械噪声</w:t>
            </w:r>
          </w:p>
        </w:tc>
        <w:tc>
          <w:tcPr>
            <w:tcW w:w="1485" w:type="dxa"/>
            <w:vAlign w:val="center"/>
          </w:tcPr>
          <w:p w14:paraId="779C711A">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8ACB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14:paraId="63510299">
            <w:pPr>
              <w:topLinePunct/>
              <w:spacing w:line="240" w:lineRule="auto"/>
              <w:ind w:firstLine="0" w:firstLineChars="0"/>
              <w:jc w:val="center"/>
              <w:rPr>
                <w:rFonts w:hint="default" w:ascii="Times New Roman" w:hAnsi="Times New Roman" w:cs="Times New Roman"/>
                <w:color w:val="auto"/>
                <w:sz w:val="21"/>
                <w:szCs w:val="21"/>
                <w:highlight w:val="none"/>
              </w:rPr>
            </w:pPr>
          </w:p>
        </w:tc>
        <w:tc>
          <w:tcPr>
            <w:tcW w:w="1062" w:type="dxa"/>
            <w:vAlign w:val="center"/>
          </w:tcPr>
          <w:p w14:paraId="75EDFD35">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运输</w:t>
            </w:r>
          </w:p>
        </w:tc>
        <w:tc>
          <w:tcPr>
            <w:tcW w:w="2130" w:type="dxa"/>
            <w:vAlign w:val="center"/>
          </w:tcPr>
          <w:p w14:paraId="7B92A59B">
            <w:pPr>
              <w:topLinePunct/>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颗粒物、CO、NO</w:t>
            </w:r>
            <w:r>
              <w:rPr>
                <w:rFonts w:hint="default" w:ascii="Times New Roman" w:hAnsi="Times New Roman" w:cs="Times New Roman"/>
                <w:color w:val="auto"/>
                <w:sz w:val="21"/>
                <w:szCs w:val="21"/>
                <w:highlight w:val="none"/>
                <w:vertAlign w:val="subscript"/>
                <w:lang w:val="en-US" w:eastAsia="zh-CN"/>
              </w:rPr>
              <w:t>X</w:t>
            </w:r>
          </w:p>
        </w:tc>
        <w:tc>
          <w:tcPr>
            <w:tcW w:w="1740" w:type="dxa"/>
            <w:vAlign w:val="center"/>
          </w:tcPr>
          <w:p w14:paraId="33F41A46">
            <w:pPr>
              <w:topLinePunct/>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石油类</w:t>
            </w:r>
          </w:p>
        </w:tc>
        <w:tc>
          <w:tcPr>
            <w:tcW w:w="1455" w:type="dxa"/>
            <w:vAlign w:val="center"/>
          </w:tcPr>
          <w:p w14:paraId="0573424B">
            <w:pPr>
              <w:topLinePunct/>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机械噪声</w:t>
            </w:r>
          </w:p>
        </w:tc>
        <w:tc>
          <w:tcPr>
            <w:tcW w:w="1485" w:type="dxa"/>
            <w:vAlign w:val="center"/>
          </w:tcPr>
          <w:p w14:paraId="4A1BEB2B">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EA7E6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14:paraId="36BB7EBA">
            <w:pPr>
              <w:topLinePunct/>
              <w:spacing w:line="240" w:lineRule="auto"/>
              <w:ind w:firstLine="0" w:firstLineChars="0"/>
              <w:jc w:val="center"/>
              <w:rPr>
                <w:rFonts w:hint="default" w:ascii="Times New Roman" w:hAnsi="Times New Roman" w:cs="Times New Roman"/>
                <w:color w:val="auto"/>
                <w:sz w:val="21"/>
                <w:szCs w:val="21"/>
                <w:highlight w:val="none"/>
              </w:rPr>
            </w:pPr>
          </w:p>
        </w:tc>
        <w:tc>
          <w:tcPr>
            <w:tcW w:w="1062" w:type="dxa"/>
            <w:vAlign w:val="center"/>
          </w:tcPr>
          <w:p w14:paraId="60CA1BCA">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人员</w:t>
            </w:r>
          </w:p>
        </w:tc>
        <w:tc>
          <w:tcPr>
            <w:tcW w:w="2130" w:type="dxa"/>
            <w:vAlign w:val="center"/>
          </w:tcPr>
          <w:p w14:paraId="329EF939">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40" w:type="dxa"/>
            <w:vAlign w:val="center"/>
          </w:tcPr>
          <w:p w14:paraId="6D148D04">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COD、SS等</w:t>
            </w:r>
          </w:p>
        </w:tc>
        <w:tc>
          <w:tcPr>
            <w:tcW w:w="1455" w:type="dxa"/>
            <w:vAlign w:val="center"/>
          </w:tcPr>
          <w:p w14:paraId="02FBEAAA">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人声</w:t>
            </w:r>
          </w:p>
        </w:tc>
        <w:tc>
          <w:tcPr>
            <w:tcW w:w="1485" w:type="dxa"/>
            <w:vAlign w:val="center"/>
          </w:tcPr>
          <w:p w14:paraId="762A7CE2">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生活垃圾</w:t>
            </w:r>
          </w:p>
        </w:tc>
      </w:tr>
      <w:tr w14:paraId="5FF02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16E96953">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运营期</w:t>
            </w:r>
          </w:p>
        </w:tc>
        <w:tc>
          <w:tcPr>
            <w:tcW w:w="1062" w:type="dxa"/>
            <w:vAlign w:val="center"/>
          </w:tcPr>
          <w:p w14:paraId="73363553">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运营期</w:t>
            </w:r>
          </w:p>
        </w:tc>
        <w:tc>
          <w:tcPr>
            <w:tcW w:w="2130" w:type="dxa"/>
            <w:vAlign w:val="center"/>
          </w:tcPr>
          <w:p w14:paraId="4A9BC4D4">
            <w:pPr>
              <w:topLinePunct/>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氨、硫化氢、</w:t>
            </w:r>
            <w:r>
              <w:rPr>
                <w:rFonts w:hint="default" w:ascii="Times New Roman" w:hAnsi="Times New Roman" w:cs="Times New Roman"/>
                <w:color w:val="auto"/>
                <w:sz w:val="21"/>
                <w:szCs w:val="21"/>
                <w:highlight w:val="none"/>
                <w:lang w:val="en-US" w:eastAsia="zh-CN"/>
              </w:rPr>
              <w:t>颗粒物、SO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、NO</w:t>
            </w:r>
            <w:r>
              <w:rPr>
                <w:rFonts w:hint="default" w:ascii="Times New Roman" w:hAnsi="Times New Roman" w:cs="Times New Roman"/>
                <w:color w:val="auto"/>
                <w:sz w:val="21"/>
                <w:szCs w:val="21"/>
                <w:highlight w:val="none"/>
                <w:vertAlign w:val="subscript"/>
                <w:lang w:val="en-US" w:eastAsia="zh-CN"/>
              </w:rPr>
              <w:t>X</w:t>
            </w:r>
          </w:p>
        </w:tc>
        <w:tc>
          <w:tcPr>
            <w:tcW w:w="1740" w:type="dxa"/>
            <w:vAlign w:val="center"/>
          </w:tcPr>
          <w:p w14:paraId="4645A26A">
            <w:pPr>
              <w:topLinePunct/>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COD、SS、总磷、氨氮</w:t>
            </w:r>
            <w:r>
              <w:rPr>
                <w:rFonts w:hint="eastAsia" w:ascii="Times New Roman" w:hAnsi="Times New Roman" w:cs="Times New Roman"/>
                <w:color w:val="auto"/>
                <w:sz w:val="21"/>
                <w:szCs w:val="21"/>
                <w:highlight w:val="none"/>
                <w:lang w:val="en-US" w:eastAsia="zh-CN"/>
              </w:rPr>
              <w:t>、粪大肠杆菌</w:t>
            </w:r>
            <w:r>
              <w:rPr>
                <w:rFonts w:hint="default" w:ascii="Times New Roman" w:hAnsi="Times New Roman" w:cs="Times New Roman"/>
                <w:color w:val="auto"/>
                <w:sz w:val="21"/>
                <w:szCs w:val="21"/>
                <w:highlight w:val="none"/>
                <w:lang w:val="en-US" w:eastAsia="zh-CN"/>
              </w:rPr>
              <w:t>等</w:t>
            </w:r>
          </w:p>
        </w:tc>
        <w:tc>
          <w:tcPr>
            <w:tcW w:w="1455" w:type="dxa"/>
            <w:vAlign w:val="center"/>
          </w:tcPr>
          <w:p w14:paraId="1DE2CBB1">
            <w:pPr>
              <w:topLinePunct/>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设备噪声</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人员噪声</w:t>
            </w:r>
          </w:p>
        </w:tc>
        <w:tc>
          <w:tcPr>
            <w:tcW w:w="1485" w:type="dxa"/>
            <w:vAlign w:val="center"/>
          </w:tcPr>
          <w:p w14:paraId="7517DB3E">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医疗废物</w:t>
            </w:r>
            <w:r>
              <w:rPr>
                <w:rFonts w:hint="default" w:ascii="Times New Roman" w:hAnsi="Times New Roman" w:cs="Times New Roman"/>
                <w:color w:val="auto"/>
                <w:sz w:val="21"/>
                <w:szCs w:val="21"/>
                <w:highlight w:val="none"/>
                <w:lang w:eastAsia="zh-CN"/>
              </w:rPr>
              <w:t>、污泥、生活垃圾</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lang w:eastAsia="zh-CN"/>
              </w:rPr>
              <w:t>等</w:t>
            </w:r>
          </w:p>
        </w:tc>
      </w:tr>
      <w:tr w14:paraId="407369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gridSpan w:val="2"/>
            <w:vAlign w:val="center"/>
          </w:tcPr>
          <w:p w14:paraId="362A87B5">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环境风险</w:t>
            </w:r>
          </w:p>
        </w:tc>
        <w:tc>
          <w:tcPr>
            <w:tcW w:w="6810" w:type="dxa"/>
            <w:gridSpan w:val="4"/>
            <w:vAlign w:val="center"/>
          </w:tcPr>
          <w:p w14:paraId="45519860">
            <w:pPr>
              <w:topLinePunct/>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甲醇、危废废物等泄漏</w:t>
            </w:r>
          </w:p>
        </w:tc>
      </w:tr>
    </w:tbl>
    <w:p w14:paraId="2EE409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1.5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项目建设对环境要素影响分析</w:t>
      </w:r>
    </w:p>
    <w:tbl>
      <w:tblPr>
        <w:tblStyle w:val="21"/>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170"/>
        <w:gridCol w:w="1284"/>
        <w:gridCol w:w="1704"/>
        <w:gridCol w:w="1705"/>
        <w:gridCol w:w="1705"/>
      </w:tblGrid>
      <w:tr w14:paraId="1776D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shd w:val="clear" w:color="auto" w:fill="D7D7D7" w:themeFill="background1" w:themeFillShade="D8"/>
            <w:vAlign w:val="center"/>
          </w:tcPr>
          <w:p w14:paraId="2C52CB8B">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时期</w:t>
            </w:r>
          </w:p>
        </w:tc>
        <w:tc>
          <w:tcPr>
            <w:tcW w:w="2454" w:type="dxa"/>
            <w:gridSpan w:val="2"/>
            <w:shd w:val="clear" w:color="auto" w:fill="D7D7D7" w:themeFill="background1" w:themeFillShade="D8"/>
            <w:vAlign w:val="center"/>
          </w:tcPr>
          <w:p w14:paraId="6BA803B8">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要素</w:t>
            </w:r>
          </w:p>
        </w:tc>
        <w:tc>
          <w:tcPr>
            <w:tcW w:w="1704" w:type="dxa"/>
            <w:shd w:val="clear" w:color="auto" w:fill="D7D7D7" w:themeFill="background1" w:themeFillShade="D8"/>
            <w:vAlign w:val="center"/>
          </w:tcPr>
          <w:p w14:paraId="58595689">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有利影响</w:t>
            </w:r>
          </w:p>
        </w:tc>
        <w:tc>
          <w:tcPr>
            <w:tcW w:w="1705" w:type="dxa"/>
            <w:shd w:val="clear" w:color="auto" w:fill="D7D7D7" w:themeFill="background1" w:themeFillShade="D8"/>
            <w:vAlign w:val="center"/>
          </w:tcPr>
          <w:p w14:paraId="0B118440">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不利影响</w:t>
            </w:r>
          </w:p>
        </w:tc>
        <w:tc>
          <w:tcPr>
            <w:tcW w:w="1705" w:type="dxa"/>
            <w:shd w:val="clear" w:color="auto" w:fill="D7D7D7" w:themeFill="background1" w:themeFillShade="D8"/>
            <w:vAlign w:val="center"/>
          </w:tcPr>
          <w:p w14:paraId="256EF78A">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综合影响</w:t>
            </w:r>
          </w:p>
        </w:tc>
      </w:tr>
      <w:tr w14:paraId="119D9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restart"/>
            <w:vAlign w:val="center"/>
          </w:tcPr>
          <w:p w14:paraId="565EAE02">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施工期</w:t>
            </w:r>
          </w:p>
        </w:tc>
        <w:tc>
          <w:tcPr>
            <w:tcW w:w="1170" w:type="dxa"/>
            <w:vMerge w:val="restart"/>
            <w:vAlign w:val="center"/>
          </w:tcPr>
          <w:p w14:paraId="39E6555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自然环境</w:t>
            </w:r>
          </w:p>
        </w:tc>
        <w:tc>
          <w:tcPr>
            <w:tcW w:w="1284" w:type="dxa"/>
            <w:vAlign w:val="center"/>
          </w:tcPr>
          <w:p w14:paraId="673F740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地形地貌</w:t>
            </w:r>
          </w:p>
        </w:tc>
        <w:tc>
          <w:tcPr>
            <w:tcW w:w="1704" w:type="dxa"/>
            <w:vAlign w:val="center"/>
          </w:tcPr>
          <w:p w14:paraId="1E72850D">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6EA9715E">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3B40EC9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4EBDE4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vAlign w:val="center"/>
          </w:tcPr>
          <w:p w14:paraId="5A85C06B">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2C962EB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67DB7F74">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土地资源</w:t>
            </w:r>
          </w:p>
        </w:tc>
        <w:tc>
          <w:tcPr>
            <w:tcW w:w="1704" w:type="dxa"/>
            <w:vAlign w:val="center"/>
          </w:tcPr>
          <w:p w14:paraId="568C9F83">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4A9B22D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498E75F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05112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6078FEE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restart"/>
            <w:vAlign w:val="center"/>
          </w:tcPr>
          <w:p w14:paraId="18F062C5">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生态环境</w:t>
            </w:r>
          </w:p>
        </w:tc>
        <w:tc>
          <w:tcPr>
            <w:tcW w:w="1284" w:type="dxa"/>
            <w:vAlign w:val="center"/>
          </w:tcPr>
          <w:p w14:paraId="2E4359DC">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植被</w:t>
            </w:r>
          </w:p>
        </w:tc>
        <w:tc>
          <w:tcPr>
            <w:tcW w:w="1704" w:type="dxa"/>
            <w:vAlign w:val="center"/>
          </w:tcPr>
          <w:p w14:paraId="6EBEB517">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55545E9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0CA687D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2C797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7ADE27B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5E5132A8">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2EA2CD4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土地利用</w:t>
            </w:r>
          </w:p>
        </w:tc>
        <w:tc>
          <w:tcPr>
            <w:tcW w:w="1704" w:type="dxa"/>
            <w:vAlign w:val="center"/>
          </w:tcPr>
          <w:p w14:paraId="5A043D71">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37AB679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7E548E8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12DE09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954" w:type="dxa"/>
            <w:vMerge w:val="continue"/>
            <w:vAlign w:val="center"/>
          </w:tcPr>
          <w:p w14:paraId="42E71B1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52CC44E7">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0C8ED72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水土流失</w:t>
            </w:r>
          </w:p>
        </w:tc>
        <w:tc>
          <w:tcPr>
            <w:tcW w:w="1704" w:type="dxa"/>
            <w:vAlign w:val="center"/>
          </w:tcPr>
          <w:p w14:paraId="44292829">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56E74C59">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2D83E75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1B3ABA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1B99BA7A">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Align w:val="center"/>
          </w:tcPr>
          <w:p w14:paraId="6C599BEC">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社会环境</w:t>
            </w:r>
          </w:p>
        </w:tc>
        <w:tc>
          <w:tcPr>
            <w:tcW w:w="1284" w:type="dxa"/>
            <w:vAlign w:val="center"/>
          </w:tcPr>
          <w:p w14:paraId="2D355999">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交通运输</w:t>
            </w:r>
          </w:p>
        </w:tc>
        <w:tc>
          <w:tcPr>
            <w:tcW w:w="1704" w:type="dxa"/>
            <w:vAlign w:val="center"/>
          </w:tcPr>
          <w:p w14:paraId="4892E087">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24266AC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2C8772F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23F448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restart"/>
            <w:vAlign w:val="center"/>
          </w:tcPr>
          <w:p w14:paraId="7B74860A">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运营期</w:t>
            </w:r>
          </w:p>
        </w:tc>
        <w:tc>
          <w:tcPr>
            <w:tcW w:w="1170" w:type="dxa"/>
            <w:vMerge w:val="restart"/>
            <w:vAlign w:val="center"/>
          </w:tcPr>
          <w:p w14:paraId="3BF5BA48">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环境质量</w:t>
            </w:r>
          </w:p>
        </w:tc>
        <w:tc>
          <w:tcPr>
            <w:tcW w:w="1284" w:type="dxa"/>
            <w:vAlign w:val="center"/>
          </w:tcPr>
          <w:p w14:paraId="7CB6950C">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大气</w:t>
            </w:r>
          </w:p>
        </w:tc>
        <w:tc>
          <w:tcPr>
            <w:tcW w:w="1704" w:type="dxa"/>
            <w:vAlign w:val="center"/>
          </w:tcPr>
          <w:p w14:paraId="04613453">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0F6ED8B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p>
        </w:tc>
        <w:tc>
          <w:tcPr>
            <w:tcW w:w="1705" w:type="dxa"/>
            <w:vAlign w:val="center"/>
          </w:tcPr>
          <w:p w14:paraId="2852608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-M</w:t>
            </w:r>
          </w:p>
        </w:tc>
      </w:tr>
      <w:tr w14:paraId="4DAFFB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3A16AEB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0306C873">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67AB7918">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地表水</w:t>
            </w:r>
          </w:p>
        </w:tc>
        <w:tc>
          <w:tcPr>
            <w:tcW w:w="1704" w:type="dxa"/>
            <w:vAlign w:val="center"/>
          </w:tcPr>
          <w:p w14:paraId="166974B1">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25BEB46D">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387CC27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64D2D3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6B668047">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2E104AE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77838BD9">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声环境</w:t>
            </w:r>
          </w:p>
        </w:tc>
        <w:tc>
          <w:tcPr>
            <w:tcW w:w="1704" w:type="dxa"/>
            <w:vAlign w:val="center"/>
          </w:tcPr>
          <w:p w14:paraId="091A1EBD">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2FE3B0D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3B180EAF">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01E44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4" w:type="dxa"/>
            <w:vMerge w:val="continue"/>
            <w:vAlign w:val="center"/>
          </w:tcPr>
          <w:p w14:paraId="6CF6E9B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3D3F501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26159577">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地下水</w:t>
            </w:r>
          </w:p>
        </w:tc>
        <w:tc>
          <w:tcPr>
            <w:tcW w:w="1704" w:type="dxa"/>
            <w:vAlign w:val="center"/>
          </w:tcPr>
          <w:p w14:paraId="1DDC8BBB">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69062D2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505C1CB3">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r w14:paraId="2A55A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vAlign w:val="center"/>
          </w:tcPr>
          <w:p w14:paraId="4E9F4A2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170" w:type="dxa"/>
            <w:vMerge w:val="continue"/>
            <w:vAlign w:val="center"/>
          </w:tcPr>
          <w:p w14:paraId="684F52B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284" w:type="dxa"/>
            <w:vAlign w:val="center"/>
          </w:tcPr>
          <w:p w14:paraId="084ADB5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土壤</w:t>
            </w:r>
          </w:p>
        </w:tc>
        <w:tc>
          <w:tcPr>
            <w:tcW w:w="1704" w:type="dxa"/>
            <w:vAlign w:val="center"/>
          </w:tcPr>
          <w:p w14:paraId="0B1A9E44">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05" w:type="dxa"/>
            <w:vAlign w:val="center"/>
          </w:tcPr>
          <w:p w14:paraId="7FF8C5F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c>
          <w:tcPr>
            <w:tcW w:w="1705" w:type="dxa"/>
            <w:vAlign w:val="center"/>
          </w:tcPr>
          <w:p w14:paraId="2D57C8F8">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-S</w:t>
            </w:r>
          </w:p>
        </w:tc>
      </w:tr>
    </w:tbl>
    <w:p w14:paraId="5080FBFB">
      <w:pPr>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注：表中“+、-”分别表示</w:t>
      </w:r>
      <w:r>
        <w:rPr>
          <w:rFonts w:hint="default" w:ascii="Times New Roman" w:hAnsi="Times New Roman" w:eastAsia="宋体" w:cs="Times New Roman"/>
          <w:color w:val="auto"/>
          <w:sz w:val="21"/>
          <w:szCs w:val="21"/>
          <w:highlight w:val="none"/>
        </w:rPr>
        <w:t>有利影响和不利影响，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L、M、S</w:t>
      </w:r>
      <w:r>
        <w:rPr>
          <w:rFonts w:hint="default" w:ascii="Times New Roman" w:hAnsi="Times New Roman" w:cs="Times New Roman"/>
          <w:color w:val="auto"/>
          <w:sz w:val="21"/>
          <w:szCs w:val="21"/>
          <w:highlight w:val="none"/>
          <w:lang w:eastAsia="zh-CN"/>
        </w:rPr>
        <w:t>”分别表示影响程度，大、中、小。</w:t>
      </w:r>
    </w:p>
    <w:p w14:paraId="46D1DC33">
      <w:pPr>
        <w:topLinePunct/>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1.5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项目对环境要素影响性质分析</w:t>
      </w:r>
    </w:p>
    <w:tbl>
      <w:tblPr>
        <w:tblStyle w:val="21"/>
        <w:tblW w:w="86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065"/>
        <w:gridCol w:w="1065"/>
        <w:gridCol w:w="1065"/>
        <w:gridCol w:w="1065"/>
        <w:gridCol w:w="1284"/>
        <w:gridCol w:w="1080"/>
        <w:gridCol w:w="1127"/>
      </w:tblGrid>
      <w:tr w14:paraId="22EB6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 w:type="dxa"/>
            <w:shd w:val="clear" w:color="auto" w:fill="D7D7D7" w:themeFill="background1" w:themeFillShade="D8"/>
            <w:vAlign w:val="center"/>
          </w:tcPr>
          <w:p w14:paraId="0123B9F6">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时段</w:t>
            </w:r>
          </w:p>
        </w:tc>
        <w:tc>
          <w:tcPr>
            <w:tcW w:w="1065" w:type="dxa"/>
            <w:shd w:val="clear" w:color="auto" w:fill="D7D7D7" w:themeFill="background1" w:themeFillShade="D8"/>
            <w:vAlign w:val="center"/>
          </w:tcPr>
          <w:p w14:paraId="623E77E7">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环境要素</w:t>
            </w:r>
          </w:p>
        </w:tc>
        <w:tc>
          <w:tcPr>
            <w:tcW w:w="1065" w:type="dxa"/>
            <w:shd w:val="clear" w:color="auto" w:fill="D7D7D7" w:themeFill="background1" w:themeFillShade="D8"/>
            <w:vAlign w:val="center"/>
          </w:tcPr>
          <w:p w14:paraId="1E37B33F">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短期影响</w:t>
            </w:r>
          </w:p>
        </w:tc>
        <w:tc>
          <w:tcPr>
            <w:tcW w:w="1065" w:type="dxa"/>
            <w:shd w:val="clear" w:color="auto" w:fill="D7D7D7" w:themeFill="background1" w:themeFillShade="D8"/>
            <w:vAlign w:val="center"/>
          </w:tcPr>
          <w:p w14:paraId="79462B9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长期影响</w:t>
            </w:r>
          </w:p>
        </w:tc>
        <w:tc>
          <w:tcPr>
            <w:tcW w:w="1065" w:type="dxa"/>
            <w:shd w:val="clear" w:color="auto" w:fill="D7D7D7" w:themeFill="background1" w:themeFillShade="D8"/>
            <w:vAlign w:val="center"/>
          </w:tcPr>
          <w:p w14:paraId="64140B9D">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可逆影响</w:t>
            </w:r>
          </w:p>
        </w:tc>
        <w:tc>
          <w:tcPr>
            <w:tcW w:w="1284" w:type="dxa"/>
            <w:shd w:val="clear" w:color="auto" w:fill="D7D7D7" w:themeFill="background1" w:themeFillShade="D8"/>
            <w:vAlign w:val="center"/>
          </w:tcPr>
          <w:p w14:paraId="475E938C">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不可逆影响</w:t>
            </w:r>
          </w:p>
        </w:tc>
        <w:tc>
          <w:tcPr>
            <w:tcW w:w="1080" w:type="dxa"/>
            <w:shd w:val="clear" w:color="auto" w:fill="D7D7D7" w:themeFill="background1" w:themeFillShade="D8"/>
            <w:vAlign w:val="center"/>
          </w:tcPr>
          <w:p w14:paraId="5301DBDE">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直接影响</w:t>
            </w:r>
          </w:p>
        </w:tc>
        <w:tc>
          <w:tcPr>
            <w:tcW w:w="1127" w:type="dxa"/>
            <w:shd w:val="clear" w:color="auto" w:fill="D7D7D7" w:themeFill="background1" w:themeFillShade="D8"/>
            <w:vAlign w:val="center"/>
          </w:tcPr>
          <w:p w14:paraId="466246E8">
            <w:pPr>
              <w:topLinePunct/>
              <w:spacing w:line="240" w:lineRule="auto"/>
              <w:ind w:firstLine="0" w:firstLine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间接影响</w:t>
            </w:r>
          </w:p>
        </w:tc>
      </w:tr>
      <w:tr w14:paraId="3BF788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 w:type="dxa"/>
            <w:vMerge w:val="restart"/>
            <w:vAlign w:val="center"/>
          </w:tcPr>
          <w:p w14:paraId="1840E343">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运营期</w:t>
            </w:r>
          </w:p>
        </w:tc>
        <w:tc>
          <w:tcPr>
            <w:tcW w:w="1065" w:type="dxa"/>
            <w:vAlign w:val="center"/>
          </w:tcPr>
          <w:p w14:paraId="5063585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大气</w:t>
            </w:r>
          </w:p>
        </w:tc>
        <w:tc>
          <w:tcPr>
            <w:tcW w:w="1065" w:type="dxa"/>
            <w:vAlign w:val="center"/>
          </w:tcPr>
          <w:p w14:paraId="0281C053">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6F07EA75">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10C42B13">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284" w:type="dxa"/>
            <w:vAlign w:val="center"/>
          </w:tcPr>
          <w:p w14:paraId="505DCBEA">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80" w:type="dxa"/>
            <w:vAlign w:val="center"/>
          </w:tcPr>
          <w:p w14:paraId="3EA10074">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7439AC11">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9B03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 w:type="dxa"/>
            <w:vMerge w:val="continue"/>
            <w:vAlign w:val="center"/>
          </w:tcPr>
          <w:p w14:paraId="11E43925">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64C3AAF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地表水</w:t>
            </w:r>
          </w:p>
        </w:tc>
        <w:tc>
          <w:tcPr>
            <w:tcW w:w="1065" w:type="dxa"/>
            <w:vAlign w:val="center"/>
          </w:tcPr>
          <w:p w14:paraId="69228E31">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141E5AD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66402DCA">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84" w:type="dxa"/>
            <w:vAlign w:val="center"/>
          </w:tcPr>
          <w:p w14:paraId="7EF9BBA7">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80" w:type="dxa"/>
            <w:vAlign w:val="center"/>
          </w:tcPr>
          <w:p w14:paraId="0D3B8FCF">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52B865C8">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AFD9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Merge w:val="continue"/>
            <w:vAlign w:val="center"/>
          </w:tcPr>
          <w:p w14:paraId="6212EE0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45C35B4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声环境</w:t>
            </w:r>
          </w:p>
        </w:tc>
        <w:tc>
          <w:tcPr>
            <w:tcW w:w="1065" w:type="dxa"/>
            <w:vAlign w:val="center"/>
          </w:tcPr>
          <w:p w14:paraId="664B2214">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637E897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21E7754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284" w:type="dxa"/>
            <w:vAlign w:val="center"/>
          </w:tcPr>
          <w:p w14:paraId="5B7403B8">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80" w:type="dxa"/>
            <w:vAlign w:val="center"/>
          </w:tcPr>
          <w:p w14:paraId="11FC8EBF">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646972DB">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FA46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 w:type="dxa"/>
            <w:vMerge w:val="continue"/>
            <w:vAlign w:val="center"/>
          </w:tcPr>
          <w:p w14:paraId="1D09C38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74167D87">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地下水</w:t>
            </w:r>
          </w:p>
        </w:tc>
        <w:tc>
          <w:tcPr>
            <w:tcW w:w="1065" w:type="dxa"/>
            <w:vAlign w:val="center"/>
          </w:tcPr>
          <w:p w14:paraId="700F2D4F">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45428A3C">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42EAFEF8">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284" w:type="dxa"/>
            <w:vAlign w:val="center"/>
          </w:tcPr>
          <w:p w14:paraId="26E4AD4B">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80" w:type="dxa"/>
            <w:vAlign w:val="center"/>
          </w:tcPr>
          <w:p w14:paraId="37EE0B14">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40F5102E">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F02A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Merge w:val="continue"/>
            <w:vAlign w:val="center"/>
          </w:tcPr>
          <w:p w14:paraId="3C46B0F5">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082D30B4">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土壤</w:t>
            </w:r>
          </w:p>
        </w:tc>
        <w:tc>
          <w:tcPr>
            <w:tcW w:w="1065" w:type="dxa"/>
            <w:vAlign w:val="center"/>
          </w:tcPr>
          <w:p w14:paraId="12C15E10">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57B740D1">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287CBF15">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84" w:type="dxa"/>
            <w:vAlign w:val="center"/>
          </w:tcPr>
          <w:p w14:paraId="6285D84F">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80" w:type="dxa"/>
            <w:vAlign w:val="center"/>
          </w:tcPr>
          <w:p w14:paraId="0B7389AB">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196ECCCB">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0A97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Merge w:val="continue"/>
            <w:vAlign w:val="center"/>
          </w:tcPr>
          <w:p w14:paraId="07F292E2">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1AF4B798">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地形地貌</w:t>
            </w:r>
          </w:p>
        </w:tc>
        <w:tc>
          <w:tcPr>
            <w:tcW w:w="1065" w:type="dxa"/>
            <w:vAlign w:val="center"/>
          </w:tcPr>
          <w:p w14:paraId="6BFDEF49">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72B5061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7361D96F">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84" w:type="dxa"/>
            <w:vAlign w:val="center"/>
          </w:tcPr>
          <w:p w14:paraId="4CCEFF3E">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80" w:type="dxa"/>
            <w:vAlign w:val="center"/>
          </w:tcPr>
          <w:p w14:paraId="5C24DAE4">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35993DA4">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1E8E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Merge w:val="continue"/>
            <w:vAlign w:val="center"/>
          </w:tcPr>
          <w:p w14:paraId="49C5FBB0">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06C6EBEF">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植被</w:t>
            </w:r>
          </w:p>
        </w:tc>
        <w:tc>
          <w:tcPr>
            <w:tcW w:w="1065" w:type="dxa"/>
            <w:vAlign w:val="center"/>
          </w:tcPr>
          <w:p w14:paraId="474FBDF3">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15E3381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4DC701D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284" w:type="dxa"/>
            <w:vAlign w:val="center"/>
          </w:tcPr>
          <w:p w14:paraId="0E33F8F6">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80" w:type="dxa"/>
            <w:vAlign w:val="center"/>
          </w:tcPr>
          <w:p w14:paraId="6BE9256D">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76BFC218">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9C01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Merge w:val="continue"/>
            <w:vAlign w:val="center"/>
          </w:tcPr>
          <w:p w14:paraId="2F56A45B">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p>
        </w:tc>
        <w:tc>
          <w:tcPr>
            <w:tcW w:w="1065" w:type="dxa"/>
            <w:vAlign w:val="center"/>
          </w:tcPr>
          <w:p w14:paraId="4EC4D583">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土地利用</w:t>
            </w:r>
          </w:p>
        </w:tc>
        <w:tc>
          <w:tcPr>
            <w:tcW w:w="1065" w:type="dxa"/>
            <w:vAlign w:val="center"/>
          </w:tcPr>
          <w:p w14:paraId="57B89D6C">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65" w:type="dxa"/>
            <w:vAlign w:val="center"/>
          </w:tcPr>
          <w:p w14:paraId="66E0EE2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065" w:type="dxa"/>
            <w:vAlign w:val="center"/>
          </w:tcPr>
          <w:p w14:paraId="7DABEB0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284" w:type="dxa"/>
            <w:vAlign w:val="center"/>
          </w:tcPr>
          <w:p w14:paraId="49183549">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80" w:type="dxa"/>
            <w:vAlign w:val="center"/>
          </w:tcPr>
          <w:p w14:paraId="57C4AB81">
            <w:pPr>
              <w:topLinePunct/>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27" w:type="dxa"/>
            <w:vAlign w:val="center"/>
          </w:tcPr>
          <w:p w14:paraId="5A31259D">
            <w:pPr>
              <w:topLinePunct/>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438FD8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由上表可知，从拟建项目施工的环境影响因素及环境影响性质识别结果看，受项目建设影响的环境要素主要有：地表水、地下水、环境空气、声环境、固体废物及土壤环境。</w:t>
      </w:r>
    </w:p>
    <w:p w14:paraId="4650E291">
      <w:pPr>
        <w:pStyle w:val="7"/>
        <w:bidi w:val="0"/>
        <w:rPr>
          <w:rFonts w:hint="default" w:ascii="Times New Roman" w:hAnsi="Times New Roman" w:eastAsia="宋体" w:cs="Times New Roman"/>
          <w:color w:val="auto"/>
          <w:lang w:val="en-US" w:eastAsia="zh-CN"/>
        </w:rPr>
      </w:pPr>
      <w:bookmarkStart w:id="265" w:name="_Toc16918"/>
      <w:r>
        <w:rPr>
          <w:rFonts w:hint="eastAsia" w:ascii="Times New Roman" w:hAnsi="Times New Roman" w:eastAsia="宋体" w:cs="Times New Roman"/>
          <w:color w:val="auto"/>
          <w:lang w:val="en-US" w:eastAsia="zh-CN"/>
        </w:rPr>
        <w:t>1.5.2</w:t>
      </w:r>
      <w:r>
        <w:rPr>
          <w:rFonts w:hint="default" w:ascii="Times New Roman" w:hAnsi="Times New Roman" w:eastAsia="宋体" w:cs="Times New Roman"/>
          <w:color w:val="auto"/>
          <w:lang w:val="en-US" w:eastAsia="zh-CN"/>
        </w:rPr>
        <w:t>评价因子</w:t>
      </w:r>
      <w:bookmarkEnd w:id="265"/>
    </w:p>
    <w:p w14:paraId="70FFB1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根据项目污染物产生特点及项目区环境质量现状情况，评价因子见表1.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p>
    <w:p w14:paraId="6EE33CDE">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环境影响评价因子汇总表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254"/>
        <w:gridCol w:w="1144"/>
        <w:gridCol w:w="5489"/>
      </w:tblGrid>
      <w:tr w14:paraId="2D475C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D7D7D7" w:themeFill="background1" w:themeFillShade="D8"/>
            <w:vAlign w:val="center"/>
          </w:tcPr>
          <w:p w14:paraId="78EA4228">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
              </w:rPr>
              <w:t>序号</w:t>
            </w:r>
          </w:p>
        </w:tc>
        <w:tc>
          <w:tcPr>
            <w:tcW w:w="1254" w:type="dxa"/>
            <w:shd w:val="clear" w:color="auto" w:fill="D7D7D7" w:themeFill="background1" w:themeFillShade="D8"/>
            <w:vAlign w:val="center"/>
          </w:tcPr>
          <w:p w14:paraId="15C595AF">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
              </w:rPr>
              <w:t>环境要素</w:t>
            </w:r>
          </w:p>
        </w:tc>
        <w:tc>
          <w:tcPr>
            <w:tcW w:w="1144" w:type="dxa"/>
            <w:shd w:val="clear" w:color="auto" w:fill="D7D7D7" w:themeFill="background1" w:themeFillShade="D8"/>
            <w:vAlign w:val="center"/>
          </w:tcPr>
          <w:p w14:paraId="5DA6F3B0">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
              </w:rPr>
              <w:t>评价专题</w:t>
            </w:r>
          </w:p>
        </w:tc>
        <w:tc>
          <w:tcPr>
            <w:tcW w:w="5489" w:type="dxa"/>
            <w:shd w:val="clear" w:color="auto" w:fill="D7D7D7" w:themeFill="background1" w:themeFillShade="D8"/>
            <w:vAlign w:val="center"/>
          </w:tcPr>
          <w:p w14:paraId="6DD8BAA5">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
              </w:rPr>
              <w:t>评价因子</w:t>
            </w:r>
          </w:p>
        </w:tc>
      </w:tr>
      <w:tr w14:paraId="25BD5D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Merge w:val="restart"/>
            <w:vAlign w:val="center"/>
          </w:tcPr>
          <w:p w14:paraId="68ACA6F8">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1</w:t>
            </w:r>
          </w:p>
        </w:tc>
        <w:tc>
          <w:tcPr>
            <w:tcW w:w="1254" w:type="dxa"/>
            <w:vMerge w:val="restart"/>
            <w:vAlign w:val="center"/>
          </w:tcPr>
          <w:p w14:paraId="77B33737">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环境空气</w:t>
            </w:r>
          </w:p>
        </w:tc>
        <w:tc>
          <w:tcPr>
            <w:tcW w:w="1144" w:type="dxa"/>
            <w:vAlign w:val="center"/>
          </w:tcPr>
          <w:p w14:paraId="3CF2D754">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现状评价</w:t>
            </w:r>
          </w:p>
        </w:tc>
        <w:tc>
          <w:tcPr>
            <w:tcW w:w="5489" w:type="dxa"/>
            <w:vAlign w:val="center"/>
          </w:tcPr>
          <w:p w14:paraId="76AE9A74">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SO</w:t>
            </w:r>
            <w:r>
              <w:rPr>
                <w:rFonts w:hint="default" w:ascii="Times New Roman" w:hAnsi="Times New Roman" w:eastAsia="宋体" w:cs="Times New Roman"/>
                <w:color w:val="auto"/>
                <w:kern w:val="0"/>
                <w:sz w:val="20"/>
                <w:szCs w:val="20"/>
                <w:vertAlign w:val="subscript"/>
                <w:lang w:val="en-US" w:eastAsia="zh-CN" w:bidi="ar"/>
              </w:rPr>
              <w:t>2</w:t>
            </w:r>
            <w:r>
              <w:rPr>
                <w:rFonts w:hint="default" w:ascii="Times New Roman" w:hAnsi="Times New Roman" w:eastAsia="宋体" w:cs="Times New Roman"/>
                <w:color w:val="auto"/>
                <w:kern w:val="0"/>
                <w:sz w:val="20"/>
                <w:szCs w:val="20"/>
                <w:lang w:val="en-US" w:eastAsia="zh-CN" w:bidi="ar"/>
              </w:rPr>
              <w:t>、NO</w:t>
            </w:r>
            <w:r>
              <w:rPr>
                <w:rFonts w:hint="default" w:ascii="Times New Roman" w:hAnsi="Times New Roman" w:eastAsia="宋体" w:cs="Times New Roman"/>
                <w:color w:val="auto"/>
                <w:kern w:val="0"/>
                <w:sz w:val="20"/>
                <w:szCs w:val="20"/>
                <w:vertAlign w:val="subscript"/>
                <w:lang w:val="en-US" w:eastAsia="zh-CN" w:bidi="ar"/>
              </w:rPr>
              <w:t>2</w:t>
            </w:r>
            <w:r>
              <w:rPr>
                <w:rFonts w:hint="default" w:ascii="Times New Roman" w:hAnsi="Times New Roman" w:eastAsia="宋体" w:cs="Times New Roman"/>
                <w:color w:val="auto"/>
                <w:kern w:val="0"/>
                <w:sz w:val="20"/>
                <w:szCs w:val="20"/>
                <w:lang w:val="en-US" w:eastAsia="zh-CN" w:bidi="ar"/>
              </w:rPr>
              <w:t>、PM</w:t>
            </w:r>
            <w:r>
              <w:rPr>
                <w:rFonts w:hint="default" w:ascii="Times New Roman" w:hAnsi="Times New Roman" w:eastAsia="宋体" w:cs="Times New Roman"/>
                <w:color w:val="auto"/>
                <w:kern w:val="0"/>
                <w:sz w:val="20"/>
                <w:szCs w:val="20"/>
                <w:vertAlign w:val="subscript"/>
                <w:lang w:val="en-US" w:eastAsia="zh-CN" w:bidi="ar"/>
              </w:rPr>
              <w:t>10</w:t>
            </w:r>
            <w:r>
              <w:rPr>
                <w:rFonts w:hint="default" w:ascii="Times New Roman" w:hAnsi="Times New Roman" w:eastAsia="宋体" w:cs="Times New Roman"/>
                <w:color w:val="auto"/>
                <w:kern w:val="0"/>
                <w:sz w:val="20"/>
                <w:szCs w:val="20"/>
                <w:lang w:val="en-US" w:eastAsia="zh-CN" w:bidi="ar"/>
              </w:rPr>
              <w:t>、PM</w:t>
            </w:r>
            <w:r>
              <w:rPr>
                <w:rFonts w:hint="default" w:ascii="Times New Roman" w:hAnsi="Times New Roman" w:eastAsia="宋体" w:cs="Times New Roman"/>
                <w:color w:val="auto"/>
                <w:kern w:val="0"/>
                <w:sz w:val="20"/>
                <w:szCs w:val="20"/>
                <w:vertAlign w:val="subscript"/>
                <w:lang w:val="en-US" w:eastAsia="zh-CN" w:bidi="ar"/>
              </w:rPr>
              <w:t>2.5</w:t>
            </w:r>
            <w:r>
              <w:rPr>
                <w:rFonts w:hint="default" w:ascii="Times New Roman" w:hAnsi="Times New Roman" w:eastAsia="宋体" w:cs="Times New Roman"/>
                <w:color w:val="auto"/>
                <w:kern w:val="0"/>
                <w:sz w:val="20"/>
                <w:szCs w:val="20"/>
                <w:lang w:val="en-US" w:eastAsia="zh-CN" w:bidi="ar"/>
              </w:rPr>
              <w:t>、O</w:t>
            </w:r>
            <w:r>
              <w:rPr>
                <w:rFonts w:hint="default" w:ascii="Times New Roman" w:hAnsi="Times New Roman" w:eastAsia="宋体" w:cs="Times New Roman"/>
                <w:color w:val="auto"/>
                <w:kern w:val="0"/>
                <w:sz w:val="20"/>
                <w:szCs w:val="20"/>
                <w:vertAlign w:val="subscript"/>
                <w:lang w:val="en-US" w:eastAsia="zh-CN" w:bidi="ar"/>
              </w:rPr>
              <w:t>3</w:t>
            </w:r>
            <w:r>
              <w:rPr>
                <w:rFonts w:hint="default" w:ascii="Times New Roman" w:hAnsi="Times New Roman" w:eastAsia="宋体" w:cs="Times New Roman"/>
                <w:color w:val="auto"/>
                <w:kern w:val="0"/>
                <w:sz w:val="20"/>
                <w:szCs w:val="20"/>
                <w:lang w:val="en-US" w:eastAsia="zh-CN" w:bidi="ar"/>
              </w:rPr>
              <w:t>、CO、硫化氢、氨气</w:t>
            </w:r>
          </w:p>
        </w:tc>
      </w:tr>
      <w:tr w14:paraId="22241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Merge w:val="continue"/>
            <w:vAlign w:val="center"/>
          </w:tcPr>
          <w:p w14:paraId="09E311DD">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254" w:type="dxa"/>
            <w:vMerge w:val="continue"/>
            <w:vAlign w:val="center"/>
          </w:tcPr>
          <w:p w14:paraId="5743AE51">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144" w:type="dxa"/>
            <w:vAlign w:val="center"/>
          </w:tcPr>
          <w:p w14:paraId="7A2B4F6D">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7FCCD393">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硫化氢、氨气</w:t>
            </w:r>
          </w:p>
        </w:tc>
      </w:tr>
      <w:tr w14:paraId="3BF636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Merge w:val="restart"/>
            <w:vAlign w:val="center"/>
          </w:tcPr>
          <w:p w14:paraId="7CA262AC">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2</w:t>
            </w:r>
          </w:p>
        </w:tc>
        <w:tc>
          <w:tcPr>
            <w:tcW w:w="1254" w:type="dxa"/>
            <w:vMerge w:val="restart"/>
            <w:vAlign w:val="center"/>
          </w:tcPr>
          <w:p w14:paraId="47027F30">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地表水环境</w:t>
            </w:r>
          </w:p>
        </w:tc>
        <w:tc>
          <w:tcPr>
            <w:tcW w:w="1144" w:type="dxa"/>
            <w:vAlign w:val="center"/>
          </w:tcPr>
          <w:p w14:paraId="0697383D">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现状评价</w:t>
            </w:r>
          </w:p>
        </w:tc>
        <w:tc>
          <w:tcPr>
            <w:tcW w:w="5489" w:type="dxa"/>
            <w:vAlign w:val="center"/>
          </w:tcPr>
          <w:p w14:paraId="21F5F893">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pH、高锰酸盐指数、氨氮、氟化物、氯化物、氰化物、阴离子表面活性剂、汞、总大肠菌群、细菌总数</w:t>
            </w:r>
          </w:p>
        </w:tc>
      </w:tr>
      <w:tr w14:paraId="713CE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Merge w:val="continue"/>
            <w:vAlign w:val="center"/>
          </w:tcPr>
          <w:p w14:paraId="29521451">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254" w:type="dxa"/>
            <w:vMerge w:val="continue"/>
            <w:vAlign w:val="center"/>
          </w:tcPr>
          <w:p w14:paraId="53758D37">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144" w:type="dxa"/>
            <w:vAlign w:val="center"/>
          </w:tcPr>
          <w:p w14:paraId="66170557">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623F3C00">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w:t>
            </w:r>
          </w:p>
        </w:tc>
      </w:tr>
      <w:tr w14:paraId="2F0FD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29" w:type="dxa"/>
            <w:vMerge w:val="restart"/>
            <w:vAlign w:val="center"/>
          </w:tcPr>
          <w:p w14:paraId="601401CC">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3</w:t>
            </w:r>
          </w:p>
        </w:tc>
        <w:tc>
          <w:tcPr>
            <w:tcW w:w="1254" w:type="dxa"/>
            <w:vMerge w:val="restart"/>
            <w:vAlign w:val="center"/>
          </w:tcPr>
          <w:p w14:paraId="45790598">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地下水环境</w:t>
            </w:r>
          </w:p>
        </w:tc>
        <w:tc>
          <w:tcPr>
            <w:tcW w:w="1144" w:type="dxa"/>
            <w:vAlign w:val="center"/>
          </w:tcPr>
          <w:p w14:paraId="3751A3FD">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现状评价</w:t>
            </w:r>
          </w:p>
        </w:tc>
        <w:tc>
          <w:tcPr>
            <w:tcW w:w="5489" w:type="dxa"/>
            <w:vAlign w:val="center"/>
          </w:tcPr>
          <w:p w14:paraId="2650A69A">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Na</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、K</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、Ca</w:t>
            </w:r>
            <w:r>
              <w:rPr>
                <w:rFonts w:hint="default" w:ascii="Times New Roman" w:hAnsi="Times New Roman" w:eastAsia="宋体" w:cs="Times New Roman"/>
                <w:color w:val="auto"/>
                <w:kern w:val="0"/>
                <w:sz w:val="20"/>
                <w:szCs w:val="20"/>
                <w:vertAlign w:val="superscript"/>
                <w:lang w:val="en-US" w:eastAsia="zh-CN" w:bidi="ar"/>
              </w:rPr>
              <w:t>2+</w:t>
            </w:r>
            <w:r>
              <w:rPr>
                <w:rFonts w:hint="default" w:ascii="Times New Roman" w:hAnsi="Times New Roman" w:eastAsia="宋体" w:cs="Times New Roman"/>
                <w:color w:val="auto"/>
                <w:kern w:val="0"/>
                <w:sz w:val="20"/>
                <w:szCs w:val="20"/>
                <w:lang w:val="en-US" w:eastAsia="zh-CN" w:bidi="ar"/>
              </w:rPr>
              <w:t>、Mg</w:t>
            </w:r>
            <w:r>
              <w:rPr>
                <w:rFonts w:hint="default" w:ascii="Times New Roman" w:hAnsi="Times New Roman" w:eastAsia="宋体" w:cs="Times New Roman"/>
                <w:color w:val="auto"/>
                <w:kern w:val="0"/>
                <w:sz w:val="20"/>
                <w:szCs w:val="20"/>
                <w:vertAlign w:val="superscript"/>
                <w:lang w:val="en-US" w:eastAsia="zh-CN" w:bidi="ar"/>
              </w:rPr>
              <w:t>2+</w:t>
            </w:r>
            <w:r>
              <w:rPr>
                <w:rFonts w:hint="default" w:ascii="Times New Roman" w:hAnsi="Times New Roman" w:eastAsia="宋体" w:cs="Times New Roman"/>
                <w:color w:val="auto"/>
                <w:kern w:val="0"/>
                <w:sz w:val="20"/>
                <w:szCs w:val="20"/>
                <w:lang w:val="en-US" w:eastAsia="zh-CN" w:bidi="ar"/>
              </w:rPr>
              <w:t>、HCO</w:t>
            </w:r>
            <w:r>
              <w:rPr>
                <w:rFonts w:hint="default" w:ascii="Times New Roman" w:hAnsi="Times New Roman" w:eastAsia="宋体" w:cs="Times New Roman"/>
                <w:color w:val="auto"/>
                <w:kern w:val="0"/>
                <w:sz w:val="20"/>
                <w:szCs w:val="20"/>
                <w:vertAlign w:val="superscript"/>
                <w:lang w:val="en-US" w:eastAsia="zh-CN" w:bidi="ar"/>
              </w:rPr>
              <w:t>3-</w:t>
            </w:r>
            <w:r>
              <w:rPr>
                <w:rFonts w:hint="default" w:ascii="Times New Roman" w:hAnsi="Times New Roman" w:eastAsia="宋体" w:cs="Times New Roman"/>
                <w:color w:val="auto"/>
                <w:kern w:val="0"/>
                <w:sz w:val="20"/>
                <w:szCs w:val="20"/>
                <w:lang w:val="en-US" w:eastAsia="zh-CN" w:bidi="ar"/>
              </w:rPr>
              <w:t>、CO</w:t>
            </w:r>
            <w:r>
              <w:rPr>
                <w:rFonts w:hint="default" w:ascii="Times New Roman" w:hAnsi="Times New Roman" w:eastAsia="宋体" w:cs="Times New Roman"/>
                <w:color w:val="auto"/>
                <w:kern w:val="0"/>
                <w:sz w:val="20"/>
                <w:szCs w:val="20"/>
                <w:vertAlign w:val="subscript"/>
                <w:lang w:val="en-US" w:eastAsia="zh-CN" w:bidi="ar"/>
              </w:rPr>
              <w:t>3</w:t>
            </w:r>
            <w:r>
              <w:rPr>
                <w:rFonts w:hint="default" w:ascii="Times New Roman" w:hAnsi="Times New Roman" w:eastAsia="宋体" w:cs="Times New Roman"/>
                <w:color w:val="auto"/>
                <w:kern w:val="0"/>
                <w:sz w:val="20"/>
                <w:szCs w:val="20"/>
                <w:vertAlign w:val="superscript"/>
                <w:lang w:val="en-US" w:eastAsia="zh-CN" w:bidi="ar"/>
              </w:rPr>
              <w:t>2-</w:t>
            </w:r>
            <w:r>
              <w:rPr>
                <w:rFonts w:hint="default" w:ascii="Times New Roman" w:hAnsi="Times New Roman" w:eastAsia="宋体" w:cs="Times New Roman"/>
                <w:color w:val="auto"/>
                <w:kern w:val="0"/>
                <w:sz w:val="20"/>
                <w:szCs w:val="20"/>
                <w:lang w:val="en-US" w:eastAsia="zh-CN" w:bidi="ar"/>
              </w:rPr>
              <w:t>、Cl</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、SO</w:t>
            </w:r>
            <w:r>
              <w:rPr>
                <w:rFonts w:hint="default" w:ascii="Times New Roman" w:hAnsi="Times New Roman" w:eastAsia="宋体" w:cs="Times New Roman"/>
                <w:color w:val="auto"/>
                <w:kern w:val="0"/>
                <w:sz w:val="20"/>
                <w:szCs w:val="20"/>
                <w:vertAlign w:val="subscript"/>
                <w:lang w:val="en-US" w:eastAsia="zh-CN" w:bidi="ar"/>
              </w:rPr>
              <w:t>4</w:t>
            </w:r>
            <w:r>
              <w:rPr>
                <w:rFonts w:hint="default" w:ascii="Times New Roman" w:hAnsi="Times New Roman" w:eastAsia="宋体" w:cs="Times New Roman"/>
                <w:color w:val="auto"/>
                <w:kern w:val="0"/>
                <w:sz w:val="20"/>
                <w:szCs w:val="20"/>
                <w:vertAlign w:val="superscript"/>
                <w:lang w:val="en-US" w:eastAsia="zh-CN" w:bidi="ar"/>
              </w:rPr>
              <w:t>2-</w:t>
            </w:r>
            <w:r>
              <w:rPr>
                <w:rFonts w:hint="default" w:ascii="Times New Roman" w:hAnsi="Times New Roman" w:eastAsia="宋体" w:cs="Times New Roman"/>
                <w:color w:val="auto"/>
                <w:kern w:val="0"/>
                <w:sz w:val="20"/>
                <w:szCs w:val="20"/>
                <w:lang w:val="en-US" w:eastAsia="zh-CN" w:bidi="ar"/>
              </w:rPr>
              <w:t>、pH、氨氮、硝酸盐、亚硝酸盐、挥发性酚类、氰化物、砷、汞、铬(六价)、总硬度、铅、氟、镉、铁、锰、溶解性总固体、高锰酸盐指数、硫酸盐、氯化物、总大肠菌群、细菌总数、阴离子表面活性剂、色度、石油类</w:t>
            </w:r>
          </w:p>
        </w:tc>
      </w:tr>
      <w:tr w14:paraId="08C1B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29" w:type="dxa"/>
            <w:vMerge w:val="continue"/>
            <w:vAlign w:val="center"/>
          </w:tcPr>
          <w:p w14:paraId="0BB5E17F">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254" w:type="dxa"/>
            <w:vMerge w:val="continue"/>
            <w:vAlign w:val="center"/>
          </w:tcPr>
          <w:p w14:paraId="2D503E33">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144" w:type="dxa"/>
            <w:vAlign w:val="center"/>
          </w:tcPr>
          <w:p w14:paraId="35477B78">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35D1E61F">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w:t>
            </w:r>
          </w:p>
        </w:tc>
      </w:tr>
      <w:tr w14:paraId="3F2A7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29" w:type="dxa"/>
            <w:vMerge w:val="restart"/>
            <w:vAlign w:val="center"/>
          </w:tcPr>
          <w:p w14:paraId="6A9771DA">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4</w:t>
            </w:r>
          </w:p>
        </w:tc>
        <w:tc>
          <w:tcPr>
            <w:tcW w:w="1254" w:type="dxa"/>
            <w:vMerge w:val="restart"/>
            <w:vAlign w:val="center"/>
          </w:tcPr>
          <w:p w14:paraId="7A11E254">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声环境</w:t>
            </w:r>
          </w:p>
        </w:tc>
        <w:tc>
          <w:tcPr>
            <w:tcW w:w="1144" w:type="dxa"/>
            <w:vAlign w:val="center"/>
          </w:tcPr>
          <w:p w14:paraId="70C936BB">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现状评价</w:t>
            </w:r>
          </w:p>
        </w:tc>
        <w:tc>
          <w:tcPr>
            <w:tcW w:w="5489" w:type="dxa"/>
            <w:vAlign w:val="center"/>
          </w:tcPr>
          <w:p w14:paraId="1CE38A0D">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 xml:space="preserve">等效连续A声级 </w:t>
            </w:r>
          </w:p>
        </w:tc>
      </w:tr>
      <w:tr w14:paraId="1BE49E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29" w:type="dxa"/>
            <w:vMerge w:val="continue"/>
            <w:vAlign w:val="center"/>
          </w:tcPr>
          <w:p w14:paraId="573609D0">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254" w:type="dxa"/>
            <w:vMerge w:val="continue"/>
            <w:vAlign w:val="center"/>
          </w:tcPr>
          <w:p w14:paraId="40E85E10">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p>
        </w:tc>
        <w:tc>
          <w:tcPr>
            <w:tcW w:w="1144" w:type="dxa"/>
            <w:vAlign w:val="center"/>
          </w:tcPr>
          <w:p w14:paraId="4F847B08">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74AD5AD7">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 xml:space="preserve">等效连续A声级 </w:t>
            </w:r>
          </w:p>
        </w:tc>
      </w:tr>
      <w:tr w14:paraId="1E0DB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14:paraId="6CACB176">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5</w:t>
            </w:r>
          </w:p>
        </w:tc>
        <w:tc>
          <w:tcPr>
            <w:tcW w:w="1254" w:type="dxa"/>
            <w:vAlign w:val="center"/>
          </w:tcPr>
          <w:p w14:paraId="7AF9FB12">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固体废气</w:t>
            </w:r>
          </w:p>
        </w:tc>
        <w:tc>
          <w:tcPr>
            <w:tcW w:w="1144" w:type="dxa"/>
            <w:vAlign w:val="center"/>
          </w:tcPr>
          <w:p w14:paraId="671FE8E2">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5D4E9DAA">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一般固废、危险废物、生活垃圾等</w:t>
            </w:r>
          </w:p>
        </w:tc>
      </w:tr>
      <w:tr w14:paraId="59135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14:paraId="2825A5B5">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6</w:t>
            </w:r>
          </w:p>
        </w:tc>
        <w:tc>
          <w:tcPr>
            <w:tcW w:w="1254" w:type="dxa"/>
            <w:vAlign w:val="center"/>
          </w:tcPr>
          <w:p w14:paraId="1CBDA610">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风险评价</w:t>
            </w:r>
          </w:p>
        </w:tc>
        <w:tc>
          <w:tcPr>
            <w:tcW w:w="1144" w:type="dxa"/>
            <w:vAlign w:val="center"/>
          </w:tcPr>
          <w:p w14:paraId="5F8AB5D5">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影响评价</w:t>
            </w:r>
          </w:p>
        </w:tc>
        <w:tc>
          <w:tcPr>
            <w:tcW w:w="5489" w:type="dxa"/>
            <w:vAlign w:val="center"/>
          </w:tcPr>
          <w:p w14:paraId="62D1C420">
            <w:pPr>
              <w:keepNext w:val="0"/>
              <w:keepLines w:val="0"/>
              <w:widowControl/>
              <w:suppressLineNumbers w:val="0"/>
              <w:jc w:val="left"/>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柴油、液氧泄漏，污水处理站环境风险</w:t>
            </w:r>
          </w:p>
        </w:tc>
      </w:tr>
    </w:tbl>
    <w:p w14:paraId="42F6D269">
      <w:pPr>
        <w:pStyle w:val="7"/>
        <w:bidi w:val="0"/>
        <w:rPr>
          <w:rFonts w:hint="default" w:ascii="Times New Roman" w:hAnsi="Times New Roman" w:eastAsia="宋体" w:cs="Times New Roman"/>
          <w:color w:val="auto"/>
          <w:lang w:val="en-US" w:eastAsia="zh-CN"/>
        </w:rPr>
      </w:pPr>
      <w:bookmarkStart w:id="266" w:name="_Toc32290"/>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评价标准</w:t>
      </w:r>
      <w:bookmarkEnd w:id="266"/>
    </w:p>
    <w:p w14:paraId="57C71D0E">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根据《环境影响评价技术导则》，本项目执行如下环境质量标准和排放标准。</w:t>
      </w:r>
    </w:p>
    <w:p w14:paraId="683D6F8D">
      <w:pPr>
        <w:pStyle w:val="7"/>
        <w:bidi w:val="0"/>
        <w:rPr>
          <w:rFonts w:hint="default" w:ascii="Times New Roman" w:hAnsi="Times New Roman" w:eastAsia="宋体" w:cs="Times New Roman"/>
          <w:color w:val="auto"/>
          <w:lang w:val="en-US" w:eastAsia="zh-CN"/>
        </w:rPr>
      </w:pPr>
      <w:bookmarkStart w:id="267" w:name="_Toc26973"/>
      <w:bookmarkStart w:id="268" w:name="_Toc3"/>
      <w:bookmarkStart w:id="269" w:name="_Toc2409"/>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.1环境质量评价标准</w:t>
      </w:r>
      <w:bookmarkEnd w:id="267"/>
      <w:bookmarkEnd w:id="268"/>
      <w:bookmarkEnd w:id="269"/>
    </w:p>
    <w:p w14:paraId="1914F82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1</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环境空气质量</w:t>
      </w:r>
    </w:p>
    <w:p w14:paraId="4B854FC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区域环境空气属于环境空气二类功能区，基本因子执行国家《环境空气质量标准》（GB3095-2012）</w:t>
      </w:r>
      <w:r>
        <w:rPr>
          <w:rFonts w:hint="default" w:ascii="Times New Roman" w:hAnsi="Times New Roman" w:eastAsia="宋体" w:cs="Times New Roman"/>
          <w:i w:val="0"/>
          <w:iCs w:val="0"/>
          <w:caps w:val="0"/>
          <w:color w:val="auto"/>
          <w:spacing w:val="0"/>
          <w:sz w:val="24"/>
          <w:szCs w:val="24"/>
          <w:shd w:val="clear" w:fill="FFFFFF"/>
          <w:lang w:val="en-US" w:eastAsia="zh-CN"/>
        </w:rPr>
        <w:t>及其修改清单</w:t>
      </w:r>
      <w:r>
        <w:rPr>
          <w:rFonts w:hint="default" w:ascii="Times New Roman" w:hAnsi="Times New Roman" w:eastAsia="宋体" w:cs="Times New Roman"/>
          <w:i w:val="0"/>
          <w:iCs w:val="0"/>
          <w:caps w:val="0"/>
          <w:color w:val="auto"/>
          <w:spacing w:val="0"/>
          <w:sz w:val="24"/>
          <w:szCs w:val="24"/>
          <w:shd w:val="clear" w:fill="FFFFFF"/>
        </w:rPr>
        <w:t>二级标准，其他污染物NH</w:t>
      </w:r>
      <w:r>
        <w:rPr>
          <w:rFonts w:hint="default" w:ascii="Times New Roman" w:hAnsi="Times New Roman" w:eastAsia="宋体" w:cs="Times New Roman"/>
          <w:i w:val="0"/>
          <w:iCs w:val="0"/>
          <w:caps w:val="0"/>
          <w:color w:val="auto"/>
          <w:spacing w:val="0"/>
          <w:sz w:val="24"/>
          <w:szCs w:val="24"/>
          <w:shd w:val="clear" w:fill="FFFFFF"/>
          <w:vertAlign w:val="subscript"/>
        </w:rPr>
        <w:t>3</w:t>
      </w:r>
      <w:r>
        <w:rPr>
          <w:rFonts w:hint="default" w:ascii="Times New Roman" w:hAnsi="Times New Roman" w:eastAsia="宋体" w:cs="Times New Roman"/>
          <w:i w:val="0"/>
          <w:iCs w:val="0"/>
          <w:caps w:val="0"/>
          <w:color w:val="auto"/>
          <w:spacing w:val="0"/>
          <w:sz w:val="24"/>
          <w:szCs w:val="24"/>
          <w:shd w:val="clear" w:fill="FFFFFF"/>
        </w:rPr>
        <w:t>及H</w:t>
      </w:r>
      <w:r>
        <w:rPr>
          <w:rFonts w:hint="default" w:ascii="Times New Roman" w:hAnsi="Times New Roman" w:eastAsia="宋体" w:cs="Times New Roman"/>
          <w:i w:val="0"/>
          <w:iCs w:val="0"/>
          <w:caps w:val="0"/>
          <w:color w:val="auto"/>
          <w:spacing w:val="0"/>
          <w:sz w:val="24"/>
          <w:szCs w:val="24"/>
          <w:shd w:val="clear" w:fill="FFFFFF"/>
          <w:vertAlign w:val="subscript"/>
        </w:rPr>
        <w:t>2</w:t>
      </w:r>
      <w:r>
        <w:rPr>
          <w:rFonts w:hint="default" w:ascii="Times New Roman" w:hAnsi="Times New Roman" w:eastAsia="宋体" w:cs="Times New Roman"/>
          <w:i w:val="0"/>
          <w:iCs w:val="0"/>
          <w:caps w:val="0"/>
          <w:color w:val="auto"/>
          <w:spacing w:val="0"/>
          <w:sz w:val="24"/>
          <w:szCs w:val="24"/>
          <w:shd w:val="clear" w:fill="FFFFFF"/>
        </w:rPr>
        <w:t>S执行《环境影响评价技术导则—大气环境》（HJ2.2-2018）附录D中浓度参考限值。具体标准限值见表</w:t>
      </w:r>
      <w:r>
        <w:rPr>
          <w:rFonts w:hint="default" w:ascii="Times New Roman" w:hAnsi="Times New Roman" w:eastAsia="宋体" w:cs="Times New Roman"/>
          <w:i w:val="0"/>
          <w:iCs w:val="0"/>
          <w:caps w:val="0"/>
          <w:color w:val="auto"/>
          <w:spacing w:val="0"/>
          <w:sz w:val="24"/>
          <w:szCs w:val="24"/>
          <w:shd w:val="clear" w:fill="FFFFFF"/>
          <w:lang w:val="en-US" w:eastAsia="zh-CN"/>
        </w:rPr>
        <w:t>1.</w:t>
      </w:r>
      <w:r>
        <w:rPr>
          <w:rFonts w:hint="eastAsia" w:ascii="Times New Roman" w:hAnsi="Times New Roman" w:eastAsia="宋体" w:cs="Times New Roman"/>
          <w:i w:val="0"/>
          <w:iCs w:val="0"/>
          <w:caps w:val="0"/>
          <w:color w:val="auto"/>
          <w:spacing w:val="0"/>
          <w:sz w:val="24"/>
          <w:szCs w:val="24"/>
          <w:shd w:val="clear" w:fill="FFFFFF"/>
          <w:lang w:val="en-US" w:eastAsia="zh-CN"/>
        </w:rPr>
        <w:t>5</w:t>
      </w:r>
      <w:r>
        <w:rPr>
          <w:rFonts w:hint="default" w:ascii="Times New Roman" w:hAnsi="Times New Roman" w:eastAsia="宋体" w:cs="Times New Roman"/>
          <w:i w:val="0"/>
          <w:iCs w:val="0"/>
          <w:caps w:val="0"/>
          <w:color w:val="auto"/>
          <w:spacing w:val="0"/>
          <w:sz w:val="24"/>
          <w:szCs w:val="24"/>
          <w:shd w:val="clear" w:fill="FFFFFF"/>
        </w:rPr>
        <w:t>-</w:t>
      </w:r>
      <w:r>
        <w:rPr>
          <w:rFonts w:hint="eastAsia" w:ascii="Times New Roman" w:hAnsi="Times New Roman" w:eastAsia="宋体" w:cs="Times New Roman"/>
          <w:i w:val="0"/>
          <w:iCs w:val="0"/>
          <w:caps w:val="0"/>
          <w:color w:val="auto"/>
          <w:spacing w:val="0"/>
          <w:sz w:val="24"/>
          <w:szCs w:val="24"/>
          <w:shd w:val="clear" w:fill="FFFFFF"/>
          <w:lang w:val="en-US" w:eastAsia="zh-CN"/>
        </w:rPr>
        <w:t>5</w:t>
      </w:r>
      <w:r>
        <w:rPr>
          <w:rFonts w:hint="default" w:ascii="Times New Roman" w:hAnsi="Times New Roman" w:eastAsia="宋体" w:cs="Times New Roman"/>
          <w:i w:val="0"/>
          <w:iCs w:val="0"/>
          <w:caps w:val="0"/>
          <w:color w:val="auto"/>
          <w:spacing w:val="0"/>
          <w:sz w:val="24"/>
          <w:szCs w:val="24"/>
          <w:shd w:val="clear" w:fill="FFFFFF"/>
        </w:rPr>
        <w:t>。</w:t>
      </w:r>
    </w:p>
    <w:p w14:paraId="2E2FE138">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环境空气质量标准值（单位：mg/m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bl>
      <w:tblPr>
        <w:tblStyle w:val="21"/>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69A335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shd w:val="clear" w:color="auto" w:fill="BEBEBE" w:themeFill="background1" w:themeFillShade="BF"/>
            <w:vAlign w:val="center"/>
          </w:tcPr>
          <w:p w14:paraId="53C1F5D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t>污染物名称</w:t>
            </w:r>
          </w:p>
        </w:tc>
        <w:tc>
          <w:tcPr>
            <w:tcW w:w="2130" w:type="dxa"/>
            <w:tcBorders>
              <w:tl2br w:val="nil"/>
              <w:tr2bl w:val="nil"/>
            </w:tcBorders>
            <w:shd w:val="clear" w:color="auto" w:fill="BEBEBE" w:themeFill="background1" w:themeFillShade="BF"/>
            <w:vAlign w:val="center"/>
          </w:tcPr>
          <w:p w14:paraId="3141CF8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t>取值时间</w:t>
            </w:r>
          </w:p>
        </w:tc>
        <w:tc>
          <w:tcPr>
            <w:tcW w:w="2131" w:type="dxa"/>
            <w:tcBorders>
              <w:tl2br w:val="nil"/>
              <w:tr2bl w:val="nil"/>
            </w:tcBorders>
            <w:shd w:val="clear" w:color="auto" w:fill="BEBEBE" w:themeFill="background1" w:themeFillShade="BF"/>
            <w:vAlign w:val="center"/>
          </w:tcPr>
          <w:p w14:paraId="6367D3A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t>限值</w:t>
            </w:r>
          </w:p>
        </w:tc>
        <w:tc>
          <w:tcPr>
            <w:tcW w:w="2131" w:type="dxa"/>
            <w:tcBorders>
              <w:tl2br w:val="nil"/>
              <w:tr2bl w:val="nil"/>
            </w:tcBorders>
            <w:shd w:val="clear" w:color="auto" w:fill="BEBEBE" w:themeFill="background1" w:themeFillShade="BF"/>
            <w:vAlign w:val="center"/>
          </w:tcPr>
          <w:p w14:paraId="5382F4A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lang w:val="en-US" w:eastAsia="zh-CN"/>
              </w:rPr>
              <w:t>评价标准名称</w:t>
            </w:r>
          </w:p>
        </w:tc>
      </w:tr>
      <w:tr w14:paraId="579040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6499DE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10</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4D3211C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年平均</w:t>
            </w:r>
          </w:p>
        </w:tc>
        <w:tc>
          <w:tcPr>
            <w:tcW w:w="2131" w:type="dxa"/>
            <w:tcBorders>
              <w:tl2br w:val="nil"/>
              <w:tr2bl w:val="nil"/>
            </w:tcBorders>
            <w:vAlign w:val="center"/>
          </w:tcPr>
          <w:p w14:paraId="0FF734E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70</w:t>
            </w:r>
          </w:p>
        </w:tc>
        <w:tc>
          <w:tcPr>
            <w:tcW w:w="2131" w:type="dxa"/>
            <w:vMerge w:val="restart"/>
            <w:tcBorders>
              <w:tl2br w:val="nil"/>
              <w:tr2bl w:val="nil"/>
            </w:tcBorders>
            <w:vAlign w:val="center"/>
          </w:tcPr>
          <w:p w14:paraId="072C34D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《环境空气质量标准》</w:t>
            </w:r>
            <w:r>
              <w:rPr>
                <w:rFonts w:hint="default" w:ascii="Times New Roman" w:hAnsi="Times New Roman" w:eastAsia="宋体" w:cs="Times New Roman"/>
                <w:b w:val="0"/>
                <w:bCs w:val="0"/>
                <w:i w:val="0"/>
                <w:iCs w:val="0"/>
                <w:caps w:val="0"/>
                <w:color w:val="auto"/>
                <w:spacing w:val="0"/>
                <w:sz w:val="24"/>
                <w:szCs w:val="24"/>
                <w:shd w:val="clear" w:fill="FFFFFF"/>
              </w:rPr>
              <w:t>（GB3095-2012）</w:t>
            </w:r>
            <w:r>
              <w:rPr>
                <w:rFonts w:hint="default" w:ascii="Times New Roman" w:hAnsi="Times New Roman" w:eastAsia="宋体" w:cs="Times New Roman"/>
                <w:b w:val="0"/>
                <w:bCs w:val="0"/>
                <w:color w:val="auto"/>
                <w:sz w:val="21"/>
                <w:szCs w:val="21"/>
                <w:lang w:val="en-US" w:eastAsia="zh-CN"/>
              </w:rPr>
              <w:t>及其修改清单</w:t>
            </w:r>
          </w:p>
        </w:tc>
      </w:tr>
      <w:tr w14:paraId="2403C5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2B1E639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53B2093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24h平均</w:t>
            </w:r>
          </w:p>
        </w:tc>
        <w:tc>
          <w:tcPr>
            <w:tcW w:w="2131" w:type="dxa"/>
            <w:tcBorders>
              <w:tl2br w:val="nil"/>
              <w:tr2bl w:val="nil"/>
            </w:tcBorders>
            <w:vAlign w:val="center"/>
          </w:tcPr>
          <w:p w14:paraId="5E8768D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150</w:t>
            </w:r>
          </w:p>
        </w:tc>
        <w:tc>
          <w:tcPr>
            <w:tcW w:w="2131" w:type="dxa"/>
            <w:vMerge w:val="continue"/>
            <w:tcBorders>
              <w:tl2br w:val="nil"/>
              <w:tr2bl w:val="nil"/>
            </w:tcBorders>
            <w:vAlign w:val="center"/>
          </w:tcPr>
          <w:p w14:paraId="1A3EF9E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7DCF6E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6657E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lang w:val="en-US" w:eastAsia="zh-CN"/>
              </w:rPr>
              <w:t>2.5</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3D3910A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年平均</w:t>
            </w:r>
          </w:p>
        </w:tc>
        <w:tc>
          <w:tcPr>
            <w:tcW w:w="2131" w:type="dxa"/>
            <w:tcBorders>
              <w:tl2br w:val="nil"/>
              <w:tr2bl w:val="nil"/>
            </w:tcBorders>
            <w:vAlign w:val="center"/>
          </w:tcPr>
          <w:p w14:paraId="582A4F5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35</w:t>
            </w:r>
          </w:p>
        </w:tc>
        <w:tc>
          <w:tcPr>
            <w:tcW w:w="2131" w:type="dxa"/>
            <w:vMerge w:val="continue"/>
            <w:tcBorders>
              <w:tl2br w:val="nil"/>
              <w:tr2bl w:val="nil"/>
            </w:tcBorders>
            <w:vAlign w:val="center"/>
          </w:tcPr>
          <w:p w14:paraId="638DF3C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0BA35A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69CDF62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7A653E1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24h平均</w:t>
            </w:r>
          </w:p>
        </w:tc>
        <w:tc>
          <w:tcPr>
            <w:tcW w:w="2131" w:type="dxa"/>
            <w:tcBorders>
              <w:tl2br w:val="nil"/>
              <w:tr2bl w:val="nil"/>
            </w:tcBorders>
            <w:vAlign w:val="center"/>
          </w:tcPr>
          <w:p w14:paraId="7F3DDAE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75</w:t>
            </w:r>
          </w:p>
        </w:tc>
        <w:tc>
          <w:tcPr>
            <w:tcW w:w="2131" w:type="dxa"/>
            <w:vMerge w:val="continue"/>
            <w:tcBorders>
              <w:tl2br w:val="nil"/>
              <w:tr2bl w:val="nil"/>
            </w:tcBorders>
            <w:vAlign w:val="center"/>
          </w:tcPr>
          <w:p w14:paraId="0C7300A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037107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3E176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SO</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01FC793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年平均</w:t>
            </w:r>
          </w:p>
        </w:tc>
        <w:tc>
          <w:tcPr>
            <w:tcW w:w="2131" w:type="dxa"/>
            <w:tcBorders>
              <w:tl2br w:val="nil"/>
              <w:tr2bl w:val="nil"/>
            </w:tcBorders>
            <w:vAlign w:val="center"/>
          </w:tcPr>
          <w:p w14:paraId="07D5122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60</w:t>
            </w:r>
          </w:p>
        </w:tc>
        <w:tc>
          <w:tcPr>
            <w:tcW w:w="2131" w:type="dxa"/>
            <w:vMerge w:val="continue"/>
            <w:tcBorders>
              <w:tl2br w:val="nil"/>
              <w:tr2bl w:val="nil"/>
            </w:tcBorders>
            <w:vAlign w:val="center"/>
          </w:tcPr>
          <w:p w14:paraId="76218D5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2AF0F3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15D04BA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7290C1C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24h平均</w:t>
            </w:r>
          </w:p>
        </w:tc>
        <w:tc>
          <w:tcPr>
            <w:tcW w:w="2131" w:type="dxa"/>
            <w:tcBorders>
              <w:tl2br w:val="nil"/>
              <w:tr2bl w:val="nil"/>
            </w:tcBorders>
            <w:vAlign w:val="center"/>
          </w:tcPr>
          <w:p w14:paraId="2F72DCE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150</w:t>
            </w:r>
          </w:p>
        </w:tc>
        <w:tc>
          <w:tcPr>
            <w:tcW w:w="2131" w:type="dxa"/>
            <w:vMerge w:val="continue"/>
            <w:tcBorders>
              <w:tl2br w:val="nil"/>
              <w:tr2bl w:val="nil"/>
            </w:tcBorders>
            <w:vAlign w:val="center"/>
          </w:tcPr>
          <w:p w14:paraId="062EE9B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497E7C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73D82CF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25CCFFB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0633F96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500</w:t>
            </w:r>
          </w:p>
        </w:tc>
        <w:tc>
          <w:tcPr>
            <w:tcW w:w="2131" w:type="dxa"/>
            <w:vMerge w:val="continue"/>
            <w:tcBorders>
              <w:tl2br w:val="nil"/>
              <w:tr2bl w:val="nil"/>
            </w:tcBorders>
            <w:vAlign w:val="center"/>
          </w:tcPr>
          <w:p w14:paraId="3E4963D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7FE0D4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4F971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NO</w:t>
            </w:r>
            <w:r>
              <w:rPr>
                <w:rFonts w:hint="default" w:ascii="Times New Roman" w:hAnsi="Times New Roman" w:eastAsia="宋体" w:cs="Times New Roman"/>
                <w:b w:val="0"/>
                <w:bCs w:val="0"/>
                <w:color w:val="auto"/>
                <w:sz w:val="21"/>
                <w:szCs w:val="21"/>
                <w:vertAlign w:val="subscript"/>
              </w:rPr>
              <w:t>x</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29B80D4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年平均</w:t>
            </w:r>
          </w:p>
        </w:tc>
        <w:tc>
          <w:tcPr>
            <w:tcW w:w="2131" w:type="dxa"/>
            <w:tcBorders>
              <w:tl2br w:val="nil"/>
              <w:tr2bl w:val="nil"/>
            </w:tcBorders>
            <w:vAlign w:val="center"/>
          </w:tcPr>
          <w:p w14:paraId="216468A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40</w:t>
            </w:r>
          </w:p>
        </w:tc>
        <w:tc>
          <w:tcPr>
            <w:tcW w:w="2131" w:type="dxa"/>
            <w:vMerge w:val="continue"/>
            <w:tcBorders>
              <w:tl2br w:val="nil"/>
              <w:tr2bl w:val="nil"/>
            </w:tcBorders>
            <w:vAlign w:val="center"/>
          </w:tcPr>
          <w:p w14:paraId="09E8B64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5DBCA8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3C4D589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683A71A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24h平均</w:t>
            </w:r>
          </w:p>
        </w:tc>
        <w:tc>
          <w:tcPr>
            <w:tcW w:w="2131" w:type="dxa"/>
            <w:tcBorders>
              <w:tl2br w:val="nil"/>
              <w:tr2bl w:val="nil"/>
            </w:tcBorders>
            <w:vAlign w:val="center"/>
          </w:tcPr>
          <w:p w14:paraId="1BDA527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80</w:t>
            </w:r>
          </w:p>
        </w:tc>
        <w:tc>
          <w:tcPr>
            <w:tcW w:w="2131" w:type="dxa"/>
            <w:vMerge w:val="continue"/>
            <w:tcBorders>
              <w:tl2br w:val="nil"/>
              <w:tr2bl w:val="nil"/>
            </w:tcBorders>
            <w:vAlign w:val="center"/>
          </w:tcPr>
          <w:p w14:paraId="706D56D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3863AA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03D1338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18556EC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598E63F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200</w:t>
            </w:r>
          </w:p>
        </w:tc>
        <w:tc>
          <w:tcPr>
            <w:tcW w:w="2131" w:type="dxa"/>
            <w:vMerge w:val="continue"/>
            <w:tcBorders>
              <w:tl2br w:val="nil"/>
              <w:tr2bl w:val="nil"/>
            </w:tcBorders>
            <w:vAlign w:val="center"/>
          </w:tcPr>
          <w:p w14:paraId="6B54630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54485B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52DDD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7BCF61E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日最大8h平均</w:t>
            </w:r>
          </w:p>
        </w:tc>
        <w:tc>
          <w:tcPr>
            <w:tcW w:w="2131" w:type="dxa"/>
            <w:tcBorders>
              <w:tl2br w:val="nil"/>
              <w:tr2bl w:val="nil"/>
            </w:tcBorders>
            <w:vAlign w:val="center"/>
          </w:tcPr>
          <w:p w14:paraId="0BE8C50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160</w:t>
            </w:r>
          </w:p>
        </w:tc>
        <w:tc>
          <w:tcPr>
            <w:tcW w:w="2131" w:type="dxa"/>
            <w:vMerge w:val="continue"/>
            <w:tcBorders>
              <w:tl2br w:val="nil"/>
              <w:tr2bl w:val="nil"/>
            </w:tcBorders>
            <w:vAlign w:val="center"/>
          </w:tcPr>
          <w:p w14:paraId="0826DC7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4FFB13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6D57E0E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0F3623D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572035F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200</w:t>
            </w:r>
          </w:p>
        </w:tc>
        <w:tc>
          <w:tcPr>
            <w:tcW w:w="2131" w:type="dxa"/>
            <w:vMerge w:val="continue"/>
            <w:tcBorders>
              <w:tl2br w:val="nil"/>
              <w:tr2bl w:val="nil"/>
            </w:tcBorders>
            <w:vAlign w:val="center"/>
          </w:tcPr>
          <w:p w14:paraId="2B3376D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3B76B6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restart"/>
            <w:tcBorders>
              <w:tl2br w:val="nil"/>
              <w:tr2bl w:val="nil"/>
            </w:tcBorders>
            <w:vAlign w:val="center"/>
          </w:tcPr>
          <w:p w14:paraId="5EDE1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CO（</w:t>
            </w:r>
            <w:r>
              <w:rPr>
                <w:rFonts w:hint="default" w:ascii="Times New Roman" w:hAnsi="Times New Roman" w:eastAsia="宋体" w:cs="Times New Roman"/>
                <w:b w:val="0"/>
                <w:bCs w:val="0"/>
                <w:i w:val="0"/>
                <w:iCs w:val="0"/>
                <w:caps w:val="0"/>
                <w:color w:val="auto"/>
                <w:spacing w:val="0"/>
                <w:sz w:val="21"/>
                <w:szCs w:val="21"/>
                <w:shd w:val="clear" w:fill="FFFFFF"/>
              </w:rPr>
              <w:t>mg/m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val="en-US" w:eastAsia="zh-CN"/>
              </w:rPr>
              <w:t>）</w:t>
            </w:r>
          </w:p>
        </w:tc>
        <w:tc>
          <w:tcPr>
            <w:tcW w:w="2130" w:type="dxa"/>
            <w:tcBorders>
              <w:tl2br w:val="nil"/>
              <w:tr2bl w:val="nil"/>
            </w:tcBorders>
            <w:vAlign w:val="center"/>
          </w:tcPr>
          <w:p w14:paraId="23BCC9A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24h平均</w:t>
            </w:r>
          </w:p>
        </w:tc>
        <w:tc>
          <w:tcPr>
            <w:tcW w:w="2131" w:type="dxa"/>
            <w:tcBorders>
              <w:tl2br w:val="nil"/>
              <w:tr2bl w:val="nil"/>
            </w:tcBorders>
            <w:vAlign w:val="center"/>
          </w:tcPr>
          <w:p w14:paraId="34F78E2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4</w:t>
            </w:r>
          </w:p>
        </w:tc>
        <w:tc>
          <w:tcPr>
            <w:tcW w:w="2131" w:type="dxa"/>
            <w:vMerge w:val="continue"/>
            <w:tcBorders>
              <w:tl2br w:val="nil"/>
              <w:tr2bl w:val="nil"/>
            </w:tcBorders>
            <w:vAlign w:val="center"/>
          </w:tcPr>
          <w:p w14:paraId="49DE3EE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5243D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30" w:type="dxa"/>
            <w:vMerge w:val="continue"/>
            <w:tcBorders>
              <w:tl2br w:val="nil"/>
              <w:tr2bl w:val="nil"/>
            </w:tcBorders>
            <w:vAlign w:val="center"/>
          </w:tcPr>
          <w:p w14:paraId="170BA59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rPr>
            </w:pPr>
          </w:p>
        </w:tc>
        <w:tc>
          <w:tcPr>
            <w:tcW w:w="2130" w:type="dxa"/>
            <w:tcBorders>
              <w:tl2br w:val="nil"/>
              <w:tr2bl w:val="nil"/>
            </w:tcBorders>
            <w:vAlign w:val="center"/>
          </w:tcPr>
          <w:p w14:paraId="4CD57BF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029544A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10</w:t>
            </w:r>
          </w:p>
        </w:tc>
        <w:tc>
          <w:tcPr>
            <w:tcW w:w="2131" w:type="dxa"/>
            <w:vMerge w:val="continue"/>
            <w:tcBorders>
              <w:tl2br w:val="nil"/>
              <w:tr2bl w:val="nil"/>
            </w:tcBorders>
            <w:vAlign w:val="center"/>
          </w:tcPr>
          <w:p w14:paraId="71EA7D4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r w14:paraId="641900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vAlign w:val="center"/>
          </w:tcPr>
          <w:p w14:paraId="29C0B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S</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6841779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2D6537B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10</w:t>
            </w:r>
          </w:p>
        </w:tc>
        <w:tc>
          <w:tcPr>
            <w:tcW w:w="2131" w:type="dxa"/>
            <w:vMerge w:val="restart"/>
            <w:tcBorders>
              <w:tl2br w:val="nil"/>
              <w:tr2bl w:val="nil"/>
            </w:tcBorders>
            <w:vAlign w:val="center"/>
          </w:tcPr>
          <w:p w14:paraId="6512F6A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《环境影响评价技术导则大气环境》（HJ2.2-2018）附录D</w:t>
            </w:r>
          </w:p>
        </w:tc>
      </w:tr>
      <w:tr w14:paraId="21F54F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vAlign w:val="center"/>
          </w:tcPr>
          <w:p w14:paraId="26222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μ</w:t>
            </w:r>
            <w:r>
              <w:rPr>
                <w:rFonts w:hint="default" w:ascii="Times New Roman" w:hAnsi="Times New Roman" w:eastAsia="宋体" w:cs="Times New Roman"/>
                <w:b w:val="0"/>
                <w:bCs w:val="0"/>
                <w:i w:val="0"/>
                <w:iCs w:val="0"/>
                <w:caps w:val="0"/>
                <w:color w:val="auto"/>
                <w:spacing w:val="0"/>
                <w:sz w:val="21"/>
                <w:szCs w:val="21"/>
                <w:shd w:val="clear" w:fill="FFFFFF"/>
              </w:rPr>
              <w:t>g/m</w:t>
            </w:r>
            <w:r>
              <w:rPr>
                <w:rFonts w:hint="default" w:ascii="Times New Roman" w:hAnsi="Times New Roman" w:eastAsia="宋体" w:cs="Times New Roman"/>
                <w:b w:val="0"/>
                <w:bCs w:val="0"/>
                <w:i w:val="0"/>
                <w:iCs w:val="0"/>
                <w:caps w:val="0"/>
                <w:color w:val="auto"/>
                <w:spacing w:val="0"/>
                <w:sz w:val="21"/>
                <w:szCs w:val="21"/>
                <w:shd w:val="clear" w:fill="FFFFFF"/>
                <w:vertAlign w:val="superscript"/>
              </w:rPr>
              <w:t>3</w:t>
            </w:r>
            <w:r>
              <w:rPr>
                <w:rFonts w:hint="default" w:ascii="Times New Roman" w:hAnsi="Times New Roman" w:eastAsia="宋体" w:cs="Times New Roman"/>
                <w:b w:val="0"/>
                <w:bCs w:val="0"/>
                <w:color w:val="auto"/>
                <w:sz w:val="21"/>
                <w:szCs w:val="21"/>
                <w:lang w:eastAsia="zh-CN"/>
              </w:rPr>
              <w:t>）</w:t>
            </w:r>
          </w:p>
        </w:tc>
        <w:tc>
          <w:tcPr>
            <w:tcW w:w="2130" w:type="dxa"/>
            <w:tcBorders>
              <w:tl2br w:val="nil"/>
              <w:tr2bl w:val="nil"/>
            </w:tcBorders>
            <w:vAlign w:val="center"/>
          </w:tcPr>
          <w:p w14:paraId="16B5006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r>
              <w:rPr>
                <w:rFonts w:hint="default" w:ascii="Times New Roman" w:hAnsi="Times New Roman" w:eastAsia="宋体" w:cs="Times New Roman"/>
                <w:b w:val="0"/>
                <w:bCs w:val="0"/>
                <w:color w:val="auto"/>
                <w:sz w:val="21"/>
                <w:szCs w:val="21"/>
                <w:lang w:val="en-US" w:eastAsia="zh-CN"/>
              </w:rPr>
              <w:t>1h</w:t>
            </w:r>
            <w:r>
              <w:rPr>
                <w:rFonts w:hint="default" w:ascii="Times New Roman" w:hAnsi="Times New Roman" w:eastAsia="宋体" w:cs="Times New Roman"/>
                <w:b w:val="0"/>
                <w:bCs w:val="0"/>
                <w:color w:val="auto"/>
                <w:sz w:val="21"/>
                <w:szCs w:val="21"/>
              </w:rPr>
              <w:t>平均</w:t>
            </w:r>
          </w:p>
        </w:tc>
        <w:tc>
          <w:tcPr>
            <w:tcW w:w="2131" w:type="dxa"/>
            <w:tcBorders>
              <w:tl2br w:val="nil"/>
              <w:tr2bl w:val="nil"/>
            </w:tcBorders>
            <w:vAlign w:val="center"/>
          </w:tcPr>
          <w:p w14:paraId="1FFF21E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pPr>
            <w:r>
              <w:rPr>
                <w:rFonts w:hint="default" w:ascii="Times New Roman" w:hAnsi="Times New Roman" w:eastAsia="宋体" w:cs="Times New Roman"/>
                <w:b w:val="0"/>
                <w:bCs w:val="0"/>
                <w:i w:val="0"/>
                <w:iCs w:val="0"/>
                <w:caps w:val="0"/>
                <w:color w:val="auto"/>
                <w:spacing w:val="0"/>
                <w:sz w:val="21"/>
                <w:szCs w:val="21"/>
                <w:shd w:val="clear" w:fill="FFFFFF"/>
                <w:vertAlign w:val="baseline"/>
                <w:lang w:val="en-US" w:eastAsia="zh-CN"/>
              </w:rPr>
              <w:t>200</w:t>
            </w:r>
          </w:p>
        </w:tc>
        <w:tc>
          <w:tcPr>
            <w:tcW w:w="2131" w:type="dxa"/>
            <w:vMerge w:val="continue"/>
            <w:tcBorders>
              <w:tl2br w:val="nil"/>
              <w:tr2bl w:val="nil"/>
            </w:tcBorders>
            <w:vAlign w:val="center"/>
          </w:tcPr>
          <w:p w14:paraId="754BCE9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i w:val="0"/>
                <w:iCs w:val="0"/>
                <w:caps w:val="0"/>
                <w:color w:val="auto"/>
                <w:spacing w:val="0"/>
                <w:sz w:val="21"/>
                <w:szCs w:val="21"/>
                <w:shd w:val="clear" w:fill="FFFFFF"/>
                <w:vertAlign w:val="baseline"/>
              </w:rPr>
            </w:pPr>
          </w:p>
        </w:tc>
      </w:tr>
    </w:tbl>
    <w:p w14:paraId="0A32110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i w:val="0"/>
          <w:iCs w:val="0"/>
          <w:caps w:val="0"/>
          <w:color w:val="auto"/>
          <w:spacing w:val="0"/>
          <w:sz w:val="24"/>
          <w:szCs w:val="24"/>
          <w:shd w:val="clear" w:fill="FFFFFF"/>
          <w:lang w:val="en-US" w:eastAsia="zh-CN"/>
        </w:rPr>
      </w:pPr>
      <w:r>
        <w:rPr>
          <w:rFonts w:hint="default" w:ascii="Times New Roman" w:hAnsi="Times New Roman" w:eastAsia="宋体" w:cs="Times New Roman"/>
          <w:b/>
          <w:bCs/>
          <w:i w:val="0"/>
          <w:iCs w:val="0"/>
          <w:caps w:val="0"/>
          <w:color w:val="auto"/>
          <w:spacing w:val="0"/>
          <w:sz w:val="24"/>
          <w:szCs w:val="24"/>
          <w:shd w:val="clear" w:fill="FFFFFF"/>
          <w:lang w:eastAsia="zh-CN"/>
        </w:rPr>
        <w:t>（</w:t>
      </w:r>
      <w:r>
        <w:rPr>
          <w:rFonts w:hint="default" w:ascii="Times New Roman" w:hAnsi="Times New Roman" w:eastAsia="宋体" w:cs="Times New Roman"/>
          <w:b/>
          <w:bCs/>
          <w:i w:val="0"/>
          <w:iCs w:val="0"/>
          <w:caps w:val="0"/>
          <w:color w:val="auto"/>
          <w:spacing w:val="0"/>
          <w:sz w:val="24"/>
          <w:szCs w:val="24"/>
          <w:shd w:val="clear" w:fill="FFFFFF"/>
          <w:lang w:val="en-US" w:eastAsia="zh-CN"/>
        </w:rPr>
        <w:t>2</w:t>
      </w:r>
      <w:r>
        <w:rPr>
          <w:rFonts w:hint="default" w:ascii="Times New Roman" w:hAnsi="Times New Roman" w:eastAsia="宋体" w:cs="Times New Roman"/>
          <w:b/>
          <w:bCs/>
          <w:i w:val="0"/>
          <w:iCs w:val="0"/>
          <w:caps w:val="0"/>
          <w:color w:val="auto"/>
          <w:spacing w:val="0"/>
          <w:sz w:val="24"/>
          <w:szCs w:val="24"/>
          <w:shd w:val="clear" w:fill="FFFFFF"/>
          <w:lang w:eastAsia="zh-CN"/>
        </w:rPr>
        <w:t>）</w:t>
      </w:r>
      <w:r>
        <w:rPr>
          <w:rFonts w:hint="default" w:ascii="Times New Roman" w:hAnsi="Times New Roman" w:eastAsia="宋体" w:cs="Times New Roman"/>
          <w:b/>
          <w:bCs/>
          <w:i w:val="0"/>
          <w:iCs w:val="0"/>
          <w:caps w:val="0"/>
          <w:color w:val="auto"/>
          <w:spacing w:val="0"/>
          <w:sz w:val="24"/>
          <w:szCs w:val="24"/>
          <w:shd w:val="clear" w:fill="FFFFFF"/>
          <w:lang w:val="en-US" w:eastAsia="zh-CN"/>
        </w:rPr>
        <w:t>地表水环境质量</w:t>
      </w:r>
    </w:p>
    <w:p w14:paraId="44FBCB6A">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地表水执行《地表水环境质量标准》（GB3838-2002）Ⅲ类水域水质标准，标准限值见表 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w:t>
      </w:r>
    </w:p>
    <w:p w14:paraId="1F00A716">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 xml:space="preserve">6 </w:t>
      </w:r>
      <w:r>
        <w:rPr>
          <w:rFonts w:hint="default" w:ascii="Times New Roman" w:hAnsi="Times New Roman" w:eastAsia="宋体" w:cs="Times New Roman"/>
          <w:b/>
          <w:bCs/>
          <w:color w:val="auto"/>
          <w:sz w:val="21"/>
          <w:szCs w:val="21"/>
          <w:highlight w:val="none"/>
          <w:lang w:val="en-US" w:eastAsia="zh-CN"/>
        </w:rPr>
        <w:t xml:space="preserve"> 地表水质量标准</w:t>
      </w:r>
    </w:p>
    <w:tbl>
      <w:tblPr>
        <w:tblStyle w:val="20"/>
        <w:tblW w:w="855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68"/>
        <w:gridCol w:w="704"/>
        <w:gridCol w:w="936"/>
        <w:gridCol w:w="833"/>
        <w:gridCol w:w="953"/>
        <w:gridCol w:w="1049"/>
        <w:gridCol w:w="1760"/>
        <w:gridCol w:w="1153"/>
      </w:tblGrid>
      <w:tr w14:paraId="7CE565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1168" w:type="dxa"/>
            <w:tcBorders>
              <w:tl2br w:val="nil"/>
              <w:tr2bl w:val="nil"/>
            </w:tcBorders>
            <w:shd w:val="clear" w:color="auto" w:fill="BEBEBE" w:themeFill="background1" w:themeFillShade="BF"/>
            <w:vAlign w:val="center"/>
          </w:tcPr>
          <w:p w14:paraId="62050F79">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704" w:type="dxa"/>
            <w:tcBorders>
              <w:tl2br w:val="nil"/>
              <w:tr2bl w:val="nil"/>
            </w:tcBorders>
            <w:shd w:val="clear" w:color="auto" w:fill="BEBEBE" w:themeFill="background1" w:themeFillShade="BF"/>
            <w:vAlign w:val="center"/>
          </w:tcPr>
          <w:p w14:paraId="33B29E4C">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936" w:type="dxa"/>
            <w:tcBorders>
              <w:tl2br w:val="nil"/>
              <w:tr2bl w:val="nil"/>
            </w:tcBorders>
            <w:shd w:val="clear" w:color="auto" w:fill="BEBEBE" w:themeFill="background1" w:themeFillShade="BF"/>
            <w:vAlign w:val="center"/>
          </w:tcPr>
          <w:p w14:paraId="5FC5282C">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833" w:type="dxa"/>
            <w:tcBorders>
              <w:tl2br w:val="nil"/>
              <w:tr2bl w:val="nil"/>
            </w:tcBorders>
            <w:shd w:val="clear" w:color="auto" w:fill="BEBEBE" w:themeFill="background1" w:themeFillShade="BF"/>
            <w:vAlign w:val="center"/>
          </w:tcPr>
          <w:p w14:paraId="1DBC0198">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953" w:type="dxa"/>
            <w:tcBorders>
              <w:tl2br w:val="nil"/>
              <w:tr2bl w:val="nil"/>
            </w:tcBorders>
            <w:shd w:val="clear" w:color="auto" w:fill="BEBEBE" w:themeFill="background1" w:themeFillShade="BF"/>
            <w:vAlign w:val="center"/>
          </w:tcPr>
          <w:p w14:paraId="04B3BB3C">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049" w:type="dxa"/>
            <w:tcBorders>
              <w:tl2br w:val="nil"/>
              <w:tr2bl w:val="nil"/>
            </w:tcBorders>
            <w:shd w:val="clear" w:color="auto" w:fill="BEBEBE" w:themeFill="background1" w:themeFillShade="BF"/>
            <w:vAlign w:val="center"/>
          </w:tcPr>
          <w:p w14:paraId="74410029">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1760" w:type="dxa"/>
            <w:tcBorders>
              <w:tl2br w:val="nil"/>
              <w:tr2bl w:val="nil"/>
            </w:tcBorders>
            <w:shd w:val="clear" w:color="auto" w:fill="BEBEBE" w:themeFill="background1" w:themeFillShade="BF"/>
            <w:vAlign w:val="center"/>
          </w:tcPr>
          <w:p w14:paraId="134A698A">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粪大肠菌群（个/L）</w:t>
            </w:r>
          </w:p>
        </w:tc>
        <w:tc>
          <w:tcPr>
            <w:tcW w:w="1153" w:type="dxa"/>
            <w:tcBorders>
              <w:tl2br w:val="nil"/>
              <w:tr2bl w:val="nil"/>
            </w:tcBorders>
            <w:shd w:val="clear" w:color="auto" w:fill="BEBEBE" w:themeFill="background1" w:themeFillShade="BF"/>
            <w:vAlign w:val="center"/>
          </w:tcPr>
          <w:p w14:paraId="5B75A82F">
            <w:pPr>
              <w:spacing w:line="360" w:lineRule="exact"/>
              <w:ind w:left="-63" w:leftChars="-30" w:right="-63" w:rightChars="-30" w:firstLine="105" w:firstLine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5EDE73C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1168" w:type="dxa"/>
            <w:tcBorders>
              <w:tl2br w:val="nil"/>
              <w:tr2bl w:val="nil"/>
            </w:tcBorders>
            <w:vAlign w:val="center"/>
          </w:tcPr>
          <w:p w14:paraId="3D261E04">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704" w:type="dxa"/>
            <w:tcBorders>
              <w:tl2br w:val="nil"/>
              <w:tr2bl w:val="nil"/>
            </w:tcBorders>
            <w:vAlign w:val="center"/>
          </w:tcPr>
          <w:p w14:paraId="3800FDA8">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936" w:type="dxa"/>
            <w:tcBorders>
              <w:tl2br w:val="nil"/>
              <w:tr2bl w:val="nil"/>
            </w:tcBorders>
            <w:vAlign w:val="center"/>
          </w:tcPr>
          <w:p w14:paraId="1EA3D6BB">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833" w:type="dxa"/>
            <w:tcBorders>
              <w:tl2br w:val="nil"/>
              <w:tr2bl w:val="nil"/>
            </w:tcBorders>
            <w:vAlign w:val="center"/>
          </w:tcPr>
          <w:p w14:paraId="78AE7ACD">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953" w:type="dxa"/>
            <w:tcBorders>
              <w:tl2br w:val="nil"/>
              <w:tr2bl w:val="nil"/>
            </w:tcBorders>
            <w:vAlign w:val="center"/>
          </w:tcPr>
          <w:p w14:paraId="5E0058B4">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049" w:type="dxa"/>
            <w:tcBorders>
              <w:tl2br w:val="nil"/>
              <w:tr2bl w:val="nil"/>
            </w:tcBorders>
            <w:vAlign w:val="center"/>
          </w:tcPr>
          <w:p w14:paraId="4A6A24B7">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≤0.05</w:t>
            </w:r>
          </w:p>
        </w:tc>
        <w:tc>
          <w:tcPr>
            <w:tcW w:w="1760" w:type="dxa"/>
            <w:tcBorders>
              <w:tl2br w:val="nil"/>
              <w:tr2bl w:val="nil"/>
            </w:tcBorders>
            <w:vAlign w:val="center"/>
          </w:tcPr>
          <w:p w14:paraId="2B1C550D">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≤10000</w:t>
            </w:r>
          </w:p>
        </w:tc>
        <w:tc>
          <w:tcPr>
            <w:tcW w:w="1153" w:type="dxa"/>
            <w:tcBorders>
              <w:tl2br w:val="nil"/>
              <w:tr2bl w:val="nil"/>
            </w:tcBorders>
            <w:vAlign w:val="center"/>
          </w:tcPr>
          <w:p w14:paraId="38FB4F09">
            <w:pPr>
              <w:spacing w:line="360" w:lineRule="exact"/>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r>
    </w:tbl>
    <w:p w14:paraId="498C9B6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i w:val="0"/>
          <w:iCs w:val="0"/>
          <w:caps w:val="0"/>
          <w:color w:val="auto"/>
          <w:spacing w:val="0"/>
          <w:sz w:val="21"/>
          <w:szCs w:val="21"/>
          <w:shd w:val="clear" w:fill="FFFFFF"/>
          <w:lang w:val="en-US" w:eastAsia="zh-CN"/>
        </w:rPr>
      </w:pPr>
      <w:r>
        <w:rPr>
          <w:rFonts w:hint="default" w:ascii="Times New Roman" w:hAnsi="Times New Roman" w:eastAsia="宋体" w:cs="Times New Roman"/>
          <w:b/>
          <w:bCs/>
          <w:i w:val="0"/>
          <w:iCs w:val="0"/>
          <w:caps w:val="0"/>
          <w:color w:val="auto"/>
          <w:spacing w:val="0"/>
          <w:sz w:val="21"/>
          <w:szCs w:val="21"/>
          <w:shd w:val="clear" w:fill="FFFFFF"/>
          <w:lang w:eastAsia="zh-CN"/>
        </w:rPr>
        <w:t>（</w:t>
      </w:r>
      <w:r>
        <w:rPr>
          <w:rFonts w:hint="default" w:ascii="Times New Roman" w:hAnsi="Times New Roman" w:eastAsia="宋体" w:cs="Times New Roman"/>
          <w:b/>
          <w:bCs/>
          <w:i w:val="0"/>
          <w:iCs w:val="0"/>
          <w:caps w:val="0"/>
          <w:color w:val="auto"/>
          <w:spacing w:val="0"/>
          <w:sz w:val="21"/>
          <w:szCs w:val="21"/>
          <w:shd w:val="clear" w:fill="FFFFFF"/>
          <w:lang w:val="en-US" w:eastAsia="zh-CN"/>
        </w:rPr>
        <w:t>3</w:t>
      </w:r>
      <w:r>
        <w:rPr>
          <w:rFonts w:hint="default" w:ascii="Times New Roman" w:hAnsi="Times New Roman" w:eastAsia="宋体" w:cs="Times New Roman"/>
          <w:b/>
          <w:bCs/>
          <w:i w:val="0"/>
          <w:iCs w:val="0"/>
          <w:caps w:val="0"/>
          <w:color w:val="auto"/>
          <w:spacing w:val="0"/>
          <w:sz w:val="21"/>
          <w:szCs w:val="21"/>
          <w:shd w:val="clear" w:fill="FFFFFF"/>
          <w:lang w:eastAsia="zh-CN"/>
        </w:rPr>
        <w:t>）</w:t>
      </w:r>
      <w:r>
        <w:rPr>
          <w:rFonts w:hint="default" w:ascii="Times New Roman" w:hAnsi="Times New Roman" w:eastAsia="宋体" w:cs="Times New Roman"/>
          <w:b/>
          <w:bCs/>
          <w:i w:val="0"/>
          <w:iCs w:val="0"/>
          <w:caps w:val="0"/>
          <w:color w:val="auto"/>
          <w:spacing w:val="0"/>
          <w:sz w:val="21"/>
          <w:szCs w:val="21"/>
          <w:shd w:val="clear" w:fill="FFFFFF"/>
          <w:lang w:val="en-US" w:eastAsia="zh-CN"/>
        </w:rPr>
        <w:t>地下水环境质量标准</w:t>
      </w:r>
    </w:p>
    <w:p w14:paraId="6B0A5EC2">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地下水执行《地下水质量标准》（GB/T14848-2017）中Ⅲ类标准，标准见表 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w:t>
      </w:r>
    </w:p>
    <w:p w14:paraId="33D348FD">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地下水质量标准</w:t>
      </w:r>
    </w:p>
    <w:tbl>
      <w:tblPr>
        <w:tblStyle w:val="21"/>
        <w:tblW w:w="85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791"/>
        <w:gridCol w:w="4437"/>
      </w:tblGrid>
      <w:tr w14:paraId="50175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dxa"/>
            <w:tcBorders>
              <w:tl2br w:val="nil"/>
              <w:tr2bl w:val="nil"/>
            </w:tcBorders>
            <w:shd w:val="clear" w:color="auto" w:fill="BEBEBE" w:themeFill="background1" w:themeFillShade="BF"/>
            <w:vAlign w:val="center"/>
          </w:tcPr>
          <w:p w14:paraId="0831FA2A">
            <w:pPr>
              <w:pStyle w:val="40"/>
              <w:ind w:firstLine="0" w:firstLineChars="0"/>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序号</w:t>
            </w:r>
          </w:p>
        </w:tc>
        <w:tc>
          <w:tcPr>
            <w:tcW w:w="2791" w:type="dxa"/>
            <w:tcBorders>
              <w:tl2br w:val="nil"/>
              <w:tr2bl w:val="nil"/>
            </w:tcBorders>
            <w:shd w:val="clear" w:color="auto" w:fill="BEBEBE" w:themeFill="background1" w:themeFillShade="BF"/>
            <w:vAlign w:val="center"/>
          </w:tcPr>
          <w:p w14:paraId="5FA2D4BD">
            <w:pPr>
              <w:pStyle w:val="40"/>
              <w:ind w:firstLine="0" w:firstLineChars="0"/>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指标</w:t>
            </w:r>
          </w:p>
        </w:tc>
        <w:tc>
          <w:tcPr>
            <w:tcW w:w="4437" w:type="dxa"/>
            <w:tcBorders>
              <w:tl2br w:val="nil"/>
              <w:tr2bl w:val="nil"/>
            </w:tcBorders>
            <w:shd w:val="clear" w:color="auto" w:fill="BEBEBE" w:themeFill="background1" w:themeFillShade="BF"/>
            <w:vAlign w:val="center"/>
          </w:tcPr>
          <w:p w14:paraId="309F9C71">
            <w:pPr>
              <w:pStyle w:val="40"/>
              <w:ind w:firstLine="0" w:firstLineChars="0"/>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标准值</w:t>
            </w:r>
          </w:p>
        </w:tc>
      </w:tr>
      <w:tr w14:paraId="2E827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dxa"/>
            <w:tcBorders>
              <w:tl2br w:val="nil"/>
              <w:tr2bl w:val="nil"/>
            </w:tcBorders>
            <w:vAlign w:val="center"/>
          </w:tcPr>
          <w:p w14:paraId="68797AA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w:t>
            </w:r>
          </w:p>
        </w:tc>
        <w:tc>
          <w:tcPr>
            <w:tcW w:w="2791" w:type="dxa"/>
            <w:tcBorders>
              <w:tl2br w:val="nil"/>
              <w:tr2bl w:val="nil"/>
            </w:tcBorders>
            <w:vAlign w:val="center"/>
          </w:tcPr>
          <w:p w14:paraId="075409EE">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pH（无量纲）</w:t>
            </w:r>
          </w:p>
        </w:tc>
        <w:tc>
          <w:tcPr>
            <w:tcW w:w="4437" w:type="dxa"/>
            <w:tcBorders>
              <w:tl2br w:val="nil"/>
              <w:tr2bl w:val="nil"/>
            </w:tcBorders>
            <w:vAlign w:val="center"/>
          </w:tcPr>
          <w:p w14:paraId="2D7F419D">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6.5-8.5</w:t>
            </w:r>
          </w:p>
        </w:tc>
      </w:tr>
      <w:tr w14:paraId="34CD19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91" w:type="dxa"/>
            <w:tcBorders>
              <w:tl2br w:val="nil"/>
              <w:tr2bl w:val="nil"/>
            </w:tcBorders>
            <w:vAlign w:val="center"/>
          </w:tcPr>
          <w:p w14:paraId="54DD52D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w:t>
            </w:r>
          </w:p>
        </w:tc>
        <w:tc>
          <w:tcPr>
            <w:tcW w:w="2791" w:type="dxa"/>
            <w:tcBorders>
              <w:tl2br w:val="nil"/>
              <w:tr2bl w:val="nil"/>
            </w:tcBorders>
            <w:vAlign w:val="center"/>
          </w:tcPr>
          <w:p w14:paraId="66898C5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溶解性总固体</w:t>
            </w:r>
          </w:p>
        </w:tc>
        <w:tc>
          <w:tcPr>
            <w:tcW w:w="4437" w:type="dxa"/>
            <w:tcBorders>
              <w:tl2br w:val="nil"/>
              <w:tr2bl w:val="nil"/>
            </w:tcBorders>
            <w:vAlign w:val="center"/>
          </w:tcPr>
          <w:p w14:paraId="035A9E28">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≤1000</w:t>
            </w:r>
          </w:p>
        </w:tc>
      </w:tr>
      <w:tr w14:paraId="2AD62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dxa"/>
            <w:tcBorders>
              <w:tl2br w:val="nil"/>
              <w:tr2bl w:val="nil"/>
            </w:tcBorders>
            <w:vAlign w:val="center"/>
          </w:tcPr>
          <w:p w14:paraId="1E274C07">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3</w:t>
            </w:r>
          </w:p>
        </w:tc>
        <w:tc>
          <w:tcPr>
            <w:tcW w:w="2791" w:type="dxa"/>
            <w:tcBorders>
              <w:tl2br w:val="nil"/>
              <w:tr2bl w:val="nil"/>
            </w:tcBorders>
            <w:vAlign w:val="center"/>
          </w:tcPr>
          <w:p w14:paraId="6EA5CBF8">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硝酸盐</w:t>
            </w:r>
          </w:p>
        </w:tc>
        <w:tc>
          <w:tcPr>
            <w:tcW w:w="4437" w:type="dxa"/>
            <w:tcBorders>
              <w:tl2br w:val="nil"/>
              <w:tr2bl w:val="nil"/>
            </w:tcBorders>
            <w:vAlign w:val="center"/>
          </w:tcPr>
          <w:p w14:paraId="28E1FC52">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≤20.0</w:t>
            </w:r>
          </w:p>
        </w:tc>
      </w:tr>
      <w:tr w14:paraId="2D0EC5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dxa"/>
            <w:tcBorders>
              <w:tl2br w:val="nil"/>
              <w:tr2bl w:val="nil"/>
            </w:tcBorders>
            <w:vAlign w:val="center"/>
          </w:tcPr>
          <w:p w14:paraId="6BD62653">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4</w:t>
            </w:r>
          </w:p>
        </w:tc>
        <w:tc>
          <w:tcPr>
            <w:tcW w:w="2791" w:type="dxa"/>
            <w:tcBorders>
              <w:tl2br w:val="nil"/>
              <w:tr2bl w:val="nil"/>
            </w:tcBorders>
            <w:vAlign w:val="center"/>
          </w:tcPr>
          <w:p w14:paraId="11820E67">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亚硝酸盐</w:t>
            </w:r>
          </w:p>
        </w:tc>
        <w:tc>
          <w:tcPr>
            <w:tcW w:w="4437" w:type="dxa"/>
            <w:tcBorders>
              <w:tl2br w:val="nil"/>
              <w:tr2bl w:val="nil"/>
            </w:tcBorders>
            <w:vAlign w:val="center"/>
          </w:tcPr>
          <w:p w14:paraId="7ACD420B">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w:t>
            </w:r>
          </w:p>
        </w:tc>
      </w:tr>
      <w:tr w14:paraId="750CC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91" w:type="dxa"/>
            <w:tcBorders>
              <w:tl2br w:val="nil"/>
              <w:tr2bl w:val="nil"/>
            </w:tcBorders>
            <w:vAlign w:val="center"/>
          </w:tcPr>
          <w:p w14:paraId="764352D6">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5</w:t>
            </w:r>
          </w:p>
        </w:tc>
        <w:tc>
          <w:tcPr>
            <w:tcW w:w="2791" w:type="dxa"/>
            <w:tcBorders>
              <w:tl2br w:val="nil"/>
              <w:tr2bl w:val="nil"/>
            </w:tcBorders>
            <w:vAlign w:val="center"/>
          </w:tcPr>
          <w:p w14:paraId="73622659">
            <w:pPr>
              <w:pStyle w:val="40"/>
              <w:ind w:firstLine="0" w:firstLineChars="0"/>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snapToGrid/>
                <w:color w:val="auto"/>
                <w:sz w:val="21"/>
                <w:szCs w:val="21"/>
                <w:highlight w:val="none"/>
              </w:rPr>
              <w:t>氨氮</w:t>
            </w:r>
          </w:p>
        </w:tc>
        <w:tc>
          <w:tcPr>
            <w:tcW w:w="4437" w:type="dxa"/>
            <w:tcBorders>
              <w:tl2br w:val="nil"/>
              <w:tr2bl w:val="nil"/>
            </w:tcBorders>
            <w:vAlign w:val="center"/>
          </w:tcPr>
          <w:p w14:paraId="49C28C55">
            <w:pPr>
              <w:pStyle w:val="40"/>
              <w:ind w:firstLine="0" w:firstLineChars="0"/>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snapToGrid/>
                <w:color w:val="auto"/>
                <w:sz w:val="21"/>
                <w:szCs w:val="21"/>
                <w:highlight w:val="none"/>
              </w:rPr>
              <w:t>≤0.5</w:t>
            </w:r>
          </w:p>
        </w:tc>
      </w:tr>
      <w:tr w14:paraId="525D0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91" w:type="dxa"/>
            <w:tcBorders>
              <w:tl2br w:val="nil"/>
              <w:tr2bl w:val="nil"/>
            </w:tcBorders>
            <w:vAlign w:val="center"/>
          </w:tcPr>
          <w:p w14:paraId="35F59B7E">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6</w:t>
            </w:r>
          </w:p>
        </w:tc>
        <w:tc>
          <w:tcPr>
            <w:tcW w:w="2791" w:type="dxa"/>
            <w:tcBorders>
              <w:tl2br w:val="nil"/>
              <w:tr2bl w:val="nil"/>
            </w:tcBorders>
            <w:vAlign w:val="center"/>
          </w:tcPr>
          <w:p w14:paraId="17411D4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4437" w:type="dxa"/>
            <w:tcBorders>
              <w:tl2br w:val="nil"/>
              <w:tr2bl w:val="nil"/>
            </w:tcBorders>
            <w:vAlign w:val="center"/>
          </w:tcPr>
          <w:p w14:paraId="0A8B4D2D">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≤250</w:t>
            </w:r>
          </w:p>
        </w:tc>
      </w:tr>
      <w:tr w14:paraId="035ABD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91" w:type="dxa"/>
            <w:tcBorders>
              <w:tl2br w:val="nil"/>
              <w:tr2bl w:val="nil"/>
            </w:tcBorders>
            <w:vAlign w:val="center"/>
          </w:tcPr>
          <w:p w14:paraId="61003B0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7</w:t>
            </w:r>
          </w:p>
        </w:tc>
        <w:tc>
          <w:tcPr>
            <w:tcW w:w="2791" w:type="dxa"/>
            <w:tcBorders>
              <w:tl2br w:val="nil"/>
              <w:tr2bl w:val="nil"/>
            </w:tcBorders>
            <w:vAlign w:val="center"/>
          </w:tcPr>
          <w:p w14:paraId="6B0D5D20">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氯化物</w:t>
            </w:r>
          </w:p>
        </w:tc>
        <w:tc>
          <w:tcPr>
            <w:tcW w:w="4437" w:type="dxa"/>
            <w:tcBorders>
              <w:tl2br w:val="nil"/>
              <w:tr2bl w:val="nil"/>
            </w:tcBorders>
            <w:vAlign w:val="center"/>
          </w:tcPr>
          <w:p w14:paraId="3DC7AACF">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≤250</w:t>
            </w:r>
          </w:p>
        </w:tc>
      </w:tr>
      <w:tr w14:paraId="0FF444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23C3257A">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8</w:t>
            </w:r>
          </w:p>
        </w:tc>
        <w:tc>
          <w:tcPr>
            <w:tcW w:w="2791" w:type="dxa"/>
            <w:tcBorders>
              <w:tl2br w:val="nil"/>
              <w:tr2bl w:val="nil"/>
            </w:tcBorders>
            <w:vAlign w:val="center"/>
          </w:tcPr>
          <w:p w14:paraId="776912A7">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铁</w:t>
            </w:r>
          </w:p>
        </w:tc>
        <w:tc>
          <w:tcPr>
            <w:tcW w:w="4437" w:type="dxa"/>
            <w:tcBorders>
              <w:tl2br w:val="nil"/>
              <w:tr2bl w:val="nil"/>
            </w:tcBorders>
            <w:vAlign w:val="center"/>
          </w:tcPr>
          <w:p w14:paraId="1A1BE3F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≤0.3</w:t>
            </w:r>
          </w:p>
        </w:tc>
      </w:tr>
      <w:tr w14:paraId="69863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75B12146">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9</w:t>
            </w:r>
          </w:p>
        </w:tc>
        <w:tc>
          <w:tcPr>
            <w:tcW w:w="2791" w:type="dxa"/>
            <w:tcBorders>
              <w:tl2br w:val="nil"/>
              <w:tr2bl w:val="nil"/>
            </w:tcBorders>
            <w:vAlign w:val="center"/>
          </w:tcPr>
          <w:p w14:paraId="5D9EE0F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锰</w:t>
            </w:r>
          </w:p>
        </w:tc>
        <w:tc>
          <w:tcPr>
            <w:tcW w:w="4437" w:type="dxa"/>
            <w:tcBorders>
              <w:tl2br w:val="nil"/>
              <w:tr2bl w:val="nil"/>
            </w:tcBorders>
            <w:vAlign w:val="center"/>
          </w:tcPr>
          <w:p w14:paraId="0A5423E4">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≤0.1</w:t>
            </w:r>
          </w:p>
        </w:tc>
      </w:tr>
      <w:tr w14:paraId="34C46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6A2D089D">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w:t>
            </w:r>
          </w:p>
        </w:tc>
        <w:tc>
          <w:tcPr>
            <w:tcW w:w="2791" w:type="dxa"/>
            <w:tcBorders>
              <w:tl2br w:val="nil"/>
              <w:tr2bl w:val="nil"/>
            </w:tcBorders>
            <w:vAlign w:val="center"/>
          </w:tcPr>
          <w:p w14:paraId="78517DEF">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铜</w:t>
            </w:r>
          </w:p>
        </w:tc>
        <w:tc>
          <w:tcPr>
            <w:tcW w:w="4437" w:type="dxa"/>
            <w:tcBorders>
              <w:tl2br w:val="nil"/>
              <w:tr2bl w:val="nil"/>
            </w:tcBorders>
            <w:vAlign w:val="center"/>
          </w:tcPr>
          <w:p w14:paraId="6DD46D36">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w:t>
            </w:r>
          </w:p>
        </w:tc>
      </w:tr>
      <w:tr w14:paraId="306FFB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4A4224E4">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11</w:t>
            </w:r>
          </w:p>
        </w:tc>
        <w:tc>
          <w:tcPr>
            <w:tcW w:w="2791" w:type="dxa"/>
            <w:tcBorders>
              <w:tl2br w:val="nil"/>
              <w:tr2bl w:val="nil"/>
            </w:tcBorders>
            <w:vAlign w:val="center"/>
          </w:tcPr>
          <w:p w14:paraId="5A26C980">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锌</w:t>
            </w:r>
          </w:p>
        </w:tc>
        <w:tc>
          <w:tcPr>
            <w:tcW w:w="4437" w:type="dxa"/>
            <w:tcBorders>
              <w:tl2br w:val="nil"/>
              <w:tr2bl w:val="nil"/>
            </w:tcBorders>
            <w:vAlign w:val="center"/>
          </w:tcPr>
          <w:p w14:paraId="78ACFB4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w:t>
            </w:r>
          </w:p>
        </w:tc>
      </w:tr>
      <w:tr w14:paraId="5FDC8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2245606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12</w:t>
            </w:r>
          </w:p>
        </w:tc>
        <w:tc>
          <w:tcPr>
            <w:tcW w:w="2791" w:type="dxa"/>
            <w:tcBorders>
              <w:tl2br w:val="nil"/>
              <w:tr2bl w:val="nil"/>
            </w:tcBorders>
            <w:vAlign w:val="center"/>
          </w:tcPr>
          <w:p w14:paraId="3E80A319">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铅</w:t>
            </w:r>
          </w:p>
        </w:tc>
        <w:tc>
          <w:tcPr>
            <w:tcW w:w="4437" w:type="dxa"/>
            <w:tcBorders>
              <w:tl2br w:val="nil"/>
              <w:tr2bl w:val="nil"/>
            </w:tcBorders>
            <w:vAlign w:val="center"/>
          </w:tcPr>
          <w:p w14:paraId="2004EFA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≤0.01</w:t>
            </w:r>
          </w:p>
        </w:tc>
      </w:tr>
      <w:tr w14:paraId="1D6738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7A4258C8">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13</w:t>
            </w:r>
          </w:p>
        </w:tc>
        <w:tc>
          <w:tcPr>
            <w:tcW w:w="2791" w:type="dxa"/>
            <w:tcBorders>
              <w:tl2br w:val="nil"/>
              <w:tr2bl w:val="nil"/>
            </w:tcBorders>
            <w:vAlign w:val="center"/>
          </w:tcPr>
          <w:p w14:paraId="6C95DBDF">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铬（六价）</w:t>
            </w:r>
          </w:p>
        </w:tc>
        <w:tc>
          <w:tcPr>
            <w:tcW w:w="4437" w:type="dxa"/>
            <w:tcBorders>
              <w:tl2br w:val="nil"/>
              <w:tr2bl w:val="nil"/>
            </w:tcBorders>
            <w:vAlign w:val="center"/>
          </w:tcPr>
          <w:p w14:paraId="24B7210A">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≤0.05</w:t>
            </w:r>
          </w:p>
        </w:tc>
      </w:tr>
      <w:tr w14:paraId="7AFDD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3A68E504">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14</w:t>
            </w:r>
          </w:p>
        </w:tc>
        <w:tc>
          <w:tcPr>
            <w:tcW w:w="2791" w:type="dxa"/>
            <w:tcBorders>
              <w:tl2br w:val="nil"/>
              <w:tr2bl w:val="nil"/>
            </w:tcBorders>
            <w:vAlign w:val="center"/>
          </w:tcPr>
          <w:p w14:paraId="002FBCCE">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砷</w:t>
            </w:r>
          </w:p>
        </w:tc>
        <w:tc>
          <w:tcPr>
            <w:tcW w:w="4437" w:type="dxa"/>
            <w:tcBorders>
              <w:tl2br w:val="nil"/>
              <w:tr2bl w:val="nil"/>
            </w:tcBorders>
            <w:vAlign w:val="center"/>
          </w:tcPr>
          <w:p w14:paraId="07F6EEC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≤0.01</w:t>
            </w:r>
          </w:p>
        </w:tc>
      </w:tr>
      <w:tr w14:paraId="54F9FF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6548EFF7">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15</w:t>
            </w:r>
          </w:p>
        </w:tc>
        <w:tc>
          <w:tcPr>
            <w:tcW w:w="2791" w:type="dxa"/>
            <w:tcBorders>
              <w:tl2br w:val="nil"/>
              <w:tr2bl w:val="nil"/>
            </w:tcBorders>
            <w:vAlign w:val="center"/>
          </w:tcPr>
          <w:p w14:paraId="3A2DD857">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color w:val="auto"/>
                <w:sz w:val="21"/>
                <w:szCs w:val="21"/>
                <w:highlight w:val="none"/>
              </w:rPr>
              <w:t>汞</w:t>
            </w:r>
          </w:p>
        </w:tc>
        <w:tc>
          <w:tcPr>
            <w:tcW w:w="4437" w:type="dxa"/>
            <w:tcBorders>
              <w:tl2br w:val="nil"/>
              <w:tr2bl w:val="nil"/>
            </w:tcBorders>
            <w:vAlign w:val="center"/>
          </w:tcPr>
          <w:p w14:paraId="6C2CA1E3">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≤0.001</w:t>
            </w:r>
          </w:p>
        </w:tc>
      </w:tr>
      <w:tr w14:paraId="12359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6CED490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16</w:t>
            </w:r>
          </w:p>
        </w:tc>
        <w:tc>
          <w:tcPr>
            <w:tcW w:w="2791" w:type="dxa"/>
            <w:tcBorders>
              <w:tl2br w:val="nil"/>
              <w:tr2bl w:val="nil"/>
            </w:tcBorders>
            <w:vAlign w:val="center"/>
          </w:tcPr>
          <w:p w14:paraId="50C1ECFD">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w:t>
            </w:r>
          </w:p>
        </w:tc>
        <w:tc>
          <w:tcPr>
            <w:tcW w:w="4437" w:type="dxa"/>
            <w:tcBorders>
              <w:tl2br w:val="nil"/>
              <w:tr2bl w:val="nil"/>
            </w:tcBorders>
            <w:vAlign w:val="center"/>
          </w:tcPr>
          <w:p w14:paraId="3BE9A6D5">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≤0.005</w:t>
            </w:r>
          </w:p>
        </w:tc>
      </w:tr>
      <w:tr w14:paraId="1B97B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33B81EDC">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17</w:t>
            </w:r>
          </w:p>
        </w:tc>
        <w:tc>
          <w:tcPr>
            <w:tcW w:w="2791" w:type="dxa"/>
            <w:tcBorders>
              <w:tl2br w:val="nil"/>
              <w:tr2bl w:val="nil"/>
            </w:tcBorders>
            <w:vAlign w:val="center"/>
          </w:tcPr>
          <w:p w14:paraId="12276660">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color w:val="auto"/>
                <w:sz w:val="21"/>
                <w:szCs w:val="21"/>
                <w:highlight w:val="none"/>
              </w:rPr>
              <w:t>挥发性酚类</w:t>
            </w:r>
          </w:p>
        </w:tc>
        <w:tc>
          <w:tcPr>
            <w:tcW w:w="4437" w:type="dxa"/>
            <w:tcBorders>
              <w:tl2br w:val="nil"/>
              <w:tr2bl w:val="nil"/>
            </w:tcBorders>
            <w:vAlign w:val="center"/>
          </w:tcPr>
          <w:p w14:paraId="0BD0E19B">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≤0.002</w:t>
            </w:r>
          </w:p>
        </w:tc>
      </w:tr>
      <w:tr w14:paraId="413582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1D4EDC50">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18</w:t>
            </w:r>
          </w:p>
        </w:tc>
        <w:tc>
          <w:tcPr>
            <w:tcW w:w="2791" w:type="dxa"/>
            <w:tcBorders>
              <w:tl2br w:val="nil"/>
              <w:tr2bl w:val="nil"/>
            </w:tcBorders>
            <w:vAlign w:val="center"/>
          </w:tcPr>
          <w:p w14:paraId="19677995">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color w:val="auto"/>
                <w:sz w:val="21"/>
                <w:szCs w:val="21"/>
                <w:highlight w:val="none"/>
              </w:rPr>
              <w:t>耗氧量</w:t>
            </w:r>
          </w:p>
        </w:tc>
        <w:tc>
          <w:tcPr>
            <w:tcW w:w="4437" w:type="dxa"/>
            <w:tcBorders>
              <w:tl2br w:val="nil"/>
              <w:tr2bl w:val="nil"/>
            </w:tcBorders>
            <w:vAlign w:val="center"/>
          </w:tcPr>
          <w:p w14:paraId="1E2BE7B1">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≤3</w:t>
            </w:r>
          </w:p>
        </w:tc>
      </w:tr>
      <w:tr w14:paraId="034342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17C87FDB">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19</w:t>
            </w:r>
          </w:p>
        </w:tc>
        <w:tc>
          <w:tcPr>
            <w:tcW w:w="2791" w:type="dxa"/>
            <w:tcBorders>
              <w:tl2br w:val="nil"/>
              <w:tr2bl w:val="nil"/>
            </w:tcBorders>
            <w:vAlign w:val="center"/>
          </w:tcPr>
          <w:p w14:paraId="63EF4C13">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4437" w:type="dxa"/>
            <w:tcBorders>
              <w:tl2br w:val="nil"/>
              <w:tr2bl w:val="nil"/>
            </w:tcBorders>
            <w:vAlign w:val="center"/>
          </w:tcPr>
          <w:p w14:paraId="7D1C9742">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w:t>
            </w:r>
          </w:p>
        </w:tc>
      </w:tr>
      <w:tr w14:paraId="0A0C1D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2924D790">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20</w:t>
            </w:r>
          </w:p>
        </w:tc>
        <w:tc>
          <w:tcPr>
            <w:tcW w:w="2791" w:type="dxa"/>
            <w:tcBorders>
              <w:tl2br w:val="nil"/>
              <w:tr2bl w:val="nil"/>
            </w:tcBorders>
            <w:vAlign w:val="center"/>
          </w:tcPr>
          <w:p w14:paraId="5C3FC8B1">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color w:val="auto"/>
                <w:sz w:val="21"/>
                <w:szCs w:val="21"/>
                <w:highlight w:val="none"/>
              </w:rPr>
              <w:t>总硬度</w:t>
            </w:r>
          </w:p>
        </w:tc>
        <w:tc>
          <w:tcPr>
            <w:tcW w:w="4437" w:type="dxa"/>
            <w:tcBorders>
              <w:tl2br w:val="nil"/>
              <w:tr2bl w:val="nil"/>
            </w:tcBorders>
            <w:vAlign w:val="center"/>
          </w:tcPr>
          <w:p w14:paraId="3978ACD5">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≤450</w:t>
            </w:r>
          </w:p>
        </w:tc>
      </w:tr>
      <w:tr w14:paraId="5136A9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dxa"/>
            <w:tcBorders>
              <w:tl2br w:val="nil"/>
              <w:tr2bl w:val="nil"/>
            </w:tcBorders>
            <w:vAlign w:val="center"/>
          </w:tcPr>
          <w:p w14:paraId="53051535">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21</w:t>
            </w:r>
          </w:p>
        </w:tc>
        <w:tc>
          <w:tcPr>
            <w:tcW w:w="2791" w:type="dxa"/>
            <w:tcBorders>
              <w:tl2br w:val="nil"/>
              <w:tr2bl w:val="nil"/>
            </w:tcBorders>
            <w:vAlign w:val="center"/>
          </w:tcPr>
          <w:p w14:paraId="24BE8E14">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4437" w:type="dxa"/>
            <w:tcBorders>
              <w:tl2br w:val="nil"/>
              <w:tr2bl w:val="nil"/>
            </w:tcBorders>
            <w:vAlign w:val="center"/>
          </w:tcPr>
          <w:p w14:paraId="62E6083A">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≤0.05</w:t>
            </w:r>
          </w:p>
        </w:tc>
      </w:tr>
      <w:tr w14:paraId="0228E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17E1F8B8">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22</w:t>
            </w:r>
          </w:p>
        </w:tc>
        <w:tc>
          <w:tcPr>
            <w:tcW w:w="2791" w:type="dxa"/>
            <w:tcBorders>
              <w:tl2br w:val="nil"/>
              <w:tr2bl w:val="nil"/>
            </w:tcBorders>
            <w:vAlign w:val="center"/>
          </w:tcPr>
          <w:p w14:paraId="52837115">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color w:val="auto"/>
                <w:sz w:val="21"/>
                <w:szCs w:val="21"/>
                <w:highlight w:val="none"/>
              </w:rPr>
              <w:t>总大肠菌群（MPN/100mL）</w:t>
            </w:r>
          </w:p>
        </w:tc>
        <w:tc>
          <w:tcPr>
            <w:tcW w:w="4437" w:type="dxa"/>
            <w:tcBorders>
              <w:tl2br w:val="nil"/>
              <w:tr2bl w:val="nil"/>
            </w:tcBorders>
            <w:vAlign w:val="center"/>
          </w:tcPr>
          <w:p w14:paraId="13FE5E99">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≤3.0</w:t>
            </w:r>
          </w:p>
        </w:tc>
      </w:tr>
      <w:tr w14:paraId="0603E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91" w:type="dxa"/>
            <w:tcBorders>
              <w:tl2br w:val="nil"/>
              <w:tr2bl w:val="nil"/>
            </w:tcBorders>
            <w:vAlign w:val="center"/>
          </w:tcPr>
          <w:p w14:paraId="42CF0B5F">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23</w:t>
            </w:r>
          </w:p>
        </w:tc>
        <w:tc>
          <w:tcPr>
            <w:tcW w:w="2791" w:type="dxa"/>
            <w:tcBorders>
              <w:tl2br w:val="nil"/>
              <w:tr2bl w:val="nil"/>
            </w:tcBorders>
            <w:vAlign w:val="center"/>
          </w:tcPr>
          <w:p w14:paraId="4FBAC44B">
            <w:pPr>
              <w:pStyle w:val="4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细菌总数（CFU/mL）</w:t>
            </w:r>
          </w:p>
        </w:tc>
        <w:tc>
          <w:tcPr>
            <w:tcW w:w="4437" w:type="dxa"/>
            <w:tcBorders>
              <w:tl2br w:val="nil"/>
              <w:tr2bl w:val="nil"/>
            </w:tcBorders>
            <w:vAlign w:val="center"/>
          </w:tcPr>
          <w:p w14:paraId="06D23DEF">
            <w:pPr>
              <w:pStyle w:val="40"/>
              <w:ind w:firstLine="0" w:firstLineChars="0"/>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≤100</w:t>
            </w:r>
          </w:p>
        </w:tc>
      </w:tr>
    </w:tbl>
    <w:p w14:paraId="5C9CE32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color w:val="auto"/>
          <w:sz w:val="24"/>
          <w:szCs w:val="24"/>
          <w:lang w:val="en-US" w:eastAsia="zh-CN"/>
        </w:rPr>
      </w:pPr>
      <w:bookmarkStart w:id="270" w:name="_Toc14834"/>
      <w:bookmarkStart w:id="271" w:name="_Toc23195"/>
      <w:bookmarkStart w:id="272" w:name="_Toc23013"/>
      <w:r>
        <w:rPr>
          <w:rFonts w:hint="default" w:ascii="Times New Roman" w:hAnsi="Times New Roman" w:eastAsia="宋体" w:cs="Times New Roman"/>
          <w:b/>
          <w:bCs/>
          <w:color w:val="auto"/>
          <w:sz w:val="24"/>
          <w:szCs w:val="24"/>
          <w:lang w:val="en-US" w:eastAsia="zh-CN"/>
        </w:rPr>
        <w:t>（4）环境噪声</w:t>
      </w:r>
      <w:bookmarkEnd w:id="270"/>
      <w:bookmarkEnd w:id="271"/>
      <w:bookmarkEnd w:id="272"/>
    </w:p>
    <w:p w14:paraId="71662B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项目所在地环境质量噪声执行《声环境质量标准》（GB3096-2008）中2类标准，见表1.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w:t>
      </w:r>
    </w:p>
    <w:p w14:paraId="4CD55A2F">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声环境质量标准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1D4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nil"/>
            </w:tcBorders>
            <w:shd w:val="clear" w:color="auto" w:fill="BEBEBE" w:themeFill="background1" w:themeFillShade="BF"/>
          </w:tcPr>
          <w:p w14:paraId="07A0F60B">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时段</w:t>
            </w:r>
          </w:p>
        </w:tc>
        <w:tc>
          <w:tcPr>
            <w:tcW w:w="2841" w:type="dxa"/>
            <w:shd w:val="clear" w:color="auto" w:fill="BEBEBE" w:themeFill="background1" w:themeFillShade="BF"/>
            <w:vAlign w:val="center"/>
          </w:tcPr>
          <w:p w14:paraId="6AFF636F">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  间</w:t>
            </w:r>
          </w:p>
        </w:tc>
        <w:tc>
          <w:tcPr>
            <w:tcW w:w="2841" w:type="dxa"/>
            <w:tcBorders>
              <w:right w:val="nil"/>
            </w:tcBorders>
            <w:shd w:val="clear" w:color="auto" w:fill="BEBEBE" w:themeFill="background1" w:themeFillShade="BF"/>
            <w:vAlign w:val="center"/>
          </w:tcPr>
          <w:p w14:paraId="47ABB9AC">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夜  间</w:t>
            </w:r>
          </w:p>
        </w:tc>
      </w:tr>
      <w:tr w14:paraId="708A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nil"/>
            </w:tcBorders>
          </w:tcPr>
          <w:p w14:paraId="2F93500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2类</w:t>
            </w:r>
          </w:p>
        </w:tc>
        <w:tc>
          <w:tcPr>
            <w:tcW w:w="2841" w:type="dxa"/>
          </w:tcPr>
          <w:p w14:paraId="482647F3">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2841" w:type="dxa"/>
            <w:tcBorders>
              <w:right w:val="nil"/>
            </w:tcBorders>
          </w:tcPr>
          <w:p w14:paraId="1F23071B">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r>
    </w:tbl>
    <w:p w14:paraId="7D28E15B">
      <w:pPr>
        <w:pStyle w:val="7"/>
        <w:bidi w:val="0"/>
        <w:rPr>
          <w:rFonts w:hint="default" w:ascii="Times New Roman" w:hAnsi="Times New Roman" w:eastAsia="宋体" w:cs="Times New Roman"/>
          <w:color w:val="auto"/>
          <w:lang w:val="en-US" w:eastAsia="zh-CN"/>
        </w:rPr>
      </w:pPr>
      <w:bookmarkStart w:id="273" w:name="_Toc28513"/>
      <w:bookmarkStart w:id="274" w:name="_Toc7970"/>
      <w:bookmarkStart w:id="275" w:name="_Toc13291"/>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.2 排放标准</w:t>
      </w:r>
      <w:bookmarkEnd w:id="273"/>
      <w:bookmarkEnd w:id="274"/>
      <w:bookmarkEnd w:id="275"/>
    </w:p>
    <w:p w14:paraId="786679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276" w:name="_Toc425"/>
      <w:bookmarkStart w:id="277" w:name="_Toc6596"/>
      <w:bookmarkStart w:id="278" w:name="_Toc16503"/>
      <w:r>
        <w:rPr>
          <w:rFonts w:hint="default" w:ascii="Times New Roman" w:hAnsi="Times New Roman" w:eastAsia="宋体" w:cs="Times New Roman"/>
          <w:color w:val="auto"/>
          <w:sz w:val="24"/>
          <w:szCs w:val="24"/>
          <w:lang w:val="en-US" w:eastAsia="zh-CN"/>
        </w:rPr>
        <w:t>（1）废水排放标准</w:t>
      </w:r>
      <w:bookmarkEnd w:id="276"/>
      <w:bookmarkEnd w:id="277"/>
      <w:bookmarkEnd w:id="278"/>
    </w:p>
    <w:p w14:paraId="18E684B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sz w:val="24"/>
          <w:szCs w:val="24"/>
          <w:lang w:val="en-US" w:eastAsia="zh-CN"/>
        </w:rPr>
        <w:t>本项目为综合医院，项目污水收集后进入污水处理站处理达标后排入市政污水管网，最终进入大英县城市生活污水处理厂处理达标后排入郪江。其中</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门急诊、住院、医务人员废水经化粪池</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处理后排入污水处理站处理。②食堂废水经隔油沉淀后排入污水处理站处理。③感染楼和发热楼废水经预消毒处理后排入化粪池再进入污水处理站处理。</w:t>
      </w:r>
    </w:p>
    <w:p w14:paraId="54C489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污水处理污水处理站采用二级深化处理工艺，处理达到《医疗机构水污染物排放标准》（GB18466-2005）表 2 中预处理标准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及《污水排入城镇下水道水质标准》（GB/T31962-2015）表（1）标准后</w:t>
      </w:r>
      <w:r>
        <w:rPr>
          <w:rFonts w:hint="default" w:ascii="Times New Roman" w:hAnsi="Times New Roman" w:eastAsia="宋体" w:cs="Times New Roman"/>
          <w:color w:val="auto"/>
          <w:sz w:val="24"/>
          <w:szCs w:val="24"/>
          <w:lang w:val="en-US" w:eastAsia="zh-CN"/>
        </w:rPr>
        <w:t>排入市政管网。其中氨氮参考执行《污水排入城镇下水道水质标准》（GB/T31962-2015）中</w:t>
      </w:r>
      <w:r>
        <w:rPr>
          <w:rFonts w:hint="eastAsia" w:ascii="Times New Roman" w:hAnsi="Times New Roman" w:eastAsia="宋体" w:cs="Times New Roman"/>
          <w:color w:val="auto"/>
          <w:sz w:val="24"/>
          <w:szCs w:val="24"/>
          <w:lang w:val="en-US" w:eastAsia="zh-CN"/>
        </w:rPr>
        <w:t>表（1）</w:t>
      </w:r>
      <w:r>
        <w:rPr>
          <w:rFonts w:hint="default" w:ascii="Times New Roman" w:hAnsi="Times New Roman" w:eastAsia="宋体" w:cs="Times New Roman"/>
          <w:color w:val="auto"/>
          <w:sz w:val="24"/>
          <w:szCs w:val="24"/>
          <w:lang w:val="en-US" w:eastAsia="zh-CN"/>
        </w:rPr>
        <w:t>标准，《污水排入城镇下水道水质标准》（GB/T31962-2015）中</w:t>
      </w:r>
      <w:r>
        <w:rPr>
          <w:rFonts w:hint="eastAsia" w:ascii="Times New Roman" w:hAnsi="Times New Roman" w:eastAsia="宋体" w:cs="Times New Roman"/>
          <w:color w:val="auto"/>
          <w:sz w:val="24"/>
          <w:szCs w:val="24"/>
          <w:lang w:val="en-US" w:eastAsia="zh-CN"/>
        </w:rPr>
        <w:t>表（1）A</w:t>
      </w:r>
      <w:r>
        <w:rPr>
          <w:rFonts w:hint="default" w:ascii="Times New Roman" w:hAnsi="Times New Roman" w:eastAsia="宋体" w:cs="Times New Roman"/>
          <w:color w:val="auto"/>
          <w:sz w:val="24"/>
          <w:szCs w:val="24"/>
          <w:lang w:val="en-US" w:eastAsia="zh-CN"/>
        </w:rPr>
        <w:t>标</w:t>
      </w:r>
      <w:r>
        <w:rPr>
          <w:rFonts w:hint="eastAsia" w:ascii="Times New Roman" w:hAnsi="Times New Roman" w:eastAsia="宋体" w:cs="Times New Roman"/>
          <w:color w:val="auto"/>
          <w:sz w:val="24"/>
          <w:szCs w:val="24"/>
          <w:lang w:val="en-US" w:eastAsia="zh-CN"/>
        </w:rPr>
        <w:t>中总磷排放限值为8mg/L，大于了项目污水接纳污水处理厂（大英县城市生活污水处理厂）设计进水水质要求：4mg/L，因此，项目总磷排放限值按照4mg/L执行。</w:t>
      </w:r>
      <w:r>
        <w:rPr>
          <w:rFonts w:hint="default" w:ascii="Times New Roman" w:hAnsi="Times New Roman" w:eastAsia="宋体" w:cs="Times New Roman"/>
          <w:color w:val="auto"/>
          <w:sz w:val="24"/>
          <w:szCs w:val="24"/>
          <w:lang w:val="en-US" w:eastAsia="zh-CN"/>
        </w:rPr>
        <w:t>其标准限值见表 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9及1.5-10</w:t>
      </w:r>
      <w:r>
        <w:rPr>
          <w:rFonts w:hint="default" w:ascii="Times New Roman" w:hAnsi="Times New Roman" w:eastAsia="宋体" w:cs="Times New Roman"/>
          <w:color w:val="auto"/>
          <w:sz w:val="24"/>
          <w:szCs w:val="24"/>
          <w:lang w:val="en-US" w:eastAsia="zh-CN"/>
        </w:rPr>
        <w:t>。</w:t>
      </w:r>
    </w:p>
    <w:p w14:paraId="5F3962A1">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p>
    <w:p w14:paraId="40C72074">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项目污水排放执行标准</w:t>
      </w:r>
    </w:p>
    <w:tbl>
      <w:tblPr>
        <w:tblStyle w:val="20"/>
        <w:tblW w:w="8439" w:type="dxa"/>
        <w:tblInd w:w="0" w:type="dxa"/>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22"/>
        <w:gridCol w:w="1450"/>
        <w:gridCol w:w="3623"/>
        <w:gridCol w:w="2644"/>
      </w:tblGrid>
      <w:tr w14:paraId="22A309D1">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658" w:hRule="atLeast"/>
        </w:trPr>
        <w:tc>
          <w:tcPr>
            <w:tcW w:w="722" w:type="dxa"/>
            <w:tcBorders>
              <w:top w:val="single" w:color="000000" w:sz="6" w:space="0"/>
              <w:left w:val="nil"/>
              <w:bottom w:val="single" w:color="000000" w:sz="6" w:space="0"/>
              <w:right w:val="single" w:color="000000" w:sz="6" w:space="0"/>
            </w:tcBorders>
            <w:shd w:val="clear" w:color="auto" w:fill="D7D7D7" w:themeFill="background1" w:themeFillShade="D8"/>
            <w:tcMar>
              <w:top w:w="75" w:type="dxa"/>
              <w:left w:w="150" w:type="dxa"/>
              <w:bottom w:w="75" w:type="dxa"/>
              <w:right w:w="150" w:type="dxa"/>
            </w:tcMar>
            <w:vAlign w:val="center"/>
          </w:tcPr>
          <w:p w14:paraId="42BAE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left w:w="150" w:type="dxa"/>
              <w:bottom w:w="75" w:type="dxa"/>
              <w:right w:w="150" w:type="dxa"/>
            </w:tcMar>
            <w:vAlign w:val="center"/>
          </w:tcPr>
          <w:p w14:paraId="48C1A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控制项目</w:t>
            </w:r>
          </w:p>
        </w:tc>
        <w:tc>
          <w:tcPr>
            <w:tcW w:w="2644" w:type="dxa"/>
            <w:tcBorders>
              <w:top w:val="single" w:color="000000" w:sz="6" w:space="0"/>
              <w:left w:val="single" w:color="000000" w:sz="6" w:space="0"/>
              <w:bottom w:val="single" w:color="000000" w:sz="6" w:space="0"/>
              <w:right w:val="nil"/>
            </w:tcBorders>
            <w:shd w:val="clear" w:color="auto" w:fill="D7D7D7" w:themeFill="background1" w:themeFillShade="D8"/>
            <w:tcMar>
              <w:top w:w="75" w:type="dxa"/>
              <w:left w:w="150" w:type="dxa"/>
              <w:bottom w:w="75" w:type="dxa"/>
              <w:right w:w="150" w:type="dxa"/>
            </w:tcMar>
            <w:vAlign w:val="center"/>
          </w:tcPr>
          <w:p w14:paraId="185A6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（GB18466-2005）</w:t>
            </w:r>
          </w:p>
          <w:p w14:paraId="1E79F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预处理标准</w:t>
            </w:r>
          </w:p>
        </w:tc>
      </w:tr>
      <w:tr w14:paraId="2F5E0D11">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3F37E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5D3D7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粪大肠菌群数（MPN/L）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689C5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p>
        </w:tc>
      </w:tr>
      <w:tr w14:paraId="6FCF9286">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6268CA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8DDC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肠道致病菌</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57265D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341DD1C">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A801D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27656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肠道病菌</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7DAF1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5FFA774">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4C864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1D801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pH（无量纲）</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50647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14:paraId="21957F1B">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vMerge w:val="restart"/>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51752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50"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71F98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1C121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055A1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r>
      <w:tr w14:paraId="275A718E">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vMerge w:val="continue"/>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A883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5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18191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9AE3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最高允许排放负荷g/(床位)·d</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2CF0BE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r>
      <w:tr w14:paraId="55BA545D">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tblCellMar>
            <w:top w:w="0" w:type="dxa"/>
            <w:left w:w="0" w:type="dxa"/>
            <w:bottom w:w="0" w:type="dxa"/>
            <w:right w:w="0" w:type="dxa"/>
          </w:tblCellMar>
        </w:tblPrEx>
        <w:trPr>
          <w:trHeight w:val="318" w:hRule="atLeast"/>
        </w:trPr>
        <w:tc>
          <w:tcPr>
            <w:tcW w:w="722" w:type="dxa"/>
            <w:vMerge w:val="restart"/>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0DA7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450"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12A2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生化需氧量</w:t>
            </w: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2A4E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35E13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216091BA">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tblCellMar>
            <w:top w:w="0" w:type="dxa"/>
            <w:left w:w="0" w:type="dxa"/>
            <w:bottom w:w="0" w:type="dxa"/>
            <w:right w:w="0" w:type="dxa"/>
          </w:tblCellMar>
        </w:tblPrEx>
        <w:trPr>
          <w:trHeight w:val="318" w:hRule="atLeast"/>
        </w:trPr>
        <w:tc>
          <w:tcPr>
            <w:tcW w:w="722" w:type="dxa"/>
            <w:vMerge w:val="continue"/>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15C9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5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2D250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2B97ED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最高允许排放负荷g/(床位)·d</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76C95D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0A6FBB7F">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vMerge w:val="restart"/>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EFBF7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450" w:type="dxa"/>
            <w:vMerge w:val="restart"/>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F619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63E54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4DB99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369DE10E">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vMerge w:val="continue"/>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35559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45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76EF4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36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2CCF7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最高允许排放负荷g/(床位)·d</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11CCA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457F3712">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B37C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195B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64694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0E4035D">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02ED3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41FC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2C9678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12C7F243">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AF07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60BE8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229D01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7EC2AC21">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692EA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23BF1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阴离子表面活性剂（mg/L）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5117C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5E7B9310">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D48D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150DD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色度（稀释倍数）</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4F9DF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5809EF9">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11070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2B90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挥发酚（mg/L）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2E001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4C50BE53">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30112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6336E8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总氰化物（mg/L）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494436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25233705">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10A1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FA729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总汞（mg/L）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513F4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r>
      <w:tr w14:paraId="582AD0CB">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6E54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EDCC9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总镉（mg/L）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1D82B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r>
      <w:tr w14:paraId="38F749A4">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92AA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3D355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总铬（mg/L）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117F7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61CAAD4A">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171534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1491B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六价铬（mg/L）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64C2F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65518136">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7316B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01DD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总砷（mg/L）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49182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72A16E4F">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5CC09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1FB17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总铅（mg/L）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626D41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26CC3620">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591D3B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5655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总银（mg/L）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27933D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5E78ADB0">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356E3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3D409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总α（Bq/L）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32323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8D8B811">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63CCB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5DC4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总β（Bq/L）</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1CA93A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345B0464">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28" w:hRule="atLeast"/>
        </w:trPr>
        <w:tc>
          <w:tcPr>
            <w:tcW w:w="722"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1E979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5073" w:type="dxa"/>
            <w:gridSpan w:val="2"/>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00993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总余氯1),2)</w:t>
            </w:r>
          </w:p>
        </w:tc>
        <w:tc>
          <w:tcPr>
            <w:tcW w:w="2644"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7856D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262B9013">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10  其他污水水质因子排放限值要求</w:t>
      </w:r>
    </w:p>
    <w:tbl>
      <w:tblPr>
        <w:tblStyle w:val="20"/>
        <w:tblW w:w="8604" w:type="dxa"/>
        <w:tblInd w:w="0" w:type="dxa"/>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41"/>
        <w:gridCol w:w="2294"/>
        <w:gridCol w:w="3838"/>
        <w:gridCol w:w="1631"/>
      </w:tblGrid>
      <w:tr w14:paraId="20FE3E27">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76" w:hRule="atLeast"/>
        </w:trPr>
        <w:tc>
          <w:tcPr>
            <w:tcW w:w="841" w:type="dxa"/>
            <w:tcBorders>
              <w:top w:val="single" w:color="000000" w:sz="6" w:space="0"/>
              <w:left w:val="nil"/>
              <w:bottom w:val="single" w:color="000000" w:sz="6" w:space="0"/>
              <w:right w:val="single" w:color="000000" w:sz="6" w:space="0"/>
            </w:tcBorders>
            <w:shd w:val="clear" w:color="auto" w:fill="BEBEBE" w:themeFill="background1" w:themeFillShade="BF"/>
            <w:tcMar>
              <w:top w:w="75" w:type="dxa"/>
              <w:left w:w="150" w:type="dxa"/>
              <w:bottom w:w="75" w:type="dxa"/>
              <w:right w:w="150" w:type="dxa"/>
            </w:tcMar>
            <w:vAlign w:val="center"/>
          </w:tcPr>
          <w:p w14:paraId="4F776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294"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tcMar>
              <w:top w:w="75" w:type="dxa"/>
              <w:left w:w="150" w:type="dxa"/>
              <w:bottom w:w="75" w:type="dxa"/>
              <w:right w:w="150" w:type="dxa"/>
            </w:tcMar>
            <w:vAlign w:val="center"/>
          </w:tcPr>
          <w:p w14:paraId="7E1B3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控制项目</w:t>
            </w:r>
          </w:p>
        </w:tc>
        <w:tc>
          <w:tcPr>
            <w:tcW w:w="3838" w:type="dxa"/>
            <w:tcBorders>
              <w:top w:val="single" w:color="000000" w:sz="6" w:space="0"/>
              <w:left w:val="single" w:color="000000" w:sz="6" w:space="0"/>
              <w:bottom w:val="single" w:color="000000" w:sz="6" w:space="0"/>
              <w:right w:val="nil"/>
            </w:tcBorders>
            <w:shd w:val="clear" w:color="auto" w:fill="BEBEBE" w:themeFill="background1" w:themeFillShade="BF"/>
            <w:tcMar>
              <w:top w:w="75" w:type="dxa"/>
              <w:left w:w="150" w:type="dxa"/>
              <w:bottom w:w="75" w:type="dxa"/>
              <w:right w:w="150" w:type="dxa"/>
            </w:tcMar>
            <w:vAlign w:val="center"/>
          </w:tcPr>
          <w:p w14:paraId="2F7C7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排放限值来源</w:t>
            </w:r>
          </w:p>
        </w:tc>
        <w:tc>
          <w:tcPr>
            <w:tcW w:w="1631" w:type="dxa"/>
            <w:tcBorders>
              <w:top w:val="single" w:color="000000" w:sz="6" w:space="0"/>
              <w:left w:val="single" w:color="000000" w:sz="6" w:space="0"/>
              <w:bottom w:val="single" w:color="000000" w:sz="6" w:space="0"/>
              <w:right w:val="nil"/>
            </w:tcBorders>
            <w:shd w:val="clear" w:color="auto" w:fill="BEBEBE" w:themeFill="background1" w:themeFillShade="BF"/>
            <w:tcMar>
              <w:top w:w="75" w:type="dxa"/>
              <w:left w:w="150" w:type="dxa"/>
              <w:bottom w:w="75" w:type="dxa"/>
              <w:right w:w="150" w:type="dxa"/>
            </w:tcMar>
            <w:vAlign w:val="center"/>
          </w:tcPr>
          <w:p w14:paraId="23546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排放限值</w:t>
            </w:r>
          </w:p>
        </w:tc>
      </w:tr>
      <w:tr w14:paraId="0D3CD4A9">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76" w:hRule="atLeast"/>
        </w:trPr>
        <w:tc>
          <w:tcPr>
            <w:tcW w:w="841"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25F1DE5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2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AD6375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氨氮（mg/L）</w:t>
            </w:r>
          </w:p>
        </w:tc>
        <w:tc>
          <w:tcPr>
            <w:tcW w:w="3838"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00AADB5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《污水排入城镇下水道水质标准》（GB/T31962-2015）中</w:t>
            </w:r>
            <w:r>
              <w:rPr>
                <w:rFonts w:hint="eastAsia" w:ascii="Times New Roman" w:hAnsi="Times New Roman" w:eastAsia="宋体" w:cs="Times New Roman"/>
                <w:color w:val="auto"/>
                <w:sz w:val="21"/>
                <w:szCs w:val="21"/>
                <w:lang w:val="en-US" w:eastAsia="zh-CN"/>
              </w:rPr>
              <w:t>表（1）A</w:t>
            </w:r>
            <w:r>
              <w:rPr>
                <w:rFonts w:hint="default" w:ascii="Times New Roman" w:hAnsi="Times New Roman" w:eastAsia="宋体" w:cs="Times New Roman"/>
                <w:color w:val="auto"/>
                <w:sz w:val="21"/>
                <w:szCs w:val="21"/>
                <w:lang w:val="en-US" w:eastAsia="zh-CN"/>
              </w:rPr>
              <w:t>标</w:t>
            </w:r>
          </w:p>
        </w:tc>
        <w:tc>
          <w:tcPr>
            <w:tcW w:w="1631"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024258B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r>
      <w:tr w14:paraId="485C26FD">
        <w:tblPrEx>
          <w:tblBorders>
            <w:top w:val="single" w:color="C6C2C2" w:sz="6" w:space="0"/>
            <w:left w:val="single" w:color="C6C2C2" w:sz="6" w:space="0"/>
            <w:bottom w:val="single" w:color="C6C2C2" w:sz="6" w:space="0"/>
            <w:right w:val="single" w:color="C6C2C2" w:sz="6" w:space="0"/>
            <w:insideH w:val="none" w:color="auto" w:sz="0" w:space="0"/>
            <w:insideV w:val="none" w:color="auto" w:sz="0" w:space="0"/>
          </w:tblBorders>
          <w:shd w:val="clear" w:color="auto" w:fill="auto"/>
          <w:tblCellMar>
            <w:top w:w="0" w:type="dxa"/>
            <w:left w:w="0" w:type="dxa"/>
            <w:bottom w:w="0" w:type="dxa"/>
            <w:right w:w="0" w:type="dxa"/>
          </w:tblCellMar>
        </w:tblPrEx>
        <w:trPr>
          <w:trHeight w:val="392" w:hRule="atLeast"/>
        </w:trPr>
        <w:tc>
          <w:tcPr>
            <w:tcW w:w="841" w:type="dxa"/>
            <w:tcBorders>
              <w:top w:val="single" w:color="000000" w:sz="6" w:space="0"/>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14:paraId="58EAD48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2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3081D95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总磷（mg/L）</w:t>
            </w:r>
          </w:p>
        </w:tc>
        <w:tc>
          <w:tcPr>
            <w:tcW w:w="3838"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1DD0D35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（大英县城市生活污水处理厂）设计进水水质要求</w:t>
            </w:r>
          </w:p>
        </w:tc>
        <w:tc>
          <w:tcPr>
            <w:tcW w:w="1631" w:type="dxa"/>
            <w:tcBorders>
              <w:top w:val="single" w:color="000000" w:sz="6" w:space="0"/>
              <w:left w:val="single" w:color="000000" w:sz="6" w:space="0"/>
              <w:bottom w:val="single" w:color="000000" w:sz="6" w:space="0"/>
              <w:right w:val="nil"/>
            </w:tcBorders>
            <w:shd w:val="clear" w:color="auto" w:fill="FFFFFF"/>
            <w:tcMar>
              <w:top w:w="75" w:type="dxa"/>
              <w:left w:w="150" w:type="dxa"/>
              <w:bottom w:w="75" w:type="dxa"/>
              <w:right w:w="150" w:type="dxa"/>
            </w:tcMar>
            <w:vAlign w:val="center"/>
          </w:tcPr>
          <w:p w14:paraId="3DE2648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r>
    </w:tbl>
    <w:p w14:paraId="7C218E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279" w:name="_Toc107"/>
      <w:bookmarkStart w:id="280" w:name="_Toc26649"/>
      <w:bookmarkStart w:id="281" w:name="_Toc26566"/>
      <w:r>
        <w:rPr>
          <w:rFonts w:hint="default" w:ascii="Times New Roman" w:hAnsi="Times New Roman" w:eastAsia="宋体" w:cs="Times New Roman"/>
          <w:color w:val="auto"/>
          <w:sz w:val="24"/>
          <w:szCs w:val="24"/>
          <w:lang w:val="en-US" w:eastAsia="zh-CN"/>
        </w:rPr>
        <w:t>（2）废气排放标准</w:t>
      </w:r>
      <w:bookmarkEnd w:id="279"/>
      <w:bookmarkEnd w:id="280"/>
      <w:bookmarkEnd w:id="281"/>
    </w:p>
    <w:p w14:paraId="3115CD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项目施工期扬尘排放满足《四川省施工场地扬尘排放标准》（DB51/2682-2020）中表1相关标准；项目营运期污水处理站有组织排放废气执行《恶臭污染物排放标准》（GB14554-93）表 2 要求排放限值，无组织废气执行《医疗机构水污染物排放标准》（GB18466-2005）中表3标准；食堂油烟排放执行《饮食业油烟排放标准（试行）》（GB18483-2001）中的中型灶台油烟最高允许排放浓度和油烟净化设施最低去除效率。</w:t>
      </w:r>
    </w:p>
    <w:p w14:paraId="38CA41C7">
      <w:pPr>
        <w:keepNext w:val="0"/>
        <w:keepLines w:val="0"/>
        <w:pageBreakBefore w:val="0"/>
        <w:widowControl w:val="0"/>
        <w:kinsoku/>
        <w:wordWrap/>
        <w:overflowPunct/>
        <w:topLinePunct w:val="0"/>
        <w:autoSpaceDE/>
        <w:autoSpaceDN/>
        <w:bidi w:val="0"/>
        <w:adjustRightInd w:val="0"/>
        <w:snapToGrid w:val="0"/>
        <w:jc w:val="center"/>
        <w:textAlignment w:val="auto"/>
        <w:outlineLvl w:val="4"/>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11</w:t>
      </w:r>
      <w:r>
        <w:rPr>
          <w:rFonts w:hint="default" w:ascii="Times New Roman" w:hAnsi="Times New Roman" w:eastAsia="宋体" w:cs="Times New Roman"/>
          <w:b/>
          <w:color w:val="auto"/>
          <w:szCs w:val="21"/>
          <w:highlight w:val="none"/>
          <w:lang w:eastAsia="zh-CN"/>
        </w:rPr>
        <w:t xml:space="preserve">  四川省施工场地扬尘排放标准</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808"/>
        <w:gridCol w:w="1995"/>
        <w:gridCol w:w="2358"/>
        <w:gridCol w:w="1699"/>
      </w:tblGrid>
      <w:tr w14:paraId="487F9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378" w:type="dxa"/>
            <w:shd w:val="clear" w:color="auto" w:fill="BEBEBE" w:themeFill="background1" w:themeFillShade="BF"/>
            <w:noWrap w:val="0"/>
            <w:vAlign w:val="center"/>
          </w:tcPr>
          <w:p w14:paraId="3034C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808" w:type="dxa"/>
            <w:shd w:val="clear" w:color="auto" w:fill="BEBEBE" w:themeFill="background1" w:themeFillShade="BF"/>
            <w:noWrap w:val="0"/>
            <w:vAlign w:val="center"/>
          </w:tcPr>
          <w:p w14:paraId="33FB5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区域</w:t>
            </w:r>
          </w:p>
        </w:tc>
        <w:tc>
          <w:tcPr>
            <w:tcW w:w="1995" w:type="dxa"/>
            <w:shd w:val="clear" w:color="auto" w:fill="BEBEBE" w:themeFill="background1" w:themeFillShade="BF"/>
            <w:noWrap w:val="0"/>
            <w:vAlign w:val="center"/>
          </w:tcPr>
          <w:p w14:paraId="0CBD8C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施工阶段</w:t>
            </w:r>
          </w:p>
        </w:tc>
        <w:tc>
          <w:tcPr>
            <w:tcW w:w="2358" w:type="dxa"/>
            <w:shd w:val="clear" w:color="auto" w:fill="BEBEBE" w:themeFill="background1" w:themeFillShade="BF"/>
            <w:noWrap w:val="0"/>
            <w:vAlign w:val="center"/>
          </w:tcPr>
          <w:p w14:paraId="179C9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监测点排放限值（μg/m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1699" w:type="dxa"/>
            <w:shd w:val="clear" w:color="auto" w:fill="BEBEBE" w:themeFill="background1" w:themeFillShade="BF"/>
            <w:noWrap w:val="0"/>
            <w:vAlign w:val="center"/>
          </w:tcPr>
          <w:p w14:paraId="29A8B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监测时间</w:t>
            </w:r>
          </w:p>
        </w:tc>
      </w:tr>
      <w:tr w14:paraId="775E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78" w:type="dxa"/>
            <w:vMerge w:val="restart"/>
            <w:noWrap w:val="0"/>
            <w:vAlign w:val="center"/>
          </w:tcPr>
          <w:p w14:paraId="3635E3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总悬浮 颗粒物 （TSP）</w:t>
            </w:r>
          </w:p>
        </w:tc>
        <w:tc>
          <w:tcPr>
            <w:tcW w:w="808" w:type="dxa"/>
            <w:vMerge w:val="restart"/>
            <w:noWrap w:val="0"/>
            <w:vAlign w:val="center"/>
          </w:tcPr>
          <w:p w14:paraId="7A03AD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遂宁</w:t>
            </w:r>
            <w:r>
              <w:rPr>
                <w:rFonts w:hint="default" w:ascii="Times New Roman" w:hAnsi="Times New Roman" w:eastAsia="宋体" w:cs="Times New Roman"/>
                <w:color w:val="auto"/>
                <w:sz w:val="21"/>
                <w:szCs w:val="21"/>
              </w:rPr>
              <w:t>市</w:t>
            </w:r>
          </w:p>
        </w:tc>
        <w:tc>
          <w:tcPr>
            <w:tcW w:w="1995" w:type="dxa"/>
            <w:noWrap w:val="0"/>
            <w:vAlign w:val="center"/>
          </w:tcPr>
          <w:p w14:paraId="6C94DB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拆除工程/土方开挖/土方回填阶段</w:t>
            </w:r>
          </w:p>
        </w:tc>
        <w:tc>
          <w:tcPr>
            <w:tcW w:w="2358" w:type="dxa"/>
            <w:noWrap w:val="0"/>
            <w:vAlign w:val="center"/>
          </w:tcPr>
          <w:p w14:paraId="5C5EB0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1699" w:type="dxa"/>
            <w:vMerge w:val="restart"/>
            <w:noWrap w:val="0"/>
            <w:vAlign w:val="center"/>
          </w:tcPr>
          <w:p w14:paraId="75D57E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自监测起持续15分钟</w:t>
            </w:r>
          </w:p>
        </w:tc>
      </w:tr>
      <w:tr w14:paraId="0A010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78" w:type="dxa"/>
            <w:vMerge w:val="continue"/>
            <w:noWrap w:val="0"/>
            <w:vAlign w:val="center"/>
          </w:tcPr>
          <w:p w14:paraId="6C462E4C">
            <w:pPr>
              <w:jc w:val="center"/>
              <w:rPr>
                <w:rFonts w:hint="default" w:ascii="Times New Roman" w:hAnsi="Times New Roman" w:eastAsia="宋体" w:cs="Times New Roman"/>
                <w:color w:val="auto"/>
                <w:sz w:val="21"/>
                <w:szCs w:val="21"/>
              </w:rPr>
            </w:pPr>
          </w:p>
        </w:tc>
        <w:tc>
          <w:tcPr>
            <w:tcW w:w="808" w:type="dxa"/>
            <w:vMerge w:val="continue"/>
            <w:noWrap w:val="0"/>
            <w:vAlign w:val="center"/>
          </w:tcPr>
          <w:p w14:paraId="0EAF0E97">
            <w:pPr>
              <w:jc w:val="center"/>
              <w:rPr>
                <w:rFonts w:hint="default" w:ascii="Times New Roman" w:hAnsi="Times New Roman" w:eastAsia="宋体" w:cs="Times New Roman"/>
                <w:color w:val="auto"/>
                <w:sz w:val="21"/>
                <w:szCs w:val="21"/>
              </w:rPr>
            </w:pPr>
          </w:p>
        </w:tc>
        <w:tc>
          <w:tcPr>
            <w:tcW w:w="1995" w:type="dxa"/>
            <w:noWrap w:val="0"/>
            <w:vAlign w:val="center"/>
          </w:tcPr>
          <w:p w14:paraId="3298E3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其他工程阶段</w:t>
            </w:r>
          </w:p>
        </w:tc>
        <w:tc>
          <w:tcPr>
            <w:tcW w:w="2358" w:type="dxa"/>
            <w:noWrap w:val="0"/>
            <w:vAlign w:val="center"/>
          </w:tcPr>
          <w:p w14:paraId="63264F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699" w:type="dxa"/>
            <w:vMerge w:val="continue"/>
            <w:noWrap w:val="0"/>
            <w:vAlign w:val="center"/>
          </w:tcPr>
          <w:p w14:paraId="2AB13821">
            <w:pPr>
              <w:jc w:val="center"/>
              <w:rPr>
                <w:rFonts w:hint="default" w:ascii="Times New Roman" w:hAnsi="Times New Roman" w:eastAsia="宋体" w:cs="Times New Roman"/>
                <w:color w:val="auto"/>
                <w:sz w:val="21"/>
                <w:szCs w:val="21"/>
              </w:rPr>
            </w:pPr>
          </w:p>
        </w:tc>
      </w:tr>
    </w:tbl>
    <w:p w14:paraId="480592C6">
      <w:pPr>
        <w:keepNext w:val="0"/>
        <w:keepLines w:val="0"/>
        <w:widowControl/>
        <w:suppressLineNumbers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运营期大气污染物排放标准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2372"/>
        <w:gridCol w:w="1279"/>
        <w:gridCol w:w="1120"/>
        <w:gridCol w:w="2833"/>
      </w:tblGrid>
      <w:tr w14:paraId="3265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4" w:type="dxa"/>
            <w:tcBorders>
              <w:left w:val="nil"/>
            </w:tcBorders>
            <w:shd w:val="clear" w:color="auto" w:fill="BEBEBE" w:themeFill="background1" w:themeFillShade="BF"/>
            <w:vAlign w:val="center"/>
          </w:tcPr>
          <w:p w14:paraId="6C2F0D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282" w:name="_Toc19433"/>
            <w:bookmarkStart w:id="283" w:name="_Toc3754"/>
            <w:bookmarkStart w:id="284" w:name="_Toc11539"/>
            <w:r>
              <w:rPr>
                <w:rFonts w:hint="default" w:ascii="Times New Roman" w:hAnsi="Times New Roman" w:eastAsia="宋体" w:cs="Times New Roman"/>
                <w:b/>
                <w:bCs/>
                <w:color w:val="auto"/>
                <w:sz w:val="21"/>
                <w:szCs w:val="21"/>
                <w:vertAlign w:val="baseline"/>
                <w:lang w:val="en-US" w:eastAsia="zh-CN"/>
              </w:rPr>
              <w:t>序号</w:t>
            </w:r>
            <w:bookmarkEnd w:id="282"/>
            <w:bookmarkEnd w:id="283"/>
            <w:bookmarkEnd w:id="284"/>
          </w:p>
        </w:tc>
        <w:tc>
          <w:tcPr>
            <w:tcW w:w="2372" w:type="dxa"/>
            <w:shd w:val="clear" w:color="auto" w:fill="BEBEBE" w:themeFill="background1" w:themeFillShade="BF"/>
            <w:vAlign w:val="center"/>
          </w:tcPr>
          <w:p w14:paraId="774D72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285" w:name="_Toc2242"/>
            <w:bookmarkStart w:id="286" w:name="_Toc6276"/>
            <w:bookmarkStart w:id="287" w:name="_Toc25814"/>
            <w:r>
              <w:rPr>
                <w:rFonts w:hint="default" w:ascii="Times New Roman" w:hAnsi="Times New Roman" w:eastAsia="宋体" w:cs="Times New Roman"/>
                <w:b/>
                <w:bCs/>
                <w:color w:val="auto"/>
                <w:sz w:val="21"/>
                <w:szCs w:val="21"/>
                <w:vertAlign w:val="baseline"/>
                <w:lang w:val="en-US" w:eastAsia="zh-CN"/>
              </w:rPr>
              <w:t>污染物</w:t>
            </w:r>
            <w:bookmarkEnd w:id="285"/>
            <w:bookmarkEnd w:id="286"/>
            <w:bookmarkEnd w:id="287"/>
          </w:p>
        </w:tc>
        <w:tc>
          <w:tcPr>
            <w:tcW w:w="1279" w:type="dxa"/>
            <w:shd w:val="clear" w:color="auto" w:fill="BEBEBE" w:themeFill="background1" w:themeFillShade="BF"/>
            <w:vAlign w:val="center"/>
          </w:tcPr>
          <w:p w14:paraId="39E1E5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288" w:name="_Toc32104"/>
            <w:bookmarkStart w:id="289" w:name="_Toc824"/>
            <w:bookmarkStart w:id="290" w:name="_Toc23376"/>
            <w:r>
              <w:rPr>
                <w:rFonts w:hint="default" w:ascii="Times New Roman" w:hAnsi="Times New Roman" w:eastAsia="宋体" w:cs="Times New Roman"/>
                <w:b/>
                <w:bCs/>
                <w:color w:val="auto"/>
                <w:sz w:val="21"/>
                <w:szCs w:val="21"/>
                <w:vertAlign w:val="baseline"/>
                <w:lang w:val="en-US" w:eastAsia="zh-CN"/>
              </w:rPr>
              <w:t>单位</w:t>
            </w:r>
            <w:bookmarkEnd w:id="288"/>
            <w:bookmarkEnd w:id="289"/>
            <w:bookmarkEnd w:id="290"/>
          </w:p>
        </w:tc>
        <w:tc>
          <w:tcPr>
            <w:tcW w:w="1120" w:type="dxa"/>
            <w:shd w:val="clear" w:color="auto" w:fill="BEBEBE" w:themeFill="background1" w:themeFillShade="BF"/>
            <w:vAlign w:val="center"/>
          </w:tcPr>
          <w:p w14:paraId="20A32B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291" w:name="_Toc23248"/>
            <w:bookmarkStart w:id="292" w:name="_Toc9925"/>
            <w:bookmarkStart w:id="293" w:name="_Toc17035"/>
            <w:r>
              <w:rPr>
                <w:rFonts w:hint="default" w:ascii="Times New Roman" w:hAnsi="Times New Roman" w:eastAsia="宋体" w:cs="Times New Roman"/>
                <w:b/>
                <w:bCs/>
                <w:color w:val="auto"/>
                <w:sz w:val="21"/>
                <w:szCs w:val="21"/>
                <w:vertAlign w:val="baseline"/>
                <w:lang w:val="en-US" w:eastAsia="zh-CN"/>
              </w:rPr>
              <w:t>排放限值</w:t>
            </w:r>
            <w:bookmarkEnd w:id="291"/>
            <w:bookmarkEnd w:id="292"/>
            <w:bookmarkEnd w:id="293"/>
          </w:p>
        </w:tc>
        <w:tc>
          <w:tcPr>
            <w:tcW w:w="2833" w:type="dxa"/>
            <w:tcBorders>
              <w:right w:val="nil"/>
            </w:tcBorders>
            <w:shd w:val="clear" w:color="auto" w:fill="BEBEBE" w:themeFill="background1" w:themeFillShade="BF"/>
            <w:vAlign w:val="center"/>
          </w:tcPr>
          <w:p w14:paraId="458F7F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294" w:name="_Toc31108"/>
            <w:bookmarkStart w:id="295" w:name="_Toc16791"/>
            <w:bookmarkStart w:id="296" w:name="_Toc15235"/>
            <w:r>
              <w:rPr>
                <w:rFonts w:hint="default" w:ascii="Times New Roman" w:hAnsi="Times New Roman" w:eastAsia="宋体" w:cs="Times New Roman"/>
                <w:b/>
                <w:bCs/>
                <w:color w:val="auto"/>
                <w:sz w:val="21"/>
                <w:szCs w:val="21"/>
                <w:vertAlign w:val="baseline"/>
                <w:lang w:val="en-US" w:eastAsia="zh-CN"/>
              </w:rPr>
              <w:t>排放标准</w:t>
            </w:r>
            <w:bookmarkEnd w:id="294"/>
            <w:bookmarkEnd w:id="295"/>
            <w:bookmarkEnd w:id="296"/>
          </w:p>
        </w:tc>
      </w:tr>
      <w:tr w14:paraId="16BD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4" w:type="dxa"/>
            <w:tcBorders>
              <w:left w:val="nil"/>
            </w:tcBorders>
            <w:vAlign w:val="center"/>
          </w:tcPr>
          <w:p w14:paraId="471D76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297" w:name="_Toc29159"/>
            <w:bookmarkStart w:id="298" w:name="_Toc20472"/>
            <w:bookmarkStart w:id="299" w:name="_Toc9192"/>
            <w:r>
              <w:rPr>
                <w:rFonts w:hint="default" w:ascii="Times New Roman" w:hAnsi="Times New Roman" w:eastAsia="宋体" w:cs="Times New Roman"/>
                <w:color w:val="auto"/>
                <w:sz w:val="21"/>
                <w:szCs w:val="21"/>
                <w:vertAlign w:val="baseline"/>
                <w:lang w:val="en-US" w:eastAsia="zh-CN"/>
              </w:rPr>
              <w:t>1</w:t>
            </w:r>
            <w:bookmarkEnd w:id="297"/>
            <w:bookmarkEnd w:id="298"/>
            <w:bookmarkEnd w:id="299"/>
          </w:p>
        </w:tc>
        <w:tc>
          <w:tcPr>
            <w:tcW w:w="2372" w:type="dxa"/>
            <w:vAlign w:val="center"/>
          </w:tcPr>
          <w:p w14:paraId="18029C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00" w:name="_Toc13711"/>
            <w:bookmarkStart w:id="301" w:name="_Toc28408"/>
            <w:bookmarkStart w:id="302" w:name="_Toc18542"/>
            <w:r>
              <w:rPr>
                <w:rFonts w:hint="default" w:ascii="Times New Roman" w:hAnsi="Times New Roman" w:eastAsia="宋体" w:cs="Times New Roman"/>
                <w:color w:val="auto"/>
                <w:sz w:val="21"/>
                <w:szCs w:val="21"/>
                <w:vertAlign w:val="baseline"/>
                <w:lang w:val="en-US" w:eastAsia="zh-CN"/>
              </w:rPr>
              <w:t>硫化氢（有组织）</w:t>
            </w:r>
            <w:bookmarkEnd w:id="300"/>
            <w:bookmarkEnd w:id="301"/>
            <w:bookmarkEnd w:id="302"/>
          </w:p>
        </w:tc>
        <w:tc>
          <w:tcPr>
            <w:tcW w:w="1279" w:type="dxa"/>
            <w:vAlign w:val="center"/>
          </w:tcPr>
          <w:p w14:paraId="1ED2CD7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03" w:name="_Toc28"/>
            <w:bookmarkStart w:id="304" w:name="_Toc16270"/>
            <w:bookmarkStart w:id="305" w:name="_Toc2599"/>
            <w:r>
              <w:rPr>
                <w:rFonts w:hint="default" w:ascii="Times New Roman" w:hAnsi="Times New Roman" w:eastAsia="宋体" w:cs="Times New Roman"/>
                <w:color w:val="auto"/>
                <w:sz w:val="21"/>
                <w:szCs w:val="21"/>
                <w:vertAlign w:val="baseline"/>
                <w:lang w:val="en-US" w:eastAsia="zh-CN"/>
              </w:rPr>
              <w:t>Kg/h</w:t>
            </w:r>
            <w:bookmarkEnd w:id="303"/>
            <w:bookmarkEnd w:id="304"/>
            <w:bookmarkEnd w:id="305"/>
          </w:p>
        </w:tc>
        <w:tc>
          <w:tcPr>
            <w:tcW w:w="1120" w:type="dxa"/>
            <w:vAlign w:val="center"/>
          </w:tcPr>
          <w:p w14:paraId="5669DF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06" w:name="_Toc2193"/>
            <w:bookmarkStart w:id="307" w:name="_Toc18166"/>
            <w:bookmarkStart w:id="308" w:name="_Toc10375"/>
            <w:r>
              <w:rPr>
                <w:rFonts w:hint="default" w:ascii="Times New Roman" w:hAnsi="Times New Roman" w:eastAsia="宋体" w:cs="Times New Roman"/>
                <w:color w:val="auto"/>
                <w:sz w:val="21"/>
                <w:szCs w:val="21"/>
                <w:vertAlign w:val="baseline"/>
                <w:lang w:val="en-US" w:eastAsia="zh-CN"/>
              </w:rPr>
              <w:t>0.9</w:t>
            </w:r>
            <w:bookmarkEnd w:id="306"/>
            <w:bookmarkEnd w:id="307"/>
            <w:bookmarkEnd w:id="308"/>
          </w:p>
        </w:tc>
        <w:tc>
          <w:tcPr>
            <w:tcW w:w="2833" w:type="dxa"/>
            <w:vMerge w:val="restart"/>
            <w:tcBorders>
              <w:right w:val="nil"/>
            </w:tcBorders>
            <w:vAlign w:val="center"/>
          </w:tcPr>
          <w:p w14:paraId="17CE04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09" w:name="_Toc16"/>
            <w:bookmarkStart w:id="310" w:name="_Toc19285"/>
            <w:bookmarkStart w:id="311" w:name="_Toc32629"/>
            <w:r>
              <w:rPr>
                <w:rFonts w:hint="default" w:ascii="Times New Roman" w:hAnsi="Times New Roman" w:eastAsia="宋体" w:cs="Times New Roman"/>
                <w:color w:val="auto"/>
                <w:sz w:val="21"/>
                <w:szCs w:val="21"/>
                <w:lang w:val="en-US" w:eastAsia="zh-CN"/>
              </w:rPr>
              <w:t>《恶臭污染物排放标准》（GB14554-93）</w:t>
            </w:r>
            <w:bookmarkEnd w:id="309"/>
            <w:bookmarkEnd w:id="310"/>
            <w:bookmarkEnd w:id="311"/>
          </w:p>
        </w:tc>
      </w:tr>
      <w:tr w14:paraId="0281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3C66A6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12" w:name="_Toc5648"/>
            <w:bookmarkStart w:id="313" w:name="_Toc31559"/>
            <w:bookmarkStart w:id="314" w:name="_Toc2745"/>
            <w:r>
              <w:rPr>
                <w:rFonts w:hint="default" w:ascii="Times New Roman" w:hAnsi="Times New Roman" w:eastAsia="宋体" w:cs="Times New Roman"/>
                <w:color w:val="auto"/>
                <w:sz w:val="21"/>
                <w:szCs w:val="21"/>
                <w:vertAlign w:val="baseline"/>
                <w:lang w:val="en-US" w:eastAsia="zh-CN"/>
              </w:rPr>
              <w:t>2</w:t>
            </w:r>
            <w:bookmarkEnd w:id="312"/>
            <w:bookmarkEnd w:id="313"/>
            <w:bookmarkEnd w:id="314"/>
          </w:p>
        </w:tc>
        <w:tc>
          <w:tcPr>
            <w:tcW w:w="2372" w:type="dxa"/>
            <w:vAlign w:val="center"/>
          </w:tcPr>
          <w:p w14:paraId="4F1A557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15" w:name="_Toc9106"/>
            <w:bookmarkStart w:id="316" w:name="_Toc18043"/>
            <w:bookmarkStart w:id="317" w:name="_Toc32222"/>
            <w:r>
              <w:rPr>
                <w:rFonts w:hint="default" w:ascii="Times New Roman" w:hAnsi="Times New Roman" w:eastAsia="宋体" w:cs="Times New Roman"/>
                <w:color w:val="auto"/>
                <w:sz w:val="21"/>
                <w:szCs w:val="21"/>
                <w:vertAlign w:val="baseline"/>
                <w:lang w:val="en-US" w:eastAsia="zh-CN"/>
              </w:rPr>
              <w:t>氨（有组织）</w:t>
            </w:r>
            <w:bookmarkEnd w:id="315"/>
            <w:bookmarkEnd w:id="316"/>
            <w:bookmarkEnd w:id="317"/>
          </w:p>
        </w:tc>
        <w:tc>
          <w:tcPr>
            <w:tcW w:w="1279" w:type="dxa"/>
            <w:vAlign w:val="center"/>
          </w:tcPr>
          <w:p w14:paraId="4DEEAE2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18" w:name="_Toc29787"/>
            <w:bookmarkStart w:id="319" w:name="_Toc26199"/>
            <w:bookmarkStart w:id="320" w:name="_Toc22076"/>
            <w:r>
              <w:rPr>
                <w:rFonts w:hint="default" w:ascii="Times New Roman" w:hAnsi="Times New Roman" w:eastAsia="宋体" w:cs="Times New Roman"/>
                <w:color w:val="auto"/>
                <w:sz w:val="21"/>
                <w:szCs w:val="21"/>
                <w:vertAlign w:val="baseline"/>
                <w:lang w:val="en-US" w:eastAsia="zh-CN"/>
              </w:rPr>
              <w:t>Kg/h</w:t>
            </w:r>
            <w:bookmarkEnd w:id="318"/>
            <w:bookmarkEnd w:id="319"/>
            <w:bookmarkEnd w:id="320"/>
          </w:p>
        </w:tc>
        <w:tc>
          <w:tcPr>
            <w:tcW w:w="1120" w:type="dxa"/>
            <w:vAlign w:val="center"/>
          </w:tcPr>
          <w:p w14:paraId="478B82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21" w:name="_Toc2718"/>
            <w:bookmarkStart w:id="322" w:name="_Toc3637"/>
            <w:bookmarkStart w:id="323" w:name="_Toc13868"/>
            <w:r>
              <w:rPr>
                <w:rFonts w:hint="default" w:ascii="Times New Roman" w:hAnsi="Times New Roman" w:eastAsia="宋体" w:cs="Times New Roman"/>
                <w:color w:val="auto"/>
                <w:sz w:val="21"/>
                <w:szCs w:val="21"/>
                <w:vertAlign w:val="baseline"/>
                <w:lang w:val="en-US" w:eastAsia="zh-CN"/>
              </w:rPr>
              <w:t>14</w:t>
            </w:r>
            <w:bookmarkEnd w:id="321"/>
            <w:bookmarkEnd w:id="322"/>
            <w:bookmarkEnd w:id="323"/>
          </w:p>
        </w:tc>
        <w:tc>
          <w:tcPr>
            <w:tcW w:w="2833" w:type="dxa"/>
            <w:vMerge w:val="continue"/>
            <w:tcBorders>
              <w:right w:val="nil"/>
            </w:tcBorders>
            <w:vAlign w:val="center"/>
          </w:tcPr>
          <w:p w14:paraId="3C74F29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14:paraId="1050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3859A5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24" w:name="_Toc8177"/>
            <w:bookmarkStart w:id="325" w:name="_Toc2732"/>
            <w:bookmarkStart w:id="326" w:name="_Toc8308"/>
            <w:r>
              <w:rPr>
                <w:rFonts w:hint="default" w:ascii="Times New Roman" w:hAnsi="Times New Roman" w:eastAsia="宋体" w:cs="Times New Roman"/>
                <w:color w:val="auto"/>
                <w:sz w:val="21"/>
                <w:szCs w:val="21"/>
                <w:vertAlign w:val="baseline"/>
                <w:lang w:val="en-US" w:eastAsia="zh-CN"/>
              </w:rPr>
              <w:t>3</w:t>
            </w:r>
            <w:bookmarkEnd w:id="324"/>
            <w:bookmarkEnd w:id="325"/>
            <w:bookmarkEnd w:id="326"/>
          </w:p>
        </w:tc>
        <w:tc>
          <w:tcPr>
            <w:tcW w:w="2372" w:type="dxa"/>
            <w:vAlign w:val="center"/>
          </w:tcPr>
          <w:p w14:paraId="6BA627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27" w:name="_Toc14294"/>
            <w:bookmarkStart w:id="328" w:name="_Toc21046"/>
            <w:bookmarkStart w:id="329" w:name="_Toc31999"/>
            <w:r>
              <w:rPr>
                <w:rFonts w:hint="default" w:ascii="Times New Roman" w:hAnsi="Times New Roman" w:eastAsia="宋体" w:cs="Times New Roman"/>
                <w:color w:val="auto"/>
                <w:sz w:val="21"/>
                <w:szCs w:val="21"/>
                <w:vertAlign w:val="baseline"/>
                <w:lang w:val="en-US" w:eastAsia="zh-CN"/>
              </w:rPr>
              <w:t>臭气浓度（有组织）</w:t>
            </w:r>
            <w:bookmarkEnd w:id="327"/>
            <w:bookmarkEnd w:id="328"/>
            <w:bookmarkEnd w:id="329"/>
          </w:p>
        </w:tc>
        <w:tc>
          <w:tcPr>
            <w:tcW w:w="1279" w:type="dxa"/>
            <w:vAlign w:val="center"/>
          </w:tcPr>
          <w:p w14:paraId="2FFF2C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30" w:name="_Toc13259"/>
            <w:bookmarkStart w:id="331" w:name="_Toc3306"/>
            <w:bookmarkStart w:id="332" w:name="_Toc21875"/>
            <w:r>
              <w:rPr>
                <w:rFonts w:hint="default" w:ascii="Times New Roman" w:hAnsi="Times New Roman" w:eastAsia="宋体" w:cs="Times New Roman"/>
                <w:color w:val="auto"/>
                <w:sz w:val="21"/>
                <w:szCs w:val="21"/>
                <w:vertAlign w:val="baseline"/>
                <w:lang w:val="en-US" w:eastAsia="zh-CN"/>
              </w:rPr>
              <w:t>无量纲</w:t>
            </w:r>
            <w:bookmarkEnd w:id="330"/>
            <w:bookmarkEnd w:id="331"/>
            <w:bookmarkEnd w:id="332"/>
          </w:p>
        </w:tc>
        <w:tc>
          <w:tcPr>
            <w:tcW w:w="1120" w:type="dxa"/>
            <w:vAlign w:val="center"/>
          </w:tcPr>
          <w:p w14:paraId="2B90200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33" w:name="_Toc18956"/>
            <w:bookmarkStart w:id="334" w:name="_Toc26188"/>
            <w:bookmarkStart w:id="335" w:name="_Toc7955"/>
            <w:r>
              <w:rPr>
                <w:rFonts w:hint="default" w:ascii="Times New Roman" w:hAnsi="Times New Roman" w:eastAsia="宋体" w:cs="Times New Roman"/>
                <w:color w:val="auto"/>
                <w:sz w:val="21"/>
                <w:szCs w:val="21"/>
                <w:vertAlign w:val="baseline"/>
                <w:lang w:val="en-US" w:eastAsia="zh-CN"/>
              </w:rPr>
              <w:t>6000</w:t>
            </w:r>
            <w:bookmarkEnd w:id="333"/>
            <w:bookmarkEnd w:id="334"/>
            <w:bookmarkEnd w:id="335"/>
          </w:p>
        </w:tc>
        <w:tc>
          <w:tcPr>
            <w:tcW w:w="2833" w:type="dxa"/>
            <w:vMerge w:val="continue"/>
            <w:tcBorders>
              <w:right w:val="nil"/>
            </w:tcBorders>
            <w:vAlign w:val="center"/>
          </w:tcPr>
          <w:p w14:paraId="502D1E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14:paraId="78D7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22F8D2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36" w:name="_Toc17755"/>
            <w:bookmarkStart w:id="337" w:name="_Toc1712"/>
            <w:bookmarkStart w:id="338" w:name="_Toc22999"/>
            <w:r>
              <w:rPr>
                <w:rFonts w:hint="default" w:ascii="Times New Roman" w:hAnsi="Times New Roman" w:eastAsia="宋体" w:cs="Times New Roman"/>
                <w:color w:val="auto"/>
                <w:sz w:val="21"/>
                <w:szCs w:val="21"/>
                <w:vertAlign w:val="baseline"/>
                <w:lang w:val="en-US" w:eastAsia="zh-CN"/>
              </w:rPr>
              <w:t>4</w:t>
            </w:r>
            <w:bookmarkEnd w:id="336"/>
            <w:bookmarkEnd w:id="337"/>
            <w:bookmarkEnd w:id="338"/>
          </w:p>
        </w:tc>
        <w:tc>
          <w:tcPr>
            <w:tcW w:w="2372" w:type="dxa"/>
            <w:vAlign w:val="center"/>
          </w:tcPr>
          <w:p w14:paraId="379DF4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39" w:name="_Toc27490"/>
            <w:bookmarkStart w:id="340" w:name="_Toc3964"/>
            <w:bookmarkStart w:id="341" w:name="_Toc27819"/>
            <w:r>
              <w:rPr>
                <w:rFonts w:hint="default" w:ascii="Times New Roman" w:hAnsi="Times New Roman" w:eastAsia="宋体" w:cs="Times New Roman"/>
                <w:color w:val="auto"/>
                <w:sz w:val="21"/>
                <w:szCs w:val="21"/>
                <w:vertAlign w:val="baseline"/>
                <w:lang w:val="en-US" w:eastAsia="zh-CN"/>
              </w:rPr>
              <w:t>硫化氢（无组织）</w:t>
            </w:r>
            <w:bookmarkEnd w:id="339"/>
            <w:bookmarkEnd w:id="340"/>
            <w:bookmarkEnd w:id="341"/>
          </w:p>
        </w:tc>
        <w:tc>
          <w:tcPr>
            <w:tcW w:w="1279" w:type="dxa"/>
            <w:vAlign w:val="center"/>
          </w:tcPr>
          <w:p w14:paraId="43A4BF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42" w:name="_Toc5869"/>
            <w:bookmarkStart w:id="343" w:name="_Toc16475"/>
            <w:bookmarkStart w:id="344" w:name="_Toc22706"/>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bookmarkEnd w:id="342"/>
            <w:bookmarkEnd w:id="343"/>
            <w:bookmarkEnd w:id="344"/>
          </w:p>
        </w:tc>
        <w:tc>
          <w:tcPr>
            <w:tcW w:w="1120" w:type="dxa"/>
            <w:vAlign w:val="center"/>
          </w:tcPr>
          <w:p w14:paraId="5E5BE2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45" w:name="_Toc7524"/>
            <w:bookmarkStart w:id="346" w:name="_Toc19193"/>
            <w:bookmarkStart w:id="347" w:name="_Toc28778"/>
            <w:r>
              <w:rPr>
                <w:rFonts w:hint="default" w:ascii="Times New Roman" w:hAnsi="Times New Roman" w:eastAsia="宋体" w:cs="Times New Roman"/>
                <w:color w:val="auto"/>
                <w:sz w:val="21"/>
                <w:szCs w:val="21"/>
                <w:vertAlign w:val="baseline"/>
                <w:lang w:val="en-US" w:eastAsia="zh-CN"/>
              </w:rPr>
              <w:t>0.03</w:t>
            </w:r>
            <w:bookmarkEnd w:id="345"/>
            <w:bookmarkEnd w:id="346"/>
            <w:bookmarkEnd w:id="347"/>
          </w:p>
        </w:tc>
        <w:tc>
          <w:tcPr>
            <w:tcW w:w="2833" w:type="dxa"/>
            <w:vMerge w:val="restart"/>
            <w:tcBorders>
              <w:right w:val="nil"/>
            </w:tcBorders>
            <w:vAlign w:val="center"/>
          </w:tcPr>
          <w:p w14:paraId="35F6C7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《医疗机构水污染物排放标准》（GB18466-2005）</w:t>
            </w:r>
          </w:p>
        </w:tc>
      </w:tr>
      <w:tr w14:paraId="763A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62A7E45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48" w:name="_Toc17729"/>
            <w:bookmarkStart w:id="349" w:name="_Toc15771"/>
            <w:bookmarkStart w:id="350" w:name="_Toc1769"/>
            <w:r>
              <w:rPr>
                <w:rFonts w:hint="default" w:ascii="Times New Roman" w:hAnsi="Times New Roman" w:eastAsia="宋体" w:cs="Times New Roman"/>
                <w:color w:val="auto"/>
                <w:sz w:val="21"/>
                <w:szCs w:val="21"/>
                <w:vertAlign w:val="baseline"/>
                <w:lang w:val="en-US" w:eastAsia="zh-CN"/>
              </w:rPr>
              <w:t>5</w:t>
            </w:r>
            <w:bookmarkEnd w:id="348"/>
            <w:bookmarkEnd w:id="349"/>
            <w:bookmarkEnd w:id="350"/>
          </w:p>
        </w:tc>
        <w:tc>
          <w:tcPr>
            <w:tcW w:w="2372" w:type="dxa"/>
            <w:vAlign w:val="center"/>
          </w:tcPr>
          <w:p w14:paraId="20A6116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51" w:name="_Toc17692"/>
            <w:bookmarkStart w:id="352" w:name="_Toc9170"/>
            <w:bookmarkStart w:id="353" w:name="_Toc17238"/>
            <w:r>
              <w:rPr>
                <w:rFonts w:hint="default" w:ascii="Times New Roman" w:hAnsi="Times New Roman" w:eastAsia="宋体" w:cs="Times New Roman"/>
                <w:color w:val="auto"/>
                <w:sz w:val="21"/>
                <w:szCs w:val="21"/>
                <w:vertAlign w:val="baseline"/>
                <w:lang w:val="en-US" w:eastAsia="zh-CN"/>
              </w:rPr>
              <w:t>氨（无组织）</w:t>
            </w:r>
            <w:bookmarkEnd w:id="351"/>
            <w:bookmarkEnd w:id="352"/>
            <w:bookmarkEnd w:id="353"/>
          </w:p>
        </w:tc>
        <w:tc>
          <w:tcPr>
            <w:tcW w:w="1279" w:type="dxa"/>
            <w:vAlign w:val="center"/>
          </w:tcPr>
          <w:p w14:paraId="64D174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54" w:name="_Toc29310"/>
            <w:bookmarkStart w:id="355" w:name="_Toc11727"/>
            <w:bookmarkStart w:id="356" w:name="_Toc23489"/>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bookmarkEnd w:id="354"/>
            <w:bookmarkEnd w:id="355"/>
            <w:bookmarkEnd w:id="356"/>
          </w:p>
        </w:tc>
        <w:tc>
          <w:tcPr>
            <w:tcW w:w="1120" w:type="dxa"/>
            <w:vAlign w:val="center"/>
          </w:tcPr>
          <w:p w14:paraId="43BDF5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57" w:name="_Toc19244"/>
            <w:bookmarkStart w:id="358" w:name="_Toc13563"/>
            <w:bookmarkStart w:id="359" w:name="_Toc9033"/>
            <w:r>
              <w:rPr>
                <w:rFonts w:hint="default" w:ascii="Times New Roman" w:hAnsi="Times New Roman" w:eastAsia="宋体" w:cs="Times New Roman"/>
                <w:color w:val="auto"/>
                <w:sz w:val="21"/>
                <w:szCs w:val="21"/>
                <w:vertAlign w:val="baseline"/>
                <w:lang w:val="en-US" w:eastAsia="zh-CN"/>
              </w:rPr>
              <w:t>1.0</w:t>
            </w:r>
            <w:bookmarkEnd w:id="357"/>
            <w:bookmarkEnd w:id="358"/>
            <w:bookmarkEnd w:id="359"/>
          </w:p>
        </w:tc>
        <w:tc>
          <w:tcPr>
            <w:tcW w:w="2833" w:type="dxa"/>
            <w:vMerge w:val="continue"/>
            <w:tcBorders>
              <w:right w:val="nil"/>
            </w:tcBorders>
            <w:vAlign w:val="center"/>
          </w:tcPr>
          <w:p w14:paraId="63E43F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14:paraId="08B7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7772A5F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60" w:name="_Toc12666"/>
            <w:bookmarkStart w:id="361" w:name="_Toc5218"/>
            <w:bookmarkStart w:id="362" w:name="_Toc11653"/>
            <w:r>
              <w:rPr>
                <w:rFonts w:hint="default" w:ascii="Times New Roman" w:hAnsi="Times New Roman" w:eastAsia="宋体" w:cs="Times New Roman"/>
                <w:color w:val="auto"/>
                <w:sz w:val="21"/>
                <w:szCs w:val="21"/>
                <w:vertAlign w:val="baseline"/>
                <w:lang w:val="en-US" w:eastAsia="zh-CN"/>
              </w:rPr>
              <w:t>6</w:t>
            </w:r>
            <w:bookmarkEnd w:id="360"/>
            <w:bookmarkEnd w:id="361"/>
            <w:bookmarkEnd w:id="362"/>
          </w:p>
        </w:tc>
        <w:tc>
          <w:tcPr>
            <w:tcW w:w="2372" w:type="dxa"/>
            <w:vAlign w:val="center"/>
          </w:tcPr>
          <w:p w14:paraId="596FB0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63" w:name="_Toc28145"/>
            <w:bookmarkStart w:id="364" w:name="_Toc24939"/>
            <w:bookmarkStart w:id="365" w:name="_Toc766"/>
            <w:r>
              <w:rPr>
                <w:rFonts w:hint="default" w:ascii="Times New Roman" w:hAnsi="Times New Roman" w:eastAsia="宋体" w:cs="Times New Roman"/>
                <w:color w:val="auto"/>
                <w:sz w:val="21"/>
                <w:szCs w:val="21"/>
                <w:vertAlign w:val="baseline"/>
                <w:lang w:val="en-US" w:eastAsia="zh-CN"/>
              </w:rPr>
              <w:t>臭气浓度（无组织）</w:t>
            </w:r>
            <w:bookmarkEnd w:id="363"/>
            <w:bookmarkEnd w:id="364"/>
            <w:bookmarkEnd w:id="365"/>
          </w:p>
        </w:tc>
        <w:tc>
          <w:tcPr>
            <w:tcW w:w="1279" w:type="dxa"/>
            <w:vAlign w:val="center"/>
          </w:tcPr>
          <w:p w14:paraId="5D7221B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66" w:name="_Toc23257"/>
            <w:bookmarkStart w:id="367" w:name="_Toc22039"/>
            <w:bookmarkStart w:id="368" w:name="_Toc29915"/>
            <w:r>
              <w:rPr>
                <w:rFonts w:hint="default" w:ascii="Times New Roman" w:hAnsi="Times New Roman" w:eastAsia="宋体" w:cs="Times New Roman"/>
                <w:color w:val="auto"/>
                <w:sz w:val="21"/>
                <w:szCs w:val="21"/>
                <w:vertAlign w:val="baseline"/>
                <w:lang w:val="en-US" w:eastAsia="zh-CN"/>
              </w:rPr>
              <w:t>无量纲</w:t>
            </w:r>
            <w:bookmarkEnd w:id="366"/>
            <w:bookmarkEnd w:id="367"/>
            <w:bookmarkEnd w:id="368"/>
          </w:p>
        </w:tc>
        <w:tc>
          <w:tcPr>
            <w:tcW w:w="1120" w:type="dxa"/>
            <w:vAlign w:val="center"/>
          </w:tcPr>
          <w:p w14:paraId="098B37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69" w:name="_Toc19400"/>
            <w:bookmarkStart w:id="370" w:name="_Toc27653"/>
            <w:bookmarkStart w:id="371" w:name="_Toc19493"/>
            <w:r>
              <w:rPr>
                <w:rFonts w:hint="default" w:ascii="Times New Roman" w:hAnsi="Times New Roman" w:eastAsia="宋体" w:cs="Times New Roman"/>
                <w:color w:val="auto"/>
                <w:sz w:val="21"/>
                <w:szCs w:val="21"/>
                <w:vertAlign w:val="baseline"/>
                <w:lang w:val="en-US" w:eastAsia="zh-CN"/>
              </w:rPr>
              <w:t>10</w:t>
            </w:r>
            <w:bookmarkEnd w:id="369"/>
            <w:bookmarkEnd w:id="370"/>
            <w:bookmarkEnd w:id="371"/>
          </w:p>
        </w:tc>
        <w:tc>
          <w:tcPr>
            <w:tcW w:w="2833" w:type="dxa"/>
            <w:vMerge w:val="continue"/>
            <w:tcBorders>
              <w:right w:val="nil"/>
            </w:tcBorders>
            <w:vAlign w:val="center"/>
          </w:tcPr>
          <w:p w14:paraId="19DFED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14:paraId="30C9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4" w:type="dxa"/>
            <w:tcBorders>
              <w:left w:val="nil"/>
            </w:tcBorders>
            <w:vAlign w:val="center"/>
          </w:tcPr>
          <w:p w14:paraId="63C192C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72" w:name="_Toc20656"/>
            <w:bookmarkStart w:id="373" w:name="_Toc13437"/>
            <w:bookmarkStart w:id="374" w:name="_Toc7735"/>
            <w:r>
              <w:rPr>
                <w:rFonts w:hint="default" w:ascii="Times New Roman" w:hAnsi="Times New Roman" w:eastAsia="宋体" w:cs="Times New Roman"/>
                <w:color w:val="auto"/>
                <w:sz w:val="21"/>
                <w:szCs w:val="21"/>
                <w:vertAlign w:val="baseline"/>
                <w:lang w:val="en-US" w:eastAsia="zh-CN"/>
              </w:rPr>
              <w:t>7</w:t>
            </w:r>
            <w:bookmarkEnd w:id="372"/>
            <w:bookmarkEnd w:id="373"/>
            <w:bookmarkEnd w:id="374"/>
          </w:p>
        </w:tc>
        <w:tc>
          <w:tcPr>
            <w:tcW w:w="2372" w:type="dxa"/>
            <w:vAlign w:val="center"/>
          </w:tcPr>
          <w:p w14:paraId="1A3AFD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75" w:name="_Toc14847"/>
            <w:bookmarkStart w:id="376" w:name="_Toc21647"/>
            <w:bookmarkStart w:id="377" w:name="_Toc32480"/>
            <w:r>
              <w:rPr>
                <w:rFonts w:hint="default" w:ascii="Times New Roman" w:hAnsi="Times New Roman" w:eastAsia="宋体" w:cs="Times New Roman"/>
                <w:color w:val="auto"/>
                <w:sz w:val="21"/>
                <w:szCs w:val="21"/>
                <w:vertAlign w:val="baseline"/>
                <w:lang w:val="en-US" w:eastAsia="zh-CN"/>
              </w:rPr>
              <w:t>甲烷（无组织）</w:t>
            </w:r>
            <w:bookmarkEnd w:id="375"/>
            <w:bookmarkEnd w:id="376"/>
            <w:bookmarkEnd w:id="377"/>
          </w:p>
        </w:tc>
        <w:tc>
          <w:tcPr>
            <w:tcW w:w="1279" w:type="dxa"/>
            <w:vAlign w:val="center"/>
          </w:tcPr>
          <w:p w14:paraId="784A78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78" w:name="_Toc25762"/>
            <w:bookmarkStart w:id="379" w:name="_Toc32665"/>
            <w:bookmarkStart w:id="380" w:name="_Toc28619"/>
            <w:r>
              <w:rPr>
                <w:rFonts w:hint="default" w:ascii="Times New Roman" w:hAnsi="Times New Roman" w:eastAsia="宋体" w:cs="Times New Roman"/>
                <w:color w:val="auto"/>
                <w:sz w:val="21"/>
                <w:szCs w:val="21"/>
                <w:vertAlign w:val="baseline"/>
                <w:lang w:val="en-US" w:eastAsia="zh-CN"/>
              </w:rPr>
              <w:t>%</w:t>
            </w:r>
            <w:bookmarkEnd w:id="378"/>
            <w:bookmarkEnd w:id="379"/>
            <w:bookmarkEnd w:id="380"/>
          </w:p>
        </w:tc>
        <w:tc>
          <w:tcPr>
            <w:tcW w:w="1120" w:type="dxa"/>
            <w:vAlign w:val="center"/>
          </w:tcPr>
          <w:p w14:paraId="074893E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81" w:name="_Toc3829"/>
            <w:bookmarkStart w:id="382" w:name="_Toc13735"/>
            <w:bookmarkStart w:id="383" w:name="_Toc21510"/>
            <w:r>
              <w:rPr>
                <w:rFonts w:hint="default" w:ascii="Times New Roman" w:hAnsi="Times New Roman" w:eastAsia="宋体" w:cs="Times New Roman"/>
                <w:color w:val="auto"/>
                <w:sz w:val="21"/>
                <w:szCs w:val="21"/>
                <w:vertAlign w:val="baseline"/>
                <w:lang w:val="en-US" w:eastAsia="zh-CN"/>
              </w:rPr>
              <w:t>1</w:t>
            </w:r>
            <w:bookmarkEnd w:id="381"/>
            <w:bookmarkEnd w:id="382"/>
            <w:bookmarkEnd w:id="383"/>
          </w:p>
        </w:tc>
        <w:tc>
          <w:tcPr>
            <w:tcW w:w="2833" w:type="dxa"/>
            <w:vMerge w:val="continue"/>
            <w:tcBorders>
              <w:right w:val="nil"/>
            </w:tcBorders>
            <w:vAlign w:val="center"/>
          </w:tcPr>
          <w:p w14:paraId="07D09C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14:paraId="561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4" w:type="dxa"/>
            <w:tcBorders>
              <w:left w:val="nil"/>
            </w:tcBorders>
            <w:vAlign w:val="center"/>
          </w:tcPr>
          <w:p w14:paraId="013C14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84" w:name="_Toc9003"/>
            <w:bookmarkStart w:id="385" w:name="_Toc25779"/>
            <w:bookmarkStart w:id="386" w:name="_Toc2238"/>
            <w:r>
              <w:rPr>
                <w:rFonts w:hint="default" w:ascii="Times New Roman" w:hAnsi="Times New Roman" w:eastAsia="宋体" w:cs="Times New Roman"/>
                <w:color w:val="auto"/>
                <w:sz w:val="21"/>
                <w:szCs w:val="21"/>
                <w:vertAlign w:val="baseline"/>
                <w:lang w:val="en-US" w:eastAsia="zh-CN"/>
              </w:rPr>
              <w:t>8</w:t>
            </w:r>
            <w:bookmarkEnd w:id="384"/>
            <w:bookmarkEnd w:id="385"/>
            <w:bookmarkEnd w:id="386"/>
          </w:p>
        </w:tc>
        <w:tc>
          <w:tcPr>
            <w:tcW w:w="2372" w:type="dxa"/>
            <w:vAlign w:val="center"/>
          </w:tcPr>
          <w:p w14:paraId="66D5A0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87" w:name="_Toc22410"/>
            <w:bookmarkStart w:id="388" w:name="_Toc19464"/>
            <w:bookmarkStart w:id="389" w:name="_Toc11015"/>
            <w:r>
              <w:rPr>
                <w:rFonts w:hint="default" w:ascii="Times New Roman" w:hAnsi="Times New Roman" w:eastAsia="宋体" w:cs="Times New Roman"/>
                <w:color w:val="auto"/>
                <w:sz w:val="21"/>
                <w:szCs w:val="21"/>
                <w:vertAlign w:val="baseline"/>
                <w:lang w:val="en-US" w:eastAsia="zh-CN"/>
              </w:rPr>
              <w:t>油烟最高允许排放浓度</w:t>
            </w:r>
            <w:bookmarkEnd w:id="387"/>
            <w:bookmarkEnd w:id="388"/>
            <w:bookmarkEnd w:id="389"/>
          </w:p>
        </w:tc>
        <w:tc>
          <w:tcPr>
            <w:tcW w:w="1279" w:type="dxa"/>
            <w:vAlign w:val="center"/>
          </w:tcPr>
          <w:p w14:paraId="5B43730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90" w:name="_Toc28750"/>
            <w:bookmarkStart w:id="391" w:name="_Toc17152"/>
            <w:bookmarkStart w:id="392" w:name="_Toc23528"/>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bookmarkEnd w:id="390"/>
            <w:bookmarkEnd w:id="391"/>
            <w:bookmarkEnd w:id="392"/>
          </w:p>
        </w:tc>
        <w:tc>
          <w:tcPr>
            <w:tcW w:w="1120" w:type="dxa"/>
            <w:vAlign w:val="center"/>
          </w:tcPr>
          <w:p w14:paraId="02D68DD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93" w:name="_Toc12495"/>
            <w:bookmarkStart w:id="394" w:name="_Toc25535"/>
            <w:bookmarkStart w:id="395" w:name="_Toc19170"/>
            <w:r>
              <w:rPr>
                <w:rFonts w:hint="default" w:ascii="Times New Roman" w:hAnsi="Times New Roman" w:eastAsia="宋体" w:cs="Times New Roman"/>
                <w:color w:val="auto"/>
                <w:sz w:val="21"/>
                <w:szCs w:val="21"/>
                <w:vertAlign w:val="baseline"/>
                <w:lang w:val="en-US" w:eastAsia="zh-CN"/>
              </w:rPr>
              <w:t>2.0</w:t>
            </w:r>
            <w:bookmarkEnd w:id="393"/>
            <w:bookmarkEnd w:id="394"/>
            <w:bookmarkEnd w:id="395"/>
          </w:p>
        </w:tc>
        <w:tc>
          <w:tcPr>
            <w:tcW w:w="2833" w:type="dxa"/>
            <w:vMerge w:val="restart"/>
            <w:tcBorders>
              <w:right w:val="nil"/>
            </w:tcBorders>
            <w:vAlign w:val="center"/>
          </w:tcPr>
          <w:p w14:paraId="660DF8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96" w:name="_Toc8801"/>
            <w:bookmarkStart w:id="397" w:name="_Toc22548"/>
            <w:bookmarkStart w:id="398" w:name="_Toc30900"/>
            <w:r>
              <w:rPr>
                <w:rFonts w:hint="default" w:ascii="Times New Roman" w:hAnsi="Times New Roman" w:eastAsia="宋体" w:cs="Times New Roman"/>
                <w:color w:val="auto"/>
                <w:sz w:val="21"/>
                <w:szCs w:val="21"/>
                <w:lang w:val="en-US" w:eastAsia="zh-CN"/>
              </w:rPr>
              <w:t>《饮食业油烟排放标准（试行）》（GB18483-2001）</w:t>
            </w:r>
            <w:bookmarkEnd w:id="396"/>
            <w:bookmarkEnd w:id="397"/>
            <w:bookmarkEnd w:id="398"/>
          </w:p>
        </w:tc>
      </w:tr>
      <w:tr w14:paraId="6CF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44" w:type="dxa"/>
            <w:tcBorders>
              <w:left w:val="nil"/>
            </w:tcBorders>
            <w:vAlign w:val="center"/>
          </w:tcPr>
          <w:p w14:paraId="66E083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399" w:name="_Toc29408"/>
            <w:bookmarkStart w:id="400" w:name="_Toc4264"/>
            <w:bookmarkStart w:id="401" w:name="_Toc14221"/>
            <w:r>
              <w:rPr>
                <w:rFonts w:hint="default" w:ascii="Times New Roman" w:hAnsi="Times New Roman" w:eastAsia="宋体" w:cs="Times New Roman"/>
                <w:color w:val="auto"/>
                <w:sz w:val="21"/>
                <w:szCs w:val="21"/>
                <w:vertAlign w:val="baseline"/>
                <w:lang w:val="en-US" w:eastAsia="zh-CN"/>
              </w:rPr>
              <w:t>9</w:t>
            </w:r>
            <w:bookmarkEnd w:id="399"/>
            <w:bookmarkEnd w:id="400"/>
            <w:bookmarkEnd w:id="401"/>
          </w:p>
        </w:tc>
        <w:tc>
          <w:tcPr>
            <w:tcW w:w="2372" w:type="dxa"/>
            <w:vAlign w:val="center"/>
          </w:tcPr>
          <w:p w14:paraId="720A35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02" w:name="_Toc25381"/>
            <w:bookmarkStart w:id="403" w:name="_Toc28565"/>
            <w:bookmarkStart w:id="404" w:name="_Toc5724"/>
            <w:r>
              <w:rPr>
                <w:rFonts w:hint="default" w:ascii="Times New Roman" w:hAnsi="Times New Roman" w:eastAsia="宋体" w:cs="Times New Roman"/>
                <w:color w:val="auto"/>
                <w:sz w:val="21"/>
                <w:szCs w:val="21"/>
                <w:vertAlign w:val="baseline"/>
                <w:lang w:val="en-US" w:eastAsia="zh-CN"/>
              </w:rPr>
              <w:t>净化设施去除效率</w:t>
            </w:r>
            <w:bookmarkEnd w:id="402"/>
            <w:bookmarkEnd w:id="403"/>
            <w:bookmarkEnd w:id="404"/>
          </w:p>
        </w:tc>
        <w:tc>
          <w:tcPr>
            <w:tcW w:w="1279" w:type="dxa"/>
            <w:vAlign w:val="center"/>
          </w:tcPr>
          <w:p w14:paraId="1CAF1E2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05" w:name="_Toc24372"/>
            <w:bookmarkStart w:id="406" w:name="_Toc15711"/>
            <w:bookmarkStart w:id="407" w:name="_Toc17407"/>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bookmarkEnd w:id="405"/>
            <w:bookmarkEnd w:id="406"/>
            <w:bookmarkEnd w:id="407"/>
          </w:p>
        </w:tc>
        <w:tc>
          <w:tcPr>
            <w:tcW w:w="1120" w:type="dxa"/>
            <w:vAlign w:val="center"/>
          </w:tcPr>
          <w:p w14:paraId="7147AA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08" w:name="_Toc21560"/>
            <w:bookmarkStart w:id="409" w:name="_Toc29948"/>
            <w:bookmarkStart w:id="410" w:name="_Toc29052"/>
            <w:r>
              <w:rPr>
                <w:rFonts w:hint="default" w:ascii="Times New Roman" w:hAnsi="Times New Roman" w:eastAsia="宋体" w:cs="Times New Roman"/>
                <w:color w:val="auto"/>
                <w:sz w:val="21"/>
                <w:szCs w:val="21"/>
                <w:vertAlign w:val="baseline"/>
                <w:lang w:val="en-US" w:eastAsia="zh-CN"/>
              </w:rPr>
              <w:t>75</w:t>
            </w:r>
            <w:bookmarkEnd w:id="408"/>
            <w:bookmarkEnd w:id="409"/>
            <w:bookmarkEnd w:id="410"/>
          </w:p>
        </w:tc>
        <w:tc>
          <w:tcPr>
            <w:tcW w:w="2833" w:type="dxa"/>
            <w:vMerge w:val="continue"/>
            <w:tcBorders>
              <w:right w:val="nil"/>
            </w:tcBorders>
            <w:vAlign w:val="center"/>
          </w:tcPr>
          <w:p w14:paraId="0C9E17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1EF31E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411" w:name="_Toc18454"/>
      <w:bookmarkStart w:id="412" w:name="_Toc2612"/>
      <w:bookmarkStart w:id="413" w:name="_Toc30093"/>
      <w:r>
        <w:rPr>
          <w:rFonts w:hint="default" w:ascii="Times New Roman" w:hAnsi="Times New Roman" w:eastAsia="宋体" w:cs="Times New Roman"/>
          <w:color w:val="auto"/>
          <w:sz w:val="24"/>
          <w:szCs w:val="24"/>
          <w:lang w:val="en-US" w:eastAsia="zh-CN"/>
        </w:rPr>
        <w:t>（3）噪声</w:t>
      </w:r>
      <w:bookmarkEnd w:id="411"/>
      <w:bookmarkEnd w:id="412"/>
      <w:bookmarkEnd w:id="413"/>
    </w:p>
    <w:p w14:paraId="0E5172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施工期噪声执行《建筑施工场界环境噪声排放标准》（GB12523-2011）中限值标准。营运期环境噪声执行《工业企业场界环境噪声排放标准》（GB12348-2008）2类标准，具体标准限值见下表。</w:t>
      </w:r>
    </w:p>
    <w:p w14:paraId="66DAB424">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lang w:val="en-US" w:eastAsia="zh-CN"/>
        </w:rPr>
        <w:t xml:space="preserve"> 声环境质量标准      单位：dB（A）</w:t>
      </w:r>
    </w:p>
    <w:tbl>
      <w:tblPr>
        <w:tblStyle w:val="20"/>
        <w:tblW w:w="82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3206"/>
        <w:gridCol w:w="3206"/>
      </w:tblGrid>
      <w:tr w14:paraId="760AD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847" w:type="dxa"/>
            <w:tcBorders>
              <w:tl2br w:val="nil"/>
              <w:tr2bl w:val="nil"/>
            </w:tcBorders>
            <w:shd w:val="clear" w:color="auto" w:fill="BEBEBE" w:themeFill="background1" w:themeFillShade="BF"/>
            <w:vAlign w:val="center"/>
          </w:tcPr>
          <w:p w14:paraId="4F108EA3">
            <w:pPr>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3206" w:type="dxa"/>
            <w:tcBorders>
              <w:tl2br w:val="nil"/>
              <w:tr2bl w:val="nil"/>
            </w:tcBorders>
            <w:shd w:val="clear" w:color="auto" w:fill="BEBEBE" w:themeFill="background1" w:themeFillShade="BF"/>
            <w:vAlign w:val="center"/>
          </w:tcPr>
          <w:p w14:paraId="30282970">
            <w:pPr>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  间</w:t>
            </w:r>
          </w:p>
        </w:tc>
        <w:tc>
          <w:tcPr>
            <w:tcW w:w="3206" w:type="dxa"/>
            <w:tcBorders>
              <w:tl2br w:val="nil"/>
              <w:tr2bl w:val="nil"/>
            </w:tcBorders>
            <w:shd w:val="clear" w:color="auto" w:fill="BEBEBE" w:themeFill="background1" w:themeFillShade="BF"/>
            <w:vAlign w:val="center"/>
          </w:tcPr>
          <w:p w14:paraId="0C6E02C8">
            <w:pPr>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  间</w:t>
            </w:r>
          </w:p>
        </w:tc>
      </w:tr>
      <w:tr w14:paraId="6F1D2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847" w:type="dxa"/>
            <w:tcBorders>
              <w:tl2br w:val="nil"/>
              <w:tr2bl w:val="nil"/>
            </w:tcBorders>
            <w:vAlign w:val="center"/>
          </w:tcPr>
          <w:p w14:paraId="5ACC84DD">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施工期噪声</w:t>
            </w:r>
          </w:p>
        </w:tc>
        <w:tc>
          <w:tcPr>
            <w:tcW w:w="3206" w:type="dxa"/>
            <w:tcBorders>
              <w:tl2br w:val="nil"/>
              <w:tr2bl w:val="nil"/>
            </w:tcBorders>
            <w:vAlign w:val="center"/>
          </w:tcPr>
          <w:p w14:paraId="6653A57A">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c>
          <w:tcPr>
            <w:tcW w:w="3206" w:type="dxa"/>
            <w:tcBorders>
              <w:tl2br w:val="nil"/>
              <w:tr2bl w:val="nil"/>
            </w:tcBorders>
            <w:vAlign w:val="center"/>
          </w:tcPr>
          <w:p w14:paraId="50DD26C4">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w:t>
            </w:r>
          </w:p>
        </w:tc>
      </w:tr>
      <w:tr w14:paraId="6819C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847" w:type="dxa"/>
            <w:tcBorders>
              <w:tl2br w:val="nil"/>
              <w:tr2bl w:val="nil"/>
            </w:tcBorders>
            <w:vAlign w:val="center"/>
          </w:tcPr>
          <w:p w14:paraId="4BBC7691">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运营期</w:t>
            </w:r>
            <w:r>
              <w:rPr>
                <w:rFonts w:hint="default" w:ascii="Times New Roman" w:hAnsi="Times New Roman" w:eastAsia="宋体" w:cs="Times New Roman"/>
                <w:color w:val="auto"/>
                <w:szCs w:val="21"/>
              </w:rPr>
              <w:t>环境噪声</w:t>
            </w:r>
          </w:p>
        </w:tc>
        <w:tc>
          <w:tcPr>
            <w:tcW w:w="3206" w:type="dxa"/>
            <w:tcBorders>
              <w:tl2br w:val="nil"/>
              <w:tr2bl w:val="nil"/>
            </w:tcBorders>
            <w:vAlign w:val="center"/>
          </w:tcPr>
          <w:p w14:paraId="5DABB702">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3206" w:type="dxa"/>
            <w:tcBorders>
              <w:tl2br w:val="nil"/>
              <w:tr2bl w:val="nil"/>
            </w:tcBorders>
            <w:vAlign w:val="center"/>
          </w:tcPr>
          <w:p w14:paraId="30746ACA">
            <w:pPr>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bl>
    <w:p w14:paraId="2E940C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14:paraId="126A01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医疗废物：执行《危险废物贮存污染控制标准》（GB18597-2001）和《医疗废物专用包装袋、容器和警示标志标准》（HJ/T421-2008）。</w:t>
      </w:r>
    </w:p>
    <w:p w14:paraId="308537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医院污水处理站污泥：属于危险废物，应按危险废物进行处理和处置。污泥清掏前应进行检测，达到《医疗机构水污染物排放标准》（GB18466-2005）综合医疗机构污泥控制标准，各项指标限值见下表。</w:t>
      </w:r>
    </w:p>
    <w:p w14:paraId="6B166DF6">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医疗机构污泥控制标准</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437"/>
        <w:gridCol w:w="1463"/>
        <w:gridCol w:w="1262"/>
        <w:gridCol w:w="1311"/>
        <w:gridCol w:w="1420"/>
      </w:tblGrid>
      <w:tr w14:paraId="34F044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3" w:type="dxa"/>
            <w:shd w:val="clear" w:color="auto" w:fill="D7D7D7" w:themeFill="background1" w:themeFillShade="D8"/>
            <w:vAlign w:val="center"/>
          </w:tcPr>
          <w:p w14:paraId="7B1F34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bookmarkStart w:id="414" w:name="_Toc3642"/>
            <w:bookmarkStart w:id="415" w:name="_Toc24088"/>
            <w:r>
              <w:rPr>
                <w:rFonts w:hint="default" w:ascii="Times New Roman" w:hAnsi="Times New Roman" w:eastAsia="宋体" w:cs="Times New Roman"/>
                <w:b/>
                <w:bCs/>
                <w:color w:val="auto"/>
                <w:sz w:val="21"/>
                <w:szCs w:val="21"/>
                <w:lang w:val="en-US" w:eastAsia="zh-CN"/>
              </w:rPr>
              <w:t>机构类别</w:t>
            </w:r>
            <w:bookmarkEnd w:id="414"/>
            <w:bookmarkEnd w:id="415"/>
          </w:p>
        </w:tc>
        <w:tc>
          <w:tcPr>
            <w:tcW w:w="1437" w:type="dxa"/>
            <w:shd w:val="clear" w:color="auto" w:fill="D7D7D7" w:themeFill="background1" w:themeFillShade="D8"/>
            <w:vAlign w:val="center"/>
          </w:tcPr>
          <w:p w14:paraId="7879E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bookmarkStart w:id="416" w:name="_Toc8728"/>
            <w:bookmarkStart w:id="417" w:name="_Toc15111"/>
            <w:r>
              <w:rPr>
                <w:rFonts w:hint="default" w:ascii="Times New Roman" w:hAnsi="Times New Roman" w:eastAsia="宋体" w:cs="Times New Roman"/>
                <w:b/>
                <w:bCs/>
                <w:color w:val="auto"/>
                <w:sz w:val="21"/>
                <w:szCs w:val="21"/>
                <w:lang w:val="en-US" w:eastAsia="zh-CN"/>
              </w:rPr>
              <w:t>粪大肠菌群（MPN/g）</w:t>
            </w:r>
            <w:bookmarkEnd w:id="416"/>
            <w:bookmarkEnd w:id="417"/>
          </w:p>
        </w:tc>
        <w:tc>
          <w:tcPr>
            <w:tcW w:w="1463" w:type="dxa"/>
            <w:shd w:val="clear" w:color="auto" w:fill="D7D7D7" w:themeFill="background1" w:themeFillShade="D8"/>
            <w:vAlign w:val="center"/>
          </w:tcPr>
          <w:p w14:paraId="060A27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肠道致病菌</w:t>
            </w:r>
          </w:p>
        </w:tc>
        <w:tc>
          <w:tcPr>
            <w:tcW w:w="1262" w:type="dxa"/>
            <w:shd w:val="clear" w:color="auto" w:fill="D7D7D7" w:themeFill="background1" w:themeFillShade="D8"/>
            <w:vAlign w:val="center"/>
          </w:tcPr>
          <w:p w14:paraId="365AF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bookmarkStart w:id="418" w:name="_Toc517"/>
            <w:bookmarkStart w:id="419" w:name="_Toc29569"/>
            <w:r>
              <w:rPr>
                <w:rFonts w:hint="default" w:ascii="Times New Roman" w:hAnsi="Times New Roman" w:eastAsia="宋体" w:cs="Times New Roman"/>
                <w:b/>
                <w:bCs/>
                <w:color w:val="auto"/>
                <w:sz w:val="21"/>
                <w:szCs w:val="21"/>
                <w:lang w:val="en-US" w:eastAsia="zh-CN"/>
              </w:rPr>
              <w:t>肠道病毒</w:t>
            </w:r>
            <w:bookmarkEnd w:id="418"/>
            <w:bookmarkEnd w:id="419"/>
          </w:p>
        </w:tc>
        <w:tc>
          <w:tcPr>
            <w:tcW w:w="1311" w:type="dxa"/>
            <w:shd w:val="clear" w:color="auto" w:fill="D7D7D7" w:themeFill="background1" w:themeFillShade="D8"/>
            <w:vAlign w:val="center"/>
          </w:tcPr>
          <w:p w14:paraId="1409C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bookmarkStart w:id="420" w:name="_Toc20918"/>
            <w:bookmarkStart w:id="421" w:name="_Toc23112"/>
            <w:r>
              <w:rPr>
                <w:rFonts w:hint="default" w:ascii="Times New Roman" w:hAnsi="Times New Roman" w:eastAsia="宋体" w:cs="Times New Roman"/>
                <w:b/>
                <w:bCs/>
                <w:color w:val="auto"/>
                <w:sz w:val="21"/>
                <w:szCs w:val="21"/>
                <w:lang w:val="en-US" w:eastAsia="zh-CN"/>
              </w:rPr>
              <w:t>结核杆菌</w:t>
            </w:r>
            <w:bookmarkEnd w:id="420"/>
            <w:bookmarkEnd w:id="421"/>
          </w:p>
        </w:tc>
        <w:tc>
          <w:tcPr>
            <w:tcW w:w="1420" w:type="dxa"/>
            <w:shd w:val="clear" w:color="auto" w:fill="D7D7D7" w:themeFill="background1" w:themeFillShade="D8"/>
            <w:vAlign w:val="center"/>
          </w:tcPr>
          <w:p w14:paraId="3D42CF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蛔虫卵死亡率（%）</w:t>
            </w:r>
          </w:p>
        </w:tc>
      </w:tr>
      <w:tr w14:paraId="5897CA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1B88DBA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22" w:name="_Toc32699"/>
            <w:bookmarkStart w:id="423" w:name="_Toc21725"/>
            <w:bookmarkStart w:id="424" w:name="_Toc16408"/>
            <w:r>
              <w:rPr>
                <w:rFonts w:hint="default" w:ascii="Times New Roman" w:hAnsi="Times New Roman" w:eastAsia="宋体" w:cs="Times New Roman"/>
                <w:color w:val="auto"/>
                <w:sz w:val="21"/>
                <w:szCs w:val="21"/>
                <w:vertAlign w:val="baseline"/>
                <w:lang w:val="en-US" w:eastAsia="zh-CN"/>
              </w:rPr>
              <w:t>综合医疗机构</w:t>
            </w:r>
            <w:bookmarkEnd w:id="422"/>
            <w:bookmarkEnd w:id="423"/>
            <w:bookmarkEnd w:id="424"/>
          </w:p>
        </w:tc>
        <w:tc>
          <w:tcPr>
            <w:tcW w:w="1437" w:type="dxa"/>
            <w:vAlign w:val="center"/>
          </w:tcPr>
          <w:p w14:paraId="4A11AD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25" w:name="_Toc7156"/>
            <w:bookmarkStart w:id="426" w:name="_Toc9854"/>
            <w:bookmarkStart w:id="427" w:name="_Toc16989"/>
            <w:r>
              <w:rPr>
                <w:rFonts w:hint="default" w:ascii="Times New Roman" w:hAnsi="Times New Roman" w:eastAsia="宋体" w:cs="Times New Roman"/>
                <w:color w:val="auto"/>
                <w:sz w:val="21"/>
                <w:szCs w:val="21"/>
                <w:vertAlign w:val="baseline"/>
                <w:lang w:val="en-US" w:eastAsia="zh-CN"/>
              </w:rPr>
              <w:t>≤100</w:t>
            </w:r>
            <w:bookmarkEnd w:id="425"/>
            <w:bookmarkEnd w:id="426"/>
            <w:bookmarkEnd w:id="427"/>
          </w:p>
        </w:tc>
        <w:tc>
          <w:tcPr>
            <w:tcW w:w="1463" w:type="dxa"/>
            <w:vAlign w:val="center"/>
          </w:tcPr>
          <w:p w14:paraId="7F1ED6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28" w:name="_Toc5086"/>
            <w:bookmarkStart w:id="429" w:name="_Toc13097"/>
            <w:bookmarkStart w:id="430" w:name="_Toc4434"/>
            <w:r>
              <w:rPr>
                <w:rFonts w:hint="default" w:ascii="Times New Roman" w:hAnsi="Times New Roman" w:eastAsia="宋体" w:cs="Times New Roman"/>
                <w:color w:val="auto"/>
                <w:sz w:val="21"/>
                <w:szCs w:val="21"/>
                <w:vertAlign w:val="baseline"/>
                <w:lang w:val="en-US" w:eastAsia="zh-CN"/>
              </w:rPr>
              <w:t>/</w:t>
            </w:r>
            <w:bookmarkEnd w:id="428"/>
            <w:bookmarkEnd w:id="429"/>
            <w:bookmarkEnd w:id="430"/>
          </w:p>
        </w:tc>
        <w:tc>
          <w:tcPr>
            <w:tcW w:w="1262" w:type="dxa"/>
            <w:vAlign w:val="center"/>
          </w:tcPr>
          <w:p w14:paraId="52373E7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31" w:name="_Toc18450"/>
            <w:bookmarkStart w:id="432" w:name="_Toc18455"/>
            <w:bookmarkStart w:id="433" w:name="_Toc25891"/>
            <w:r>
              <w:rPr>
                <w:rFonts w:hint="default" w:ascii="Times New Roman" w:hAnsi="Times New Roman" w:eastAsia="宋体" w:cs="Times New Roman"/>
                <w:color w:val="auto"/>
                <w:sz w:val="21"/>
                <w:szCs w:val="21"/>
                <w:vertAlign w:val="baseline"/>
                <w:lang w:val="en-US" w:eastAsia="zh-CN"/>
              </w:rPr>
              <w:t>/</w:t>
            </w:r>
            <w:bookmarkEnd w:id="431"/>
            <w:bookmarkEnd w:id="432"/>
            <w:bookmarkEnd w:id="433"/>
          </w:p>
        </w:tc>
        <w:tc>
          <w:tcPr>
            <w:tcW w:w="1311" w:type="dxa"/>
            <w:vAlign w:val="center"/>
          </w:tcPr>
          <w:p w14:paraId="57A8DC7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34" w:name="_Toc25463"/>
            <w:bookmarkStart w:id="435" w:name="_Toc2576"/>
            <w:bookmarkStart w:id="436" w:name="_Toc4752"/>
            <w:r>
              <w:rPr>
                <w:rFonts w:hint="default" w:ascii="Times New Roman" w:hAnsi="Times New Roman" w:eastAsia="宋体" w:cs="Times New Roman"/>
                <w:color w:val="auto"/>
                <w:sz w:val="21"/>
                <w:szCs w:val="21"/>
                <w:vertAlign w:val="baseline"/>
                <w:lang w:val="en-US" w:eastAsia="zh-CN"/>
              </w:rPr>
              <w:t>/</w:t>
            </w:r>
            <w:bookmarkEnd w:id="434"/>
            <w:bookmarkEnd w:id="435"/>
            <w:bookmarkEnd w:id="436"/>
          </w:p>
        </w:tc>
        <w:tc>
          <w:tcPr>
            <w:tcW w:w="1420" w:type="dxa"/>
            <w:vAlign w:val="center"/>
          </w:tcPr>
          <w:p w14:paraId="198BBE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37" w:name="_Toc3320"/>
            <w:bookmarkStart w:id="438" w:name="_Toc23994"/>
            <w:bookmarkStart w:id="439" w:name="_Toc5919"/>
            <w:r>
              <w:rPr>
                <w:rFonts w:hint="default" w:ascii="Times New Roman" w:hAnsi="Times New Roman" w:eastAsia="宋体" w:cs="Times New Roman"/>
                <w:color w:val="auto"/>
                <w:sz w:val="21"/>
                <w:szCs w:val="21"/>
                <w:vertAlign w:val="baseline"/>
                <w:lang w:val="en-US" w:eastAsia="zh-CN"/>
              </w:rPr>
              <w:t>&gt;95</w:t>
            </w:r>
            <w:bookmarkEnd w:id="437"/>
            <w:bookmarkEnd w:id="438"/>
            <w:bookmarkEnd w:id="439"/>
          </w:p>
        </w:tc>
      </w:tr>
    </w:tbl>
    <w:p w14:paraId="790C3319">
      <w:pPr>
        <w:pStyle w:val="6"/>
        <w:bidi w:val="0"/>
        <w:rPr>
          <w:rFonts w:hint="default" w:ascii="Times New Roman" w:hAnsi="Times New Roman" w:eastAsia="宋体" w:cs="Times New Roman"/>
          <w:color w:val="auto"/>
          <w:lang w:val="en-US" w:eastAsia="zh-CN"/>
        </w:rPr>
      </w:pPr>
      <w:bookmarkStart w:id="440" w:name="_Toc28840"/>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lang w:val="en-US" w:eastAsia="zh-CN"/>
        </w:rPr>
        <w:t xml:space="preserve"> 环境影响评价等级的确定</w:t>
      </w:r>
      <w:bookmarkEnd w:id="263"/>
      <w:bookmarkEnd w:id="440"/>
    </w:p>
    <w:p w14:paraId="1DAB4770">
      <w:pPr>
        <w:pStyle w:val="7"/>
        <w:bidi w:val="0"/>
        <w:rPr>
          <w:rFonts w:hint="default" w:ascii="Times New Roman" w:hAnsi="Times New Roman" w:eastAsia="宋体" w:cs="Times New Roman"/>
          <w:color w:val="auto"/>
          <w:lang w:val="en-US" w:eastAsia="zh-CN"/>
        </w:rPr>
      </w:pPr>
      <w:bookmarkStart w:id="441" w:name="_Toc15884"/>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.1 大气环境评价工作等级划分</w:t>
      </w:r>
      <w:bookmarkEnd w:id="441"/>
    </w:p>
    <w:p w14:paraId="008069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（1）评价工作等级</w:t>
      </w:r>
    </w:p>
    <w:p w14:paraId="48ED8E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大气环境》(HJ2.2-2018)中5.3节工作等级的确定方法，结合项目工程分析结果，选择正常排放的主要污染物及排放参数，根据技术导则推荐模式中的估算模式计算项目污染源的最大环境影响，然后按评价工作分级判据进行分级。</w:t>
      </w:r>
    </w:p>
    <w:p w14:paraId="6C1D25DA">
      <w:pPr>
        <w:spacing w:line="480" w:lineRule="exact"/>
        <w:ind w:firstLine="422" w:firstLineChars="176"/>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①P</w:t>
      </w:r>
      <w:r>
        <w:rPr>
          <w:rFonts w:hint="default" w:ascii="Times New Roman" w:hAnsi="Times New Roman" w:eastAsia="宋体" w:cs="Times New Roman"/>
          <w:color w:val="auto"/>
          <w:sz w:val="24"/>
          <w:szCs w:val="32"/>
          <w:highlight w:val="none"/>
          <w:vertAlign w:val="subscript"/>
        </w:rPr>
        <w:t>max</w:t>
      </w:r>
      <w:r>
        <w:rPr>
          <w:rFonts w:hint="default" w:ascii="Times New Roman" w:hAnsi="Times New Roman" w:eastAsia="宋体" w:cs="Times New Roman"/>
          <w:color w:val="auto"/>
          <w:sz w:val="24"/>
          <w:szCs w:val="32"/>
          <w:highlight w:val="none"/>
        </w:rPr>
        <w:t>及D</w:t>
      </w:r>
      <w:r>
        <w:rPr>
          <w:rFonts w:hint="default" w:ascii="Times New Roman" w:hAnsi="Times New Roman" w:eastAsia="宋体" w:cs="Times New Roman"/>
          <w:color w:val="auto"/>
          <w:sz w:val="24"/>
          <w:szCs w:val="32"/>
          <w:highlight w:val="none"/>
          <w:vertAlign w:val="subscript"/>
        </w:rPr>
        <w:t>10%</w:t>
      </w:r>
      <w:r>
        <w:rPr>
          <w:rFonts w:hint="default" w:ascii="Times New Roman" w:hAnsi="Times New Roman" w:eastAsia="宋体" w:cs="Times New Roman"/>
          <w:color w:val="auto"/>
          <w:sz w:val="24"/>
          <w:szCs w:val="32"/>
          <w:highlight w:val="none"/>
        </w:rPr>
        <w:t>的确定</w:t>
      </w:r>
    </w:p>
    <w:p w14:paraId="08D1168C">
      <w:pPr>
        <w:spacing w:line="480" w:lineRule="exact"/>
        <w:ind w:firstLine="422" w:firstLineChars="176"/>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依据《环境影响评价技术导则 大气环境》(HJ2.2-2018)中最大地面浓度占标率P</w:t>
      </w:r>
      <w:r>
        <w:rPr>
          <w:rFonts w:hint="default" w:ascii="Times New Roman" w:hAnsi="Times New Roman" w:eastAsia="宋体" w:cs="Times New Roman"/>
          <w:i/>
          <w:color w:val="auto"/>
          <w:sz w:val="24"/>
          <w:szCs w:val="32"/>
          <w:highlight w:val="none"/>
        </w:rPr>
        <w:t>i</w:t>
      </w:r>
      <w:r>
        <w:rPr>
          <w:rFonts w:hint="default" w:ascii="Times New Roman" w:hAnsi="Times New Roman" w:eastAsia="宋体" w:cs="Times New Roman"/>
          <w:color w:val="auto"/>
          <w:sz w:val="24"/>
          <w:szCs w:val="32"/>
          <w:highlight w:val="none"/>
        </w:rPr>
        <w:t>定义如下：</w:t>
      </w:r>
    </w:p>
    <w:p w14:paraId="1F217881">
      <w:pPr>
        <w:spacing w:line="276" w:lineRule="auto"/>
        <w:ind w:firstLine="422" w:firstLineChars="176"/>
        <w:jc w:val="center"/>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28"/>
          <w:highlight w:val="none"/>
        </w:rPr>
        <w:drawing>
          <wp:inline distT="0" distB="0" distL="114300" distR="114300">
            <wp:extent cx="1242060" cy="371475"/>
            <wp:effectExtent l="0" t="0" r="15240" b="889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242060" cy="371475"/>
                    </a:xfrm>
                    <a:prstGeom prst="rect">
                      <a:avLst/>
                    </a:prstGeom>
                    <a:noFill/>
                    <a:ln w="9525">
                      <a:noFill/>
                    </a:ln>
                  </pic:spPr>
                </pic:pic>
              </a:graphicData>
            </a:graphic>
          </wp:inline>
        </w:drawing>
      </w:r>
    </w:p>
    <w:p w14:paraId="36E20296">
      <w:pPr>
        <w:spacing w:line="480" w:lineRule="exact"/>
        <w:ind w:firstLine="422" w:firstLineChars="176"/>
        <w:jc w:val="left"/>
        <w:rPr>
          <w:rFonts w:hint="default" w:ascii="Times New Roman" w:hAnsi="Times New Roman" w:eastAsia="宋体" w:cs="Times New Roman"/>
          <w:color w:val="auto"/>
          <w:sz w:val="24"/>
          <w:szCs w:val="32"/>
          <w:highlight w:val="none"/>
        </w:rPr>
      </w:pPr>
      <m:oMath>
        <m:sSub>
          <m:sSubPr>
            <m:ctrlPr>
              <w:rPr>
                <w:rFonts w:hint="default" w:ascii="Cambria Math" w:hAnsi="Cambria Math" w:eastAsia="宋体" w:cs="Times New Roman"/>
                <w:color w:val="auto"/>
                <w:sz w:val="24"/>
                <w:szCs w:val="32"/>
                <w:highlight w:val="none"/>
              </w:rPr>
            </m:ctrlPr>
          </m:sSubPr>
          <m:e>
            <m:r>
              <m:rPr/>
              <w:rPr>
                <w:rFonts w:hint="default" w:ascii="Cambria Math" w:hAnsi="Cambria Math" w:eastAsia="宋体" w:cs="Times New Roman"/>
                <w:color w:val="auto"/>
                <w:sz w:val="24"/>
                <w:szCs w:val="32"/>
                <w:highlight w:val="none"/>
              </w:rPr>
              <m:t>P</m:t>
            </m:r>
            <m:ctrlPr>
              <w:rPr>
                <w:rFonts w:hint="default" w:ascii="Cambria Math" w:hAnsi="Cambria Math" w:eastAsia="宋体" w:cs="Times New Roman"/>
                <w:color w:val="auto"/>
                <w:sz w:val="24"/>
                <w:szCs w:val="32"/>
                <w:highlight w:val="none"/>
              </w:rPr>
            </m:ctrlPr>
          </m:e>
          <m:sub>
            <m:r>
              <m:rPr/>
              <w:rPr>
                <w:rFonts w:hint="default" w:ascii="Cambria Math" w:hAnsi="Cambria Math" w:eastAsia="宋体" w:cs="Times New Roman"/>
                <w:color w:val="auto"/>
                <w:sz w:val="24"/>
                <w:szCs w:val="32"/>
                <w:highlight w:val="none"/>
              </w:rPr>
              <m:t>i</m:t>
            </m:r>
            <m:ctrlPr>
              <w:rPr>
                <w:rFonts w:hint="default" w:ascii="Cambria Math" w:hAnsi="Cambria Math" w:eastAsia="宋体" w:cs="Times New Roman"/>
                <w:color w:val="auto"/>
                <w:sz w:val="24"/>
                <w:szCs w:val="32"/>
                <w:highlight w:val="none"/>
              </w:rPr>
            </m:ctrlPr>
          </m:sub>
        </m:sSub>
      </m:oMath>
      <w:r>
        <w:rPr>
          <w:rFonts w:hint="default" w:ascii="Times New Roman" w:hAnsi="Times New Roman" w:eastAsia="宋体" w:cs="Times New Roman"/>
          <w:color w:val="auto"/>
          <w:sz w:val="24"/>
          <w:szCs w:val="32"/>
          <w:highlight w:val="none"/>
        </w:rPr>
        <w:t xml:space="preserve"> ——第i个污染物的最大地面空气质量浓度 占标率，%；</w:t>
      </w:r>
    </w:p>
    <w:p w14:paraId="5E94D408">
      <w:pPr>
        <w:spacing w:line="480" w:lineRule="exact"/>
        <w:ind w:firstLine="422" w:firstLineChars="176"/>
        <w:jc w:val="left"/>
        <w:rPr>
          <w:rFonts w:hint="default" w:ascii="Times New Roman" w:hAnsi="Times New Roman" w:eastAsia="宋体" w:cs="Times New Roman"/>
          <w:color w:val="auto"/>
          <w:sz w:val="24"/>
          <w:szCs w:val="32"/>
          <w:highlight w:val="none"/>
        </w:rPr>
      </w:pPr>
      <m:oMath>
        <m:sSub>
          <m:sSubPr>
            <m:ctrlPr>
              <w:rPr>
                <w:rFonts w:hint="default" w:ascii="Cambria Math" w:hAnsi="Cambria Math" w:eastAsia="宋体" w:cs="Times New Roman"/>
                <w:i/>
                <w:color w:val="auto"/>
                <w:sz w:val="24"/>
                <w:szCs w:val="32"/>
                <w:highlight w:val="none"/>
              </w:rPr>
            </m:ctrlPr>
          </m:sSubPr>
          <m:e>
            <m:r>
              <m:rPr/>
              <w:rPr>
                <w:rFonts w:hint="default" w:ascii="Cambria Math" w:hAnsi="Cambria Math" w:eastAsia="宋体" w:cs="Times New Roman"/>
                <w:color w:val="auto"/>
                <w:sz w:val="24"/>
                <w:szCs w:val="32"/>
                <w:highlight w:val="none"/>
              </w:rPr>
              <m:t>C</m:t>
            </m:r>
            <m:ctrlPr>
              <w:rPr>
                <w:rFonts w:hint="default" w:ascii="Cambria Math" w:hAnsi="Cambria Math" w:eastAsia="宋体" w:cs="Times New Roman"/>
                <w:i/>
                <w:color w:val="auto"/>
                <w:sz w:val="24"/>
                <w:szCs w:val="32"/>
                <w:highlight w:val="none"/>
              </w:rPr>
            </m:ctrlPr>
          </m:e>
          <m:sub>
            <m:r>
              <m:rPr/>
              <w:rPr>
                <w:rFonts w:hint="default" w:ascii="Cambria Math" w:hAnsi="Cambria Math" w:eastAsia="宋体" w:cs="Times New Roman"/>
                <w:color w:val="auto"/>
                <w:sz w:val="24"/>
                <w:szCs w:val="32"/>
                <w:highlight w:val="none"/>
              </w:rPr>
              <m:t>i</m:t>
            </m:r>
            <m:ctrlPr>
              <w:rPr>
                <w:rFonts w:hint="default" w:ascii="Cambria Math" w:hAnsi="Cambria Math" w:eastAsia="宋体" w:cs="Times New Roman"/>
                <w:i/>
                <w:color w:val="auto"/>
                <w:sz w:val="24"/>
                <w:szCs w:val="32"/>
                <w:highlight w:val="none"/>
              </w:rPr>
            </m:ctrlPr>
          </m:sub>
        </m:sSub>
      </m:oMath>
      <w:r>
        <w:rPr>
          <w:rFonts w:hint="default" w:ascii="Times New Roman" w:hAnsi="Times New Roman" w:eastAsia="宋体" w:cs="Times New Roman"/>
          <w:color w:val="auto"/>
          <w:sz w:val="24"/>
          <w:szCs w:val="32"/>
          <w:highlight w:val="none"/>
        </w:rPr>
        <w:t>——采用估算模型计算出的第i个污染物的最大1h地面空气质量浓度，μg/m</w:t>
      </w:r>
      <w:r>
        <w:rPr>
          <w:rFonts w:hint="default" w:ascii="Times New Roman" w:hAnsi="Times New Roman" w:eastAsia="宋体" w:cs="Times New Roman"/>
          <w:color w:val="auto"/>
          <w:sz w:val="24"/>
          <w:szCs w:val="32"/>
          <w:highlight w:val="none"/>
          <w:vertAlign w:val="superscript"/>
        </w:rPr>
        <w:t>3</w:t>
      </w:r>
      <w:r>
        <w:rPr>
          <w:rFonts w:hint="default" w:ascii="Times New Roman" w:hAnsi="Times New Roman" w:eastAsia="宋体" w:cs="Times New Roman"/>
          <w:color w:val="auto"/>
          <w:sz w:val="24"/>
          <w:szCs w:val="32"/>
          <w:highlight w:val="none"/>
        </w:rPr>
        <w:t>；</w:t>
      </w:r>
    </w:p>
    <w:p w14:paraId="58455106">
      <w:pPr>
        <w:spacing w:line="480" w:lineRule="exact"/>
        <w:ind w:firstLine="422" w:firstLineChars="176"/>
        <w:jc w:val="left"/>
        <w:rPr>
          <w:rFonts w:hint="default" w:ascii="Times New Roman" w:hAnsi="Times New Roman" w:eastAsia="宋体" w:cs="Times New Roman"/>
          <w:color w:val="auto"/>
          <w:sz w:val="24"/>
          <w:szCs w:val="32"/>
          <w:highlight w:val="none"/>
        </w:rPr>
      </w:pPr>
      <m:oMath>
        <m:sSub>
          <m:sSubPr>
            <m:ctrlPr>
              <w:rPr>
                <w:rFonts w:hint="default" w:ascii="Cambria Math" w:hAnsi="Cambria Math" w:eastAsia="宋体" w:cs="Times New Roman"/>
                <w:i/>
                <w:color w:val="auto"/>
                <w:sz w:val="24"/>
                <w:szCs w:val="32"/>
                <w:highlight w:val="none"/>
              </w:rPr>
            </m:ctrlPr>
          </m:sSubPr>
          <m:e>
            <m:r>
              <m:rPr/>
              <w:rPr>
                <w:rFonts w:hint="default" w:ascii="Cambria Math" w:hAnsi="Cambria Math" w:eastAsia="宋体" w:cs="Times New Roman"/>
                <w:color w:val="auto"/>
                <w:sz w:val="24"/>
                <w:szCs w:val="32"/>
                <w:highlight w:val="none"/>
              </w:rPr>
              <m:t>C</m:t>
            </m:r>
            <m:ctrlPr>
              <w:rPr>
                <w:rFonts w:hint="default" w:ascii="Cambria Math" w:hAnsi="Cambria Math" w:eastAsia="宋体" w:cs="Times New Roman"/>
                <w:i/>
                <w:color w:val="auto"/>
                <w:sz w:val="24"/>
                <w:szCs w:val="32"/>
                <w:highlight w:val="none"/>
              </w:rPr>
            </m:ctrlPr>
          </m:e>
          <m:sub>
            <m:r>
              <m:rPr/>
              <w:rPr>
                <w:rFonts w:hint="default" w:ascii="Cambria Math" w:hAnsi="Cambria Math" w:eastAsia="宋体" w:cs="Times New Roman"/>
                <w:color w:val="auto"/>
                <w:sz w:val="24"/>
                <w:szCs w:val="32"/>
                <w:highlight w:val="none"/>
              </w:rPr>
              <m:t>0i</m:t>
            </m:r>
            <m:ctrlPr>
              <w:rPr>
                <w:rFonts w:hint="default" w:ascii="Cambria Math" w:hAnsi="Cambria Math" w:eastAsia="宋体" w:cs="Times New Roman"/>
                <w:i/>
                <w:color w:val="auto"/>
                <w:sz w:val="24"/>
                <w:szCs w:val="32"/>
                <w:highlight w:val="none"/>
              </w:rPr>
            </m:ctrlPr>
          </m:sub>
        </m:sSub>
      </m:oMath>
      <w:r>
        <w:rPr>
          <w:rFonts w:hint="default" w:ascii="Times New Roman" w:hAnsi="Times New Roman" w:eastAsia="宋体" w:cs="Times New Roman"/>
          <w:color w:val="auto"/>
          <w:sz w:val="24"/>
          <w:szCs w:val="32"/>
          <w:highlight w:val="none"/>
        </w:rPr>
        <w:t>——第i个污染物的环境空气质量浓度标准，μg/m</w:t>
      </w:r>
      <w:r>
        <w:rPr>
          <w:rFonts w:hint="default" w:ascii="Times New Roman" w:hAnsi="Times New Roman" w:eastAsia="宋体" w:cs="Times New Roman"/>
          <w:color w:val="auto"/>
          <w:sz w:val="24"/>
          <w:szCs w:val="32"/>
          <w:highlight w:val="none"/>
          <w:vertAlign w:val="superscript"/>
        </w:rPr>
        <w:t>3</w:t>
      </w:r>
      <w:r>
        <w:rPr>
          <w:rFonts w:hint="default" w:ascii="Times New Roman" w:hAnsi="Times New Roman" w:eastAsia="宋体" w:cs="Times New Roman"/>
          <w:color w:val="auto"/>
          <w:sz w:val="24"/>
          <w:szCs w:val="32"/>
          <w:highlight w:val="none"/>
        </w:rPr>
        <w:t>。</w:t>
      </w:r>
    </w:p>
    <w:p w14:paraId="756BCE78">
      <w:pPr>
        <w:spacing w:line="480" w:lineRule="exact"/>
        <w:ind w:firstLine="422" w:firstLineChars="176"/>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②评价等级判别表</w:t>
      </w:r>
    </w:p>
    <w:p w14:paraId="21CFDB86">
      <w:pPr>
        <w:spacing w:line="480" w:lineRule="exact"/>
        <w:ind w:firstLine="422" w:firstLineChars="176"/>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评价等级按下表的分级判据进行划分。</w:t>
      </w:r>
    </w:p>
    <w:p w14:paraId="12EFF5BB">
      <w:pPr>
        <w:pStyle w:val="41"/>
        <w:spacing w:afterLines="0" w:line="240" w:lineRule="auto"/>
        <w:ind w:firstLine="0" w:firstLineChars="0"/>
        <w:rPr>
          <w:rFonts w:hint="default" w:ascii="Times New Roman" w:hAnsi="Times New Roman" w:eastAsia="宋体" w:cs="Times New Roman"/>
          <w:color w:val="auto"/>
          <w:kern w:val="2"/>
          <w:sz w:val="21"/>
          <w:szCs w:val="21"/>
          <w:highlight w:val="none"/>
        </w:rPr>
      </w:pPr>
    </w:p>
    <w:p w14:paraId="763A78E0">
      <w:pPr>
        <w:pStyle w:val="41"/>
        <w:spacing w:afterLines="0" w:line="240" w:lineRule="auto"/>
        <w:ind w:firstLine="0" w:firstLineChars="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w:t>
      </w:r>
      <w:r>
        <w:rPr>
          <w:rFonts w:hint="default"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kern w:val="2"/>
          <w:sz w:val="21"/>
          <w:szCs w:val="21"/>
          <w:highlight w:val="none"/>
          <w:lang w:val="en-US" w:eastAsia="zh-CN"/>
        </w:rPr>
        <w:t>6</w:t>
      </w: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 xml:space="preserve"> 评价等级判别表</w:t>
      </w:r>
    </w:p>
    <w:tbl>
      <w:tblPr>
        <w:tblStyle w:val="20"/>
        <w:tblW w:w="891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5"/>
        <w:gridCol w:w="4455"/>
      </w:tblGrid>
      <w:tr w14:paraId="12DA04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5" w:type="dxa"/>
            <w:tcBorders>
              <w:left w:val="nil"/>
            </w:tcBorders>
            <w:shd w:val="clear" w:color="auto" w:fill="D7D7D7" w:themeFill="background1" w:themeFillShade="D8"/>
            <w:vAlign w:val="center"/>
          </w:tcPr>
          <w:p w14:paraId="4725AA2D">
            <w:pPr>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评价工作等级</w:t>
            </w:r>
          </w:p>
        </w:tc>
        <w:tc>
          <w:tcPr>
            <w:tcW w:w="4455" w:type="dxa"/>
            <w:tcBorders>
              <w:right w:val="nil"/>
            </w:tcBorders>
            <w:shd w:val="clear" w:color="auto" w:fill="D7D7D7" w:themeFill="background1" w:themeFillShade="D8"/>
            <w:vAlign w:val="center"/>
          </w:tcPr>
          <w:p w14:paraId="5B96DC3B">
            <w:pPr>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评价工作分级判据</w:t>
            </w:r>
          </w:p>
        </w:tc>
      </w:tr>
      <w:tr w14:paraId="682A2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455" w:type="dxa"/>
            <w:vAlign w:val="center"/>
          </w:tcPr>
          <w:p w14:paraId="1E74025B">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一级评价</w:t>
            </w:r>
          </w:p>
        </w:tc>
        <w:tc>
          <w:tcPr>
            <w:tcW w:w="4455" w:type="dxa"/>
            <w:vAlign w:val="center"/>
          </w:tcPr>
          <w:p w14:paraId="503DCEF2">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Pmax≧10%</w:t>
            </w:r>
          </w:p>
        </w:tc>
      </w:tr>
      <w:tr w14:paraId="235E8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455" w:type="dxa"/>
            <w:vAlign w:val="center"/>
          </w:tcPr>
          <w:p w14:paraId="5D4D7C9F">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二级评价</w:t>
            </w:r>
          </w:p>
        </w:tc>
        <w:tc>
          <w:tcPr>
            <w:tcW w:w="4455" w:type="dxa"/>
            <w:vAlign w:val="center"/>
          </w:tcPr>
          <w:p w14:paraId="7326CFE6">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1%≦Pmax&lt;10%</w:t>
            </w:r>
          </w:p>
        </w:tc>
      </w:tr>
      <w:tr w14:paraId="42179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455" w:type="dxa"/>
            <w:vAlign w:val="center"/>
          </w:tcPr>
          <w:p w14:paraId="79A21499">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三级评价</w:t>
            </w:r>
          </w:p>
        </w:tc>
        <w:tc>
          <w:tcPr>
            <w:tcW w:w="4455" w:type="dxa"/>
            <w:vAlign w:val="center"/>
          </w:tcPr>
          <w:p w14:paraId="1B7C6997">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Pmax&lt;1%</w:t>
            </w:r>
          </w:p>
        </w:tc>
      </w:tr>
    </w:tbl>
    <w:p w14:paraId="259930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根据工程分析，本评价选择NH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S作为评价因子，采用估算模式计算出的最大地面浓度占标率计算结果如下：</w:t>
      </w:r>
    </w:p>
    <w:p w14:paraId="4942EB50">
      <w:pPr>
        <w:keepNext w:val="0"/>
        <w:keepLines w:val="0"/>
        <w:widowControl/>
        <w:suppressLineNumbers w:val="0"/>
        <w:jc w:val="both"/>
        <w:rPr>
          <w:rFonts w:hint="default" w:ascii="Times New Roman" w:hAnsi="Times New Roman" w:eastAsia="宋体" w:cs="Times New Roman"/>
          <w:b/>
          <w:bCs/>
          <w:color w:val="auto"/>
          <w:sz w:val="21"/>
          <w:szCs w:val="21"/>
          <w:highlight w:val="yellow"/>
          <w:lang w:val="en-US" w:eastAsia="zh-CN"/>
        </w:rPr>
      </w:pPr>
      <w:r>
        <w:rPr>
          <w:rFonts w:hint="default" w:ascii="Times New Roman" w:hAnsi="Times New Roman" w:eastAsia="宋体" w:cs="Times New Roman"/>
          <w:b/>
          <w:bCs/>
          <w:color w:val="auto"/>
          <w:sz w:val="21"/>
          <w:szCs w:val="21"/>
          <w:highlight w:val="yellow"/>
          <w:lang w:val="en-US" w:eastAsia="zh-CN"/>
        </w:rPr>
        <w:drawing>
          <wp:inline distT="0" distB="0" distL="114300" distR="114300">
            <wp:extent cx="5267960" cy="3225800"/>
            <wp:effectExtent l="0" t="0" r="8890" b="12700"/>
            <wp:docPr id="20" name="图片 20" descr="5ec3ce279ba585b04f2733bf333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ec3ce279ba585b04f2733bf3332035"/>
                    <pic:cNvPicPr>
                      <a:picLocks noChangeAspect="1"/>
                    </pic:cNvPicPr>
                  </pic:nvPicPr>
                  <pic:blipFill>
                    <a:blip r:embed="rId12"/>
                    <a:stretch>
                      <a:fillRect/>
                    </a:stretch>
                  </pic:blipFill>
                  <pic:spPr>
                    <a:xfrm>
                      <a:off x="0" y="0"/>
                      <a:ext cx="5267960" cy="3225800"/>
                    </a:xfrm>
                    <a:prstGeom prst="rect">
                      <a:avLst/>
                    </a:prstGeom>
                  </pic:spPr>
                </pic:pic>
              </a:graphicData>
            </a:graphic>
          </wp:inline>
        </w:drawing>
      </w:r>
    </w:p>
    <w:p w14:paraId="6BC94105">
      <w:pPr>
        <w:pStyle w:val="41"/>
        <w:spacing w:afterLines="0" w:line="240" w:lineRule="auto"/>
        <w:ind w:firstLine="0" w:firstLineChars="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图</w:t>
      </w:r>
      <w:r>
        <w:rPr>
          <w:rFonts w:hint="default"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kern w:val="2"/>
          <w:sz w:val="21"/>
          <w:szCs w:val="21"/>
          <w:highlight w:val="none"/>
          <w:lang w:val="en-US" w:eastAsia="zh-CN"/>
        </w:rPr>
        <w:t>6</w:t>
      </w:r>
      <w:r>
        <w:rPr>
          <w:rFonts w:hint="default" w:ascii="Times New Roman" w:hAnsi="Times New Roman" w:eastAsia="宋体" w:cs="Times New Roman"/>
          <w:color w:val="auto"/>
          <w:kern w:val="2"/>
          <w:sz w:val="21"/>
          <w:szCs w:val="21"/>
          <w:highlight w:val="none"/>
        </w:rPr>
        <w:t>-1 最大地面浓度占标率预测结果</w:t>
      </w:r>
    </w:p>
    <w:p w14:paraId="7F39F0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经估算模式预测，本项目P</w:t>
      </w:r>
      <w:r>
        <w:rPr>
          <w:rFonts w:hint="default" w:ascii="Times New Roman" w:hAnsi="Times New Roman" w:eastAsia="宋体" w:cs="Times New Roman"/>
          <w:b w:val="0"/>
          <w:bCs w:val="0"/>
          <w:color w:val="auto"/>
          <w:sz w:val="24"/>
          <w:szCs w:val="24"/>
          <w:highlight w:val="none"/>
          <w:vertAlign w:val="subscript"/>
          <w:lang w:val="en-US" w:eastAsia="zh-CN"/>
        </w:rPr>
        <w:t>max</w:t>
      </w:r>
      <w:r>
        <w:rPr>
          <w:rFonts w:hint="default" w:ascii="Times New Roman" w:hAnsi="Times New Roman" w:eastAsia="宋体" w:cs="Times New Roman"/>
          <w:b w:val="0"/>
          <w:bCs w:val="0"/>
          <w:color w:val="auto"/>
          <w:sz w:val="24"/>
          <w:szCs w:val="24"/>
          <w:highlight w:val="none"/>
          <w:lang w:val="en-US" w:eastAsia="zh-CN"/>
        </w:rPr>
        <w:t>最大值出现在污水处理站的</w:t>
      </w: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，P</w:t>
      </w:r>
      <w:r>
        <w:rPr>
          <w:rFonts w:hint="default" w:ascii="Times New Roman" w:hAnsi="Times New Roman" w:eastAsia="宋体" w:cs="Times New Roman"/>
          <w:b w:val="0"/>
          <w:bCs w:val="0"/>
          <w:color w:val="auto"/>
          <w:sz w:val="24"/>
          <w:szCs w:val="24"/>
          <w:highlight w:val="none"/>
          <w:vertAlign w:val="subscript"/>
          <w:lang w:val="en-US" w:eastAsia="zh-CN"/>
        </w:rPr>
        <w:t>max</w:t>
      </w:r>
      <w:r>
        <w:rPr>
          <w:rFonts w:hint="default" w:ascii="Times New Roman" w:hAnsi="Times New Roman" w:eastAsia="宋体" w:cs="Times New Roman"/>
          <w:b w:val="0"/>
          <w:bCs w:val="0"/>
          <w:color w:val="auto"/>
          <w:sz w:val="24"/>
          <w:szCs w:val="24"/>
          <w:highlight w:val="none"/>
          <w:lang w:val="en-US" w:eastAsia="zh-CN"/>
        </w:rPr>
        <w:t>值为0.</w:t>
      </w:r>
      <w:r>
        <w:rPr>
          <w:rFonts w:hint="eastAsia" w:ascii="Times New Roman" w:hAnsi="Times New Roman" w:eastAsia="宋体" w:cs="Times New Roman"/>
          <w:b w:val="0"/>
          <w:bCs w:val="0"/>
          <w:color w:val="auto"/>
          <w:sz w:val="24"/>
          <w:szCs w:val="24"/>
          <w:highlight w:val="none"/>
          <w:lang w:val="en-US" w:eastAsia="zh-CN"/>
        </w:rPr>
        <w:t>63</w:t>
      </w:r>
      <w:r>
        <w:rPr>
          <w:rFonts w:hint="default" w:ascii="Times New Roman" w:hAnsi="Times New Roman" w:eastAsia="宋体" w:cs="Times New Roman"/>
          <w:b w:val="0"/>
          <w:bCs w:val="0"/>
          <w:color w:val="auto"/>
          <w:sz w:val="24"/>
          <w:szCs w:val="24"/>
          <w:highlight w:val="none"/>
          <w:lang w:val="en-US" w:eastAsia="zh-CN"/>
        </w:rPr>
        <w:t>%。根据《环境影响评价技术导则 大气环境》(HJ2.2-2018)分级判据，大气环境影响评价</w:t>
      </w:r>
      <w:r>
        <w:rPr>
          <w:rFonts w:hint="default" w:ascii="Times New Roman" w:hAnsi="Times New Roman" w:eastAsia="宋体" w:cs="Times New Roman"/>
          <w:b/>
          <w:bCs/>
          <w:color w:val="auto"/>
          <w:sz w:val="24"/>
          <w:szCs w:val="24"/>
          <w:highlight w:val="none"/>
          <w:lang w:val="en-US" w:eastAsia="zh-CN"/>
        </w:rPr>
        <w:t>工作等级为三级</w:t>
      </w:r>
      <w:r>
        <w:rPr>
          <w:rFonts w:hint="default" w:ascii="Times New Roman" w:hAnsi="Times New Roman" w:eastAsia="宋体" w:cs="Times New Roman"/>
          <w:b w:val="0"/>
          <w:bCs w:val="0"/>
          <w:color w:val="auto"/>
          <w:sz w:val="24"/>
          <w:szCs w:val="24"/>
          <w:highlight w:val="none"/>
          <w:lang w:val="en-US" w:eastAsia="zh-CN"/>
        </w:rPr>
        <w:t>，不需要进行进一步预测。</w:t>
      </w:r>
    </w:p>
    <w:p w14:paraId="563B96E5">
      <w:pPr>
        <w:pStyle w:val="7"/>
        <w:bidi w:val="0"/>
        <w:rPr>
          <w:rFonts w:hint="default" w:ascii="Times New Roman" w:hAnsi="Times New Roman" w:eastAsia="宋体" w:cs="Times New Roman"/>
          <w:color w:val="auto"/>
          <w:lang w:val="en-US" w:eastAsia="zh-CN"/>
        </w:rPr>
      </w:pPr>
      <w:bookmarkStart w:id="442" w:name="_Toc29574"/>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.2 地表水评价工作等级</w:t>
      </w:r>
      <w:bookmarkEnd w:id="442"/>
    </w:p>
    <w:p w14:paraId="745B28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地表水环境》（HJ/T2.3-2018）的规定，地表水评价工作等级的划分是由建设项目的污水排放量、污水水质的复杂程度、受纳水体的规模及水域功能类别而确定的。</w:t>
      </w:r>
    </w:p>
    <w:p w14:paraId="78DE07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本项目废水经污水处理站处理达到《医疗机构水污染物排放标准》（GB18466-2005）中的预处理标准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及《污水排入城镇下水道水质标准》（GB/T31962-2015）表（1）标准后</w:t>
      </w:r>
      <w:r>
        <w:rPr>
          <w:rFonts w:hint="default" w:ascii="Times New Roman" w:hAnsi="Times New Roman" w:eastAsia="宋体" w:cs="Times New Roman"/>
          <w:color w:val="auto"/>
          <w:sz w:val="24"/>
          <w:szCs w:val="24"/>
          <w:lang w:val="en-US" w:eastAsia="zh-CN"/>
        </w:rPr>
        <w:t>排至市政污水管网，最终进入大英县城市生活污水处理厂处理。</w:t>
      </w:r>
    </w:p>
    <w:p w14:paraId="15E1C9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443" w:name="_Toc29558"/>
      <w:bookmarkStart w:id="444" w:name="_Toc28918"/>
      <w:bookmarkStart w:id="445" w:name="_Toc31875"/>
      <w:bookmarkStart w:id="446" w:name="_Toc10648"/>
      <w:bookmarkStart w:id="447" w:name="_Toc19972"/>
      <w:bookmarkStart w:id="448" w:name="_Toc7415"/>
      <w:r>
        <w:rPr>
          <w:rFonts w:hint="default" w:ascii="Times New Roman" w:hAnsi="Times New Roman" w:eastAsia="宋体" w:cs="Times New Roman"/>
          <w:color w:val="auto"/>
          <w:sz w:val="24"/>
          <w:szCs w:val="24"/>
          <w:lang w:val="en-US" w:eastAsia="zh-CN"/>
        </w:rPr>
        <w:t>本项目废水间接排放，根据《环境影响评价技术导则—地表水环境》（HJ/T2.3-2018），本项目地表水环境评价的等级确定为三级B。</w:t>
      </w:r>
      <w:bookmarkEnd w:id="443"/>
      <w:bookmarkEnd w:id="444"/>
      <w:bookmarkEnd w:id="445"/>
      <w:bookmarkEnd w:id="446"/>
      <w:bookmarkEnd w:id="447"/>
      <w:bookmarkEnd w:id="448"/>
    </w:p>
    <w:p w14:paraId="4A18F968">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bookmarkStart w:id="449" w:name="_Toc29167"/>
      <w:bookmarkStart w:id="450" w:name="_Toc29063"/>
      <w:bookmarkStart w:id="451" w:name="_Toc21686"/>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-2 地表水评价等级判别依据表</w:t>
      </w:r>
      <w:bookmarkEnd w:id="449"/>
      <w:bookmarkEnd w:id="450"/>
      <w:bookmarkEnd w:id="451"/>
    </w:p>
    <w:tbl>
      <w:tblPr>
        <w:tblStyle w:val="21"/>
        <w:tblW w:w="89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41"/>
        <w:gridCol w:w="5767"/>
      </w:tblGrid>
      <w:tr w14:paraId="2123C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restart"/>
            <w:tcBorders>
              <w:tl2br w:val="nil"/>
              <w:tr2bl w:val="nil"/>
            </w:tcBorders>
            <w:shd w:val="clear" w:color="auto" w:fill="D7D7D7" w:themeFill="background1" w:themeFillShade="D8"/>
            <w:vAlign w:val="center"/>
          </w:tcPr>
          <w:p w14:paraId="0B6D0C90">
            <w:pPr>
              <w:adjustRightIn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评价等级</w:t>
            </w:r>
          </w:p>
        </w:tc>
        <w:tc>
          <w:tcPr>
            <w:tcW w:w="7708" w:type="dxa"/>
            <w:gridSpan w:val="2"/>
            <w:tcBorders>
              <w:tl2br w:val="nil"/>
              <w:tr2bl w:val="nil"/>
            </w:tcBorders>
            <w:shd w:val="clear" w:color="auto" w:fill="D7D7D7" w:themeFill="background1" w:themeFillShade="D8"/>
            <w:vAlign w:val="center"/>
          </w:tcPr>
          <w:p w14:paraId="45E78F49">
            <w:pPr>
              <w:adjustRightIn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判定依据</w:t>
            </w:r>
          </w:p>
        </w:tc>
      </w:tr>
      <w:tr w14:paraId="6D4D3B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1" w:type="dxa"/>
            <w:vMerge w:val="continue"/>
            <w:tcBorders>
              <w:tl2br w:val="nil"/>
              <w:tr2bl w:val="nil"/>
            </w:tcBorders>
            <w:shd w:val="clear" w:color="auto" w:fill="D7D7D7" w:themeFill="background1" w:themeFillShade="D8"/>
            <w:vAlign w:val="center"/>
          </w:tcPr>
          <w:p w14:paraId="2DB3F74A">
            <w:pPr>
              <w:adjustRightIn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p>
        </w:tc>
        <w:tc>
          <w:tcPr>
            <w:tcW w:w="1941" w:type="dxa"/>
            <w:tcBorders>
              <w:tl2br w:val="nil"/>
              <w:tr2bl w:val="nil"/>
            </w:tcBorders>
            <w:shd w:val="clear" w:color="auto" w:fill="D7D7D7" w:themeFill="background1" w:themeFillShade="D8"/>
            <w:vAlign w:val="center"/>
          </w:tcPr>
          <w:p w14:paraId="4F2FC5D2">
            <w:pPr>
              <w:adjustRightIn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排放方式</w:t>
            </w:r>
          </w:p>
        </w:tc>
        <w:tc>
          <w:tcPr>
            <w:tcW w:w="5767" w:type="dxa"/>
            <w:tcBorders>
              <w:tl2br w:val="nil"/>
              <w:tr2bl w:val="nil"/>
            </w:tcBorders>
            <w:shd w:val="clear" w:color="auto" w:fill="D7D7D7" w:themeFill="background1" w:themeFillShade="D8"/>
            <w:vAlign w:val="center"/>
          </w:tcPr>
          <w:p w14:paraId="62DC1366">
            <w:pPr>
              <w:adjustRightIn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废水排放量Q/（m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/d）；水污染物当量数W/（无量纲）</w:t>
            </w:r>
          </w:p>
        </w:tc>
      </w:tr>
      <w:tr w14:paraId="1C60B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1" w:type="dxa"/>
            <w:tcBorders>
              <w:tl2br w:val="nil"/>
              <w:tr2bl w:val="nil"/>
            </w:tcBorders>
            <w:vAlign w:val="center"/>
          </w:tcPr>
          <w:p w14:paraId="4FEEC61D">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1941" w:type="dxa"/>
            <w:tcBorders>
              <w:tl2br w:val="nil"/>
              <w:tr2bl w:val="nil"/>
            </w:tcBorders>
            <w:vAlign w:val="center"/>
          </w:tcPr>
          <w:p w14:paraId="0A2BB2E7">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5767" w:type="dxa"/>
            <w:tcBorders>
              <w:tl2br w:val="nil"/>
              <w:tr2bl w:val="nil"/>
            </w:tcBorders>
            <w:vAlign w:val="center"/>
          </w:tcPr>
          <w:p w14:paraId="51F2DE06">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Q≥20000或W≥600000</w:t>
            </w:r>
          </w:p>
        </w:tc>
      </w:tr>
      <w:tr w14:paraId="12A36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1" w:type="dxa"/>
            <w:tcBorders>
              <w:tl2br w:val="nil"/>
              <w:tr2bl w:val="nil"/>
            </w:tcBorders>
            <w:vAlign w:val="center"/>
          </w:tcPr>
          <w:p w14:paraId="316ED661">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1941" w:type="dxa"/>
            <w:tcBorders>
              <w:tl2br w:val="nil"/>
              <w:tr2bl w:val="nil"/>
            </w:tcBorders>
            <w:vAlign w:val="center"/>
          </w:tcPr>
          <w:p w14:paraId="58C5B2A8">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5767" w:type="dxa"/>
            <w:tcBorders>
              <w:tl2br w:val="nil"/>
              <w:tr2bl w:val="nil"/>
            </w:tcBorders>
            <w:vAlign w:val="center"/>
          </w:tcPr>
          <w:p w14:paraId="7AC2AF09">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r>
      <w:tr w14:paraId="723C2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1" w:type="dxa"/>
            <w:tcBorders>
              <w:tl2br w:val="nil"/>
              <w:tr2bl w:val="nil"/>
            </w:tcBorders>
            <w:vAlign w:val="center"/>
          </w:tcPr>
          <w:p w14:paraId="104BC0D0">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三级A</w:t>
            </w:r>
          </w:p>
        </w:tc>
        <w:tc>
          <w:tcPr>
            <w:tcW w:w="1941" w:type="dxa"/>
            <w:tcBorders>
              <w:tl2br w:val="nil"/>
              <w:tr2bl w:val="nil"/>
            </w:tcBorders>
            <w:vAlign w:val="center"/>
          </w:tcPr>
          <w:p w14:paraId="7B37C20F">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5767" w:type="dxa"/>
            <w:tcBorders>
              <w:tl2br w:val="nil"/>
              <w:tr2bl w:val="nil"/>
            </w:tcBorders>
            <w:vAlign w:val="center"/>
          </w:tcPr>
          <w:p w14:paraId="4ED8356D">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Q&lt;200且W&lt;6000</w:t>
            </w:r>
          </w:p>
        </w:tc>
      </w:tr>
      <w:tr w14:paraId="36E98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71" w:type="dxa"/>
            <w:tcBorders>
              <w:tl2br w:val="nil"/>
              <w:tr2bl w:val="nil"/>
            </w:tcBorders>
            <w:vAlign w:val="center"/>
          </w:tcPr>
          <w:p w14:paraId="28525E81">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三级B</w:t>
            </w:r>
          </w:p>
        </w:tc>
        <w:tc>
          <w:tcPr>
            <w:tcW w:w="1941" w:type="dxa"/>
            <w:tcBorders>
              <w:tl2br w:val="nil"/>
              <w:tr2bl w:val="nil"/>
            </w:tcBorders>
            <w:vAlign w:val="center"/>
          </w:tcPr>
          <w:p w14:paraId="74122EED">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间接排放</w:t>
            </w:r>
          </w:p>
        </w:tc>
        <w:tc>
          <w:tcPr>
            <w:tcW w:w="5767" w:type="dxa"/>
            <w:tcBorders>
              <w:tl2br w:val="nil"/>
              <w:tr2bl w:val="nil"/>
            </w:tcBorders>
            <w:vAlign w:val="center"/>
          </w:tcPr>
          <w:p w14:paraId="322706BD">
            <w:pPr>
              <w:adjustRightIn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893A1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979" w:type="dxa"/>
            <w:gridSpan w:val="3"/>
            <w:tcBorders>
              <w:tl2br w:val="nil"/>
              <w:tr2bl w:val="nil"/>
            </w:tcBorders>
            <w:vAlign w:val="center"/>
          </w:tcPr>
          <w:p w14:paraId="6755A34A">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4889D00F">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5632A040">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注3：厂区存在堆积物（露天堆放的原料、燃料、废渣等以及垃圾堆放场）、降尘污染的，应将初期雨污水纳入废水排放量，相应的主要污染物纳入水污染当量计算。</w:t>
            </w:r>
          </w:p>
          <w:p w14:paraId="69B21860">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注4：建设项目直接排放第一类污染物的，其评价等级为一级；建设项目直接排放的污染物为受纳水体超标因子的，评价等级不低于二级。</w:t>
            </w:r>
          </w:p>
          <w:p w14:paraId="29FAB842">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注5：直接排放受纳水体影响范围涉及饮用水水源保护区、饮用水取水口、重点保护与珍稀水生生物的栖息地、重要水生生物的自然产卵场等保护目标时，评价等级不低于二级。</w:t>
            </w:r>
          </w:p>
          <w:p w14:paraId="54757DFD">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注6：建设项目向河流、湖库排放温排水引起受纳水体水温变化超过水环境质量标准要求，且评价范围有水温敏感目标时，评价等级为一级。</w:t>
            </w:r>
          </w:p>
          <w:p w14:paraId="73F90EA7">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注7：建设项目利用海水作为调节温度介质，排水量≥500万m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/d，评价等级为一级；排水量＜500万m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/d，评价等级为二级。</w:t>
            </w:r>
          </w:p>
          <w:p w14:paraId="0AF206ED">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注8：仅涉及清净下水排放的，如其排放水质满足受纳水体水环境质量标准要求的，评价等级为三级A。</w:t>
            </w:r>
          </w:p>
          <w:p w14:paraId="54F6A294">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注9：依托现有排放口，且对外环境未新增排放污染物的直接排放建设项目，评价等级参照间接排放，定为三级B。</w:t>
            </w:r>
          </w:p>
          <w:p w14:paraId="4391A740">
            <w:pPr>
              <w:adjustRightIn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注10：建设项目生产工艺中有废水产生，但作为回水利用，不排放到外环境的，按三级B评价。</w:t>
            </w:r>
          </w:p>
        </w:tc>
      </w:tr>
    </w:tbl>
    <w:p w14:paraId="3C4736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本项目废水属于间接排放，根据《环境影响评价技术导则地表水环境》（HJ2.3-2018），其评价等级为水污染影响型三级B。因此，确定</w:t>
      </w:r>
      <w:r>
        <w:rPr>
          <w:rFonts w:hint="default" w:ascii="Times New Roman" w:hAnsi="Times New Roman" w:eastAsia="宋体" w:cs="Times New Roman"/>
          <w:b/>
          <w:bCs/>
          <w:color w:val="auto"/>
          <w:sz w:val="24"/>
          <w:szCs w:val="24"/>
          <w:lang w:val="en-US" w:eastAsia="zh-CN"/>
        </w:rPr>
        <w:t>本项目地表水环境影响评价等级为三级B。</w:t>
      </w:r>
    </w:p>
    <w:p w14:paraId="770511D9">
      <w:pPr>
        <w:pStyle w:val="7"/>
        <w:bidi w:val="0"/>
        <w:rPr>
          <w:rFonts w:hint="default" w:ascii="Times New Roman" w:hAnsi="Times New Roman" w:eastAsia="宋体" w:cs="Times New Roman"/>
          <w:color w:val="auto"/>
          <w:lang w:val="en-US" w:eastAsia="zh-CN"/>
        </w:rPr>
      </w:pPr>
      <w:bookmarkStart w:id="452" w:name="_Toc13714"/>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.3地下水环境评价工作等级</w:t>
      </w:r>
      <w:bookmarkEnd w:id="452"/>
      <w:r>
        <w:rPr>
          <w:rFonts w:hint="default" w:ascii="Times New Roman" w:hAnsi="Times New Roman" w:eastAsia="宋体" w:cs="Times New Roman"/>
          <w:color w:val="auto"/>
          <w:lang w:val="en-US" w:eastAsia="zh-CN"/>
        </w:rPr>
        <w:t xml:space="preserve"> </w:t>
      </w:r>
    </w:p>
    <w:p w14:paraId="157D13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根据《环境影响评价技术导则—地下水环境》（HJ 610-2016）本项目分类属于《环境影响评价技术导则—地下水环境》（HJ610-2016）附录III类项目。其地下水环境影响评价工作等级的划分依据 III 类项目特征分别进行地下水环境影响评价等级划分。根据III类建设项目工作等级划分依据，应根据《环境影响评价技术导则-地下水环境》（HJ610-2016）中评价工作等级的划分应根据建设项目行业分类和地下水环境敏感程度分级进行判定，具体情况见表1.</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-3。</w:t>
      </w:r>
    </w:p>
    <w:p w14:paraId="7067AA36">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-3 地下水敏感程度分级</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7389"/>
      </w:tblGrid>
      <w:tr w14:paraId="4F45C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dxa"/>
            <w:shd w:val="clear" w:color="auto" w:fill="D7D7D7" w:themeFill="background1" w:themeFillShade="D8"/>
            <w:vAlign w:val="center"/>
          </w:tcPr>
          <w:p w14:paraId="72F56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453" w:name="_Toc23721"/>
            <w:bookmarkStart w:id="454" w:name="_Toc12810"/>
            <w:bookmarkStart w:id="455" w:name="_Toc12972"/>
            <w:bookmarkStart w:id="456" w:name="_Toc30029"/>
            <w:bookmarkStart w:id="457" w:name="_Toc11244"/>
            <w:bookmarkStart w:id="458" w:name="_Toc12135"/>
            <w:r>
              <w:rPr>
                <w:rFonts w:hint="default" w:ascii="Times New Roman" w:hAnsi="Times New Roman" w:eastAsia="宋体" w:cs="Times New Roman"/>
                <w:b/>
                <w:bCs/>
                <w:color w:val="auto"/>
                <w:sz w:val="21"/>
                <w:szCs w:val="21"/>
                <w:vertAlign w:val="baseline"/>
                <w:lang w:val="en-US" w:eastAsia="zh-CN"/>
              </w:rPr>
              <w:t>敏感程度</w:t>
            </w:r>
            <w:bookmarkEnd w:id="453"/>
            <w:bookmarkEnd w:id="454"/>
            <w:bookmarkEnd w:id="455"/>
            <w:bookmarkEnd w:id="456"/>
            <w:bookmarkEnd w:id="457"/>
            <w:bookmarkEnd w:id="458"/>
          </w:p>
        </w:tc>
        <w:tc>
          <w:tcPr>
            <w:tcW w:w="7389" w:type="dxa"/>
            <w:shd w:val="clear" w:color="auto" w:fill="D7D7D7" w:themeFill="background1" w:themeFillShade="D8"/>
            <w:vAlign w:val="center"/>
          </w:tcPr>
          <w:p w14:paraId="0D4C431C">
            <w:pPr>
              <w:keepNext w:val="0"/>
              <w:keepLines w:val="0"/>
              <w:widowControl/>
              <w:suppressLineNumbers w:val="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地下水环境敏感特征</w:t>
            </w:r>
          </w:p>
        </w:tc>
      </w:tr>
      <w:tr w14:paraId="5FB3A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728C66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59" w:name="_Toc24476"/>
            <w:bookmarkStart w:id="460" w:name="_Toc6815"/>
            <w:bookmarkStart w:id="461" w:name="_Toc3046"/>
            <w:bookmarkStart w:id="462" w:name="_Toc15929"/>
            <w:bookmarkStart w:id="463" w:name="_Toc16337"/>
            <w:bookmarkStart w:id="464" w:name="_Toc20406"/>
            <w:r>
              <w:rPr>
                <w:rFonts w:hint="default" w:ascii="Times New Roman" w:hAnsi="Times New Roman" w:eastAsia="宋体" w:cs="Times New Roman"/>
                <w:color w:val="auto"/>
                <w:sz w:val="21"/>
                <w:szCs w:val="21"/>
                <w:vertAlign w:val="baseline"/>
                <w:lang w:val="en-US" w:eastAsia="zh-CN"/>
              </w:rPr>
              <w:t>敏感</w:t>
            </w:r>
            <w:bookmarkEnd w:id="459"/>
            <w:bookmarkEnd w:id="460"/>
            <w:bookmarkEnd w:id="461"/>
            <w:bookmarkEnd w:id="462"/>
            <w:bookmarkEnd w:id="463"/>
            <w:bookmarkEnd w:id="464"/>
          </w:p>
        </w:tc>
        <w:tc>
          <w:tcPr>
            <w:tcW w:w="7389" w:type="dxa"/>
            <w:vAlign w:val="center"/>
          </w:tcPr>
          <w:p w14:paraId="6C771A41">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14:paraId="57CFE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3FA486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65" w:name="_Toc6746"/>
            <w:bookmarkStart w:id="466" w:name="_Toc18774"/>
            <w:bookmarkStart w:id="467" w:name="_Toc26659"/>
            <w:bookmarkStart w:id="468" w:name="_Toc16226"/>
            <w:bookmarkStart w:id="469" w:name="_Toc8949"/>
            <w:bookmarkStart w:id="470" w:name="_Toc30067"/>
            <w:r>
              <w:rPr>
                <w:rFonts w:hint="default" w:ascii="Times New Roman" w:hAnsi="Times New Roman" w:eastAsia="宋体" w:cs="Times New Roman"/>
                <w:color w:val="auto"/>
                <w:sz w:val="21"/>
                <w:szCs w:val="21"/>
                <w:vertAlign w:val="baseline"/>
                <w:lang w:val="en-US" w:eastAsia="zh-CN"/>
              </w:rPr>
              <w:t>较敏感</w:t>
            </w:r>
            <w:bookmarkEnd w:id="465"/>
            <w:bookmarkEnd w:id="466"/>
            <w:bookmarkEnd w:id="467"/>
            <w:bookmarkEnd w:id="468"/>
            <w:bookmarkEnd w:id="469"/>
            <w:bookmarkEnd w:id="470"/>
          </w:p>
        </w:tc>
        <w:tc>
          <w:tcPr>
            <w:tcW w:w="7389" w:type="dxa"/>
            <w:vAlign w:val="center"/>
          </w:tcPr>
          <w:p w14:paraId="70D07A19">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625185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14:paraId="6CA932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bookmarkStart w:id="471" w:name="_Toc17445"/>
            <w:bookmarkStart w:id="472" w:name="_Toc10738"/>
            <w:bookmarkStart w:id="473" w:name="_Toc17549"/>
            <w:bookmarkStart w:id="474" w:name="_Toc14786"/>
            <w:bookmarkStart w:id="475" w:name="_Toc22690"/>
            <w:bookmarkStart w:id="476" w:name="_Toc15484"/>
            <w:r>
              <w:rPr>
                <w:rFonts w:hint="default" w:ascii="Times New Roman" w:hAnsi="Times New Roman" w:eastAsia="宋体" w:cs="Times New Roman"/>
                <w:color w:val="auto"/>
                <w:sz w:val="21"/>
                <w:szCs w:val="21"/>
                <w:vertAlign w:val="baseline"/>
                <w:lang w:val="en-US" w:eastAsia="zh-CN"/>
              </w:rPr>
              <w:t>不敏感</w:t>
            </w:r>
            <w:bookmarkEnd w:id="471"/>
            <w:bookmarkEnd w:id="472"/>
            <w:bookmarkEnd w:id="473"/>
            <w:bookmarkEnd w:id="474"/>
            <w:bookmarkEnd w:id="475"/>
            <w:bookmarkEnd w:id="476"/>
          </w:p>
        </w:tc>
        <w:tc>
          <w:tcPr>
            <w:tcW w:w="7389" w:type="dxa"/>
            <w:vAlign w:val="center"/>
          </w:tcPr>
          <w:p w14:paraId="3B6C022A">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上述地区之外的其它地区。</w:t>
            </w:r>
          </w:p>
        </w:tc>
      </w:tr>
    </w:tbl>
    <w:p w14:paraId="437F86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根据现场调查和资料收集，项目所在水文地质单元内存不存在饮用水水源地，因此，评价区地下水环境敏感程度为“不敏感”。</w:t>
      </w:r>
    </w:p>
    <w:p w14:paraId="2A1C67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据项目敏感程度情况，结合《环境影响评价技术导则-地下水环境》（HJ610-2016）中建设项目评价工作等级划分表的要求，本项目地下水环境影响</w:t>
      </w:r>
      <w:r>
        <w:rPr>
          <w:rFonts w:hint="default" w:ascii="Times New Roman" w:hAnsi="Times New Roman" w:eastAsia="宋体" w:cs="Times New Roman"/>
          <w:b/>
          <w:bCs/>
          <w:color w:val="auto"/>
          <w:sz w:val="24"/>
          <w:szCs w:val="24"/>
          <w:lang w:val="en-US" w:eastAsia="zh-CN"/>
        </w:rPr>
        <w:t>评价等级为三级</w:t>
      </w:r>
      <w:r>
        <w:rPr>
          <w:rFonts w:hint="default" w:ascii="Times New Roman" w:hAnsi="Times New Roman" w:eastAsia="宋体" w:cs="Times New Roman"/>
          <w:color w:val="auto"/>
          <w:sz w:val="24"/>
          <w:szCs w:val="24"/>
          <w:lang w:val="en-US" w:eastAsia="zh-CN"/>
        </w:rPr>
        <w:t>。地下水评价等级划分情况见下表。</w:t>
      </w:r>
    </w:p>
    <w:p w14:paraId="30D67D4F">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 1.</w:t>
      </w:r>
      <w:r>
        <w:rPr>
          <w:rFonts w:hint="eastAsia" w:ascii="Times New Roman" w:hAnsi="Times New Roman" w:eastAsia="宋体" w:cs="Times New Roman"/>
          <w:b/>
          <w:bCs/>
          <w:color w:val="auto"/>
          <w:kern w:val="0"/>
          <w:sz w:val="21"/>
          <w:szCs w:val="21"/>
          <w:lang w:val="en-US" w:eastAsia="zh-CN" w:bidi="ar"/>
        </w:rPr>
        <w:t>6</w:t>
      </w:r>
      <w:r>
        <w:rPr>
          <w:rFonts w:hint="default" w:ascii="Times New Roman" w:hAnsi="Times New Roman" w:eastAsia="宋体" w:cs="Times New Roman"/>
          <w:b/>
          <w:bCs/>
          <w:color w:val="auto"/>
          <w:kern w:val="0"/>
          <w:sz w:val="21"/>
          <w:szCs w:val="21"/>
          <w:lang w:val="en-US" w:eastAsia="zh-CN" w:bidi="ar"/>
        </w:rPr>
        <w:t>-4 地下水环境评价工作等级划分</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1EB0E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Borders>
              <w:tl2br w:val="single" w:color="auto" w:sz="4" w:space="0"/>
            </w:tcBorders>
            <w:shd w:val="clear" w:color="auto" w:fill="D7D7D7" w:themeFill="background1" w:themeFillShade="D8"/>
          </w:tcPr>
          <w:p w14:paraId="48DAB8F6">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left"/>
              <w:textAlignment w:val="auto"/>
              <w:outlineLvl w:val="1"/>
              <w:rPr>
                <w:rFonts w:hint="default" w:ascii="Times New Roman" w:hAnsi="Times New Roman" w:eastAsia="宋体" w:cs="Times New Roman"/>
                <w:b/>
                <w:bCs/>
                <w:color w:val="auto"/>
                <w:sz w:val="21"/>
                <w:szCs w:val="21"/>
                <w:lang w:val="en-US" w:eastAsia="zh-CN"/>
              </w:rPr>
            </w:pPr>
            <w:bookmarkStart w:id="477" w:name="_Toc2290"/>
            <w:bookmarkStart w:id="478" w:name="_Toc31508"/>
            <w:bookmarkStart w:id="479" w:name="_Toc7819"/>
            <w:bookmarkStart w:id="480" w:name="_Toc24116"/>
            <w:bookmarkStart w:id="481" w:name="_Toc23729"/>
            <w:bookmarkStart w:id="482" w:name="_Toc8281"/>
            <w:r>
              <w:rPr>
                <w:rFonts w:hint="default" w:ascii="Times New Roman" w:hAnsi="Times New Roman" w:eastAsia="宋体" w:cs="Times New Roman"/>
                <w:b/>
                <w:bCs/>
                <w:color w:val="auto"/>
                <w:sz w:val="21"/>
                <w:szCs w:val="21"/>
                <w:lang w:val="en-US" w:eastAsia="zh-CN"/>
              </w:rPr>
              <w:t>环境敏感程度</w:t>
            </w:r>
            <w:bookmarkEnd w:id="477"/>
            <w:bookmarkEnd w:id="478"/>
            <w:bookmarkEnd w:id="479"/>
            <w:bookmarkEnd w:id="480"/>
            <w:bookmarkEnd w:id="481"/>
            <w:bookmarkEnd w:id="482"/>
          </w:p>
          <w:p w14:paraId="5E11C2D3">
            <w:pPr>
              <w:pStyle w:val="24"/>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rPr>
              <w:t>项目类别</w:t>
            </w:r>
          </w:p>
        </w:tc>
        <w:tc>
          <w:tcPr>
            <w:tcW w:w="2130" w:type="dxa"/>
            <w:shd w:val="clear" w:color="auto" w:fill="D7D7D7" w:themeFill="background1" w:themeFillShade="D8"/>
            <w:vAlign w:val="center"/>
          </w:tcPr>
          <w:p w14:paraId="0FD068A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483" w:name="_Toc28055"/>
            <w:bookmarkStart w:id="484" w:name="_Toc187"/>
            <w:bookmarkStart w:id="485" w:name="_Toc19476"/>
            <w:bookmarkStart w:id="486" w:name="_Toc30047"/>
            <w:bookmarkStart w:id="487" w:name="_Toc19959"/>
            <w:bookmarkStart w:id="488" w:name="_Toc20757"/>
            <w:r>
              <w:rPr>
                <w:rFonts w:hint="default" w:ascii="Times New Roman" w:hAnsi="Times New Roman" w:eastAsia="宋体" w:cs="Times New Roman"/>
                <w:b/>
                <w:bCs/>
                <w:color w:val="auto"/>
                <w:sz w:val="21"/>
                <w:szCs w:val="21"/>
                <w:vertAlign w:val="baseline"/>
                <w:lang w:val="en-US" w:eastAsia="zh-CN"/>
              </w:rPr>
              <w:t>Ⅰ</w:t>
            </w:r>
            <w:bookmarkEnd w:id="483"/>
            <w:bookmarkEnd w:id="484"/>
            <w:bookmarkEnd w:id="485"/>
            <w:bookmarkEnd w:id="486"/>
            <w:bookmarkEnd w:id="487"/>
            <w:bookmarkEnd w:id="488"/>
          </w:p>
        </w:tc>
        <w:tc>
          <w:tcPr>
            <w:tcW w:w="2131" w:type="dxa"/>
            <w:shd w:val="clear" w:color="auto" w:fill="D7D7D7" w:themeFill="background1" w:themeFillShade="D8"/>
            <w:vAlign w:val="center"/>
          </w:tcPr>
          <w:p w14:paraId="36FE23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489" w:name="_Toc10678"/>
            <w:bookmarkStart w:id="490" w:name="_Toc11757"/>
            <w:bookmarkStart w:id="491" w:name="_Toc15223"/>
            <w:bookmarkStart w:id="492" w:name="_Toc5630"/>
            <w:bookmarkStart w:id="493" w:name="_Toc24564"/>
            <w:bookmarkStart w:id="494" w:name="_Toc27007"/>
            <w:r>
              <w:rPr>
                <w:rFonts w:hint="default" w:ascii="Times New Roman" w:hAnsi="Times New Roman" w:eastAsia="宋体" w:cs="Times New Roman"/>
                <w:b/>
                <w:bCs/>
                <w:color w:val="auto"/>
                <w:sz w:val="21"/>
                <w:szCs w:val="21"/>
                <w:vertAlign w:val="baseline"/>
                <w:lang w:val="en-US" w:eastAsia="zh-CN"/>
              </w:rPr>
              <w:t>Ⅱ</w:t>
            </w:r>
            <w:bookmarkEnd w:id="489"/>
            <w:bookmarkEnd w:id="490"/>
            <w:bookmarkEnd w:id="491"/>
            <w:bookmarkEnd w:id="492"/>
            <w:bookmarkEnd w:id="493"/>
            <w:bookmarkEnd w:id="494"/>
          </w:p>
        </w:tc>
        <w:tc>
          <w:tcPr>
            <w:tcW w:w="2131" w:type="dxa"/>
            <w:shd w:val="clear" w:color="auto" w:fill="D7D7D7" w:themeFill="background1" w:themeFillShade="D8"/>
            <w:vAlign w:val="center"/>
          </w:tcPr>
          <w:p w14:paraId="0191B6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sz w:val="21"/>
                <w:szCs w:val="21"/>
                <w:vertAlign w:val="baseline"/>
                <w:lang w:val="en-US" w:eastAsia="zh-CN"/>
              </w:rPr>
            </w:pPr>
            <w:bookmarkStart w:id="495" w:name="_Toc4615"/>
            <w:bookmarkStart w:id="496" w:name="_Toc7709"/>
            <w:bookmarkStart w:id="497" w:name="_Toc12949"/>
            <w:bookmarkStart w:id="498" w:name="_Toc3192"/>
            <w:bookmarkStart w:id="499" w:name="_Toc12821"/>
            <w:bookmarkStart w:id="500" w:name="_Toc4794"/>
            <w:r>
              <w:rPr>
                <w:rFonts w:hint="default" w:ascii="Times New Roman" w:hAnsi="Times New Roman" w:eastAsia="宋体" w:cs="Times New Roman"/>
                <w:b/>
                <w:bCs/>
                <w:color w:val="auto"/>
                <w:sz w:val="21"/>
                <w:szCs w:val="21"/>
                <w:vertAlign w:val="baseline"/>
                <w:lang w:val="en-US" w:eastAsia="zh-CN"/>
              </w:rPr>
              <w:t>Ⅲ</w:t>
            </w:r>
            <w:bookmarkEnd w:id="495"/>
            <w:bookmarkEnd w:id="496"/>
            <w:bookmarkEnd w:id="497"/>
            <w:bookmarkEnd w:id="498"/>
            <w:bookmarkEnd w:id="499"/>
            <w:bookmarkEnd w:id="500"/>
          </w:p>
        </w:tc>
      </w:tr>
      <w:tr w14:paraId="291F56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127AD5AB">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left"/>
              <w:textAlignment w:val="auto"/>
              <w:outlineLvl w:val="1"/>
              <w:rPr>
                <w:rFonts w:hint="default" w:ascii="Times New Roman" w:hAnsi="Times New Roman" w:eastAsia="宋体" w:cs="Times New Roman"/>
                <w:color w:val="auto"/>
                <w:sz w:val="21"/>
                <w:szCs w:val="21"/>
                <w:lang w:val="en-US" w:eastAsia="zh-CN"/>
              </w:rPr>
            </w:pPr>
            <w:bookmarkStart w:id="501" w:name="_Toc32625"/>
            <w:bookmarkStart w:id="502" w:name="_Toc27322"/>
            <w:bookmarkStart w:id="503" w:name="_Toc31995"/>
            <w:bookmarkStart w:id="504" w:name="_Toc8389"/>
            <w:bookmarkStart w:id="505" w:name="_Toc13960"/>
            <w:bookmarkStart w:id="506" w:name="_Toc5918"/>
            <w:r>
              <w:rPr>
                <w:rFonts w:hint="default" w:ascii="Times New Roman" w:hAnsi="Times New Roman" w:eastAsia="宋体" w:cs="Times New Roman"/>
                <w:color w:val="auto"/>
                <w:sz w:val="21"/>
                <w:szCs w:val="21"/>
                <w:lang w:val="en-US" w:eastAsia="zh-CN"/>
              </w:rPr>
              <w:t>敏感</w:t>
            </w:r>
            <w:bookmarkEnd w:id="501"/>
            <w:bookmarkEnd w:id="502"/>
            <w:bookmarkEnd w:id="503"/>
            <w:bookmarkEnd w:id="504"/>
            <w:bookmarkEnd w:id="505"/>
            <w:bookmarkEnd w:id="506"/>
          </w:p>
        </w:tc>
        <w:tc>
          <w:tcPr>
            <w:tcW w:w="2130" w:type="dxa"/>
            <w:vAlign w:val="center"/>
          </w:tcPr>
          <w:p w14:paraId="01F17D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07" w:name="_Toc14697"/>
            <w:bookmarkStart w:id="508" w:name="_Toc13276"/>
            <w:bookmarkStart w:id="509" w:name="_Toc7106"/>
            <w:bookmarkStart w:id="510" w:name="_Toc863"/>
            <w:bookmarkStart w:id="511" w:name="_Toc22722"/>
            <w:bookmarkStart w:id="512" w:name="_Toc24440"/>
            <w:r>
              <w:rPr>
                <w:rFonts w:hint="default" w:ascii="Times New Roman" w:hAnsi="Times New Roman" w:eastAsia="宋体" w:cs="Times New Roman"/>
                <w:color w:val="auto"/>
                <w:sz w:val="21"/>
                <w:szCs w:val="21"/>
                <w:lang w:val="en-US" w:eastAsia="zh-CN"/>
              </w:rPr>
              <w:t>一</w:t>
            </w:r>
            <w:bookmarkEnd w:id="507"/>
            <w:bookmarkEnd w:id="508"/>
            <w:bookmarkEnd w:id="509"/>
            <w:bookmarkEnd w:id="510"/>
            <w:bookmarkEnd w:id="511"/>
            <w:bookmarkEnd w:id="512"/>
          </w:p>
        </w:tc>
        <w:tc>
          <w:tcPr>
            <w:tcW w:w="2131" w:type="dxa"/>
            <w:vAlign w:val="center"/>
          </w:tcPr>
          <w:p w14:paraId="6AD049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13" w:name="_Toc29337"/>
            <w:bookmarkStart w:id="514" w:name="_Toc27915"/>
            <w:bookmarkStart w:id="515" w:name="_Toc20662"/>
            <w:bookmarkStart w:id="516" w:name="_Toc15744"/>
            <w:bookmarkStart w:id="517" w:name="_Toc14646"/>
            <w:bookmarkStart w:id="518" w:name="_Toc21184"/>
            <w:r>
              <w:rPr>
                <w:rFonts w:hint="default" w:ascii="Times New Roman" w:hAnsi="Times New Roman" w:eastAsia="宋体" w:cs="Times New Roman"/>
                <w:color w:val="auto"/>
                <w:sz w:val="21"/>
                <w:szCs w:val="21"/>
                <w:lang w:val="en-US" w:eastAsia="zh-CN"/>
              </w:rPr>
              <w:t>一</w:t>
            </w:r>
            <w:bookmarkEnd w:id="513"/>
            <w:bookmarkEnd w:id="514"/>
            <w:bookmarkEnd w:id="515"/>
            <w:bookmarkEnd w:id="516"/>
            <w:bookmarkEnd w:id="517"/>
            <w:bookmarkEnd w:id="518"/>
          </w:p>
        </w:tc>
        <w:tc>
          <w:tcPr>
            <w:tcW w:w="2131" w:type="dxa"/>
            <w:vAlign w:val="center"/>
          </w:tcPr>
          <w:p w14:paraId="49A4FB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19" w:name="_Toc21429"/>
            <w:bookmarkStart w:id="520" w:name="_Toc17654"/>
            <w:bookmarkStart w:id="521" w:name="_Toc12593"/>
            <w:bookmarkStart w:id="522" w:name="_Toc27909"/>
            <w:bookmarkStart w:id="523" w:name="_Toc21805"/>
            <w:bookmarkStart w:id="524" w:name="_Toc20042"/>
            <w:r>
              <w:rPr>
                <w:rFonts w:hint="default" w:ascii="Times New Roman" w:hAnsi="Times New Roman" w:eastAsia="宋体" w:cs="Times New Roman"/>
                <w:color w:val="auto"/>
                <w:sz w:val="21"/>
                <w:szCs w:val="21"/>
                <w:lang w:val="en-US" w:eastAsia="zh-CN"/>
              </w:rPr>
              <w:t>二</w:t>
            </w:r>
            <w:bookmarkEnd w:id="519"/>
            <w:bookmarkEnd w:id="520"/>
            <w:bookmarkEnd w:id="521"/>
            <w:bookmarkEnd w:id="522"/>
            <w:bookmarkEnd w:id="523"/>
            <w:bookmarkEnd w:id="524"/>
          </w:p>
        </w:tc>
      </w:tr>
      <w:tr w14:paraId="3EFBFF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3A7E4322">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left"/>
              <w:textAlignment w:val="auto"/>
              <w:outlineLvl w:val="1"/>
              <w:rPr>
                <w:rFonts w:hint="default" w:ascii="Times New Roman" w:hAnsi="Times New Roman" w:eastAsia="宋体" w:cs="Times New Roman"/>
                <w:color w:val="auto"/>
                <w:sz w:val="21"/>
                <w:szCs w:val="21"/>
                <w:lang w:val="en-US" w:eastAsia="zh-CN"/>
              </w:rPr>
            </w:pPr>
            <w:bookmarkStart w:id="525" w:name="_Toc31147"/>
            <w:bookmarkStart w:id="526" w:name="_Toc13642"/>
            <w:bookmarkStart w:id="527" w:name="_Toc26622"/>
            <w:bookmarkStart w:id="528" w:name="_Toc24117"/>
            <w:bookmarkStart w:id="529" w:name="_Toc5078"/>
            <w:bookmarkStart w:id="530" w:name="_Toc6674"/>
            <w:r>
              <w:rPr>
                <w:rFonts w:hint="default" w:ascii="Times New Roman" w:hAnsi="Times New Roman" w:eastAsia="宋体" w:cs="Times New Roman"/>
                <w:color w:val="auto"/>
                <w:sz w:val="21"/>
                <w:szCs w:val="21"/>
                <w:lang w:val="en-US" w:eastAsia="zh-CN"/>
              </w:rPr>
              <w:t>较敏感</w:t>
            </w:r>
            <w:bookmarkEnd w:id="525"/>
            <w:bookmarkEnd w:id="526"/>
            <w:bookmarkEnd w:id="527"/>
            <w:bookmarkEnd w:id="528"/>
            <w:bookmarkEnd w:id="529"/>
            <w:bookmarkEnd w:id="530"/>
          </w:p>
        </w:tc>
        <w:tc>
          <w:tcPr>
            <w:tcW w:w="2130" w:type="dxa"/>
            <w:vAlign w:val="center"/>
          </w:tcPr>
          <w:p w14:paraId="631F189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31" w:name="_Toc29336"/>
            <w:bookmarkStart w:id="532" w:name="_Toc9029"/>
            <w:bookmarkStart w:id="533" w:name="_Toc12746"/>
            <w:bookmarkStart w:id="534" w:name="_Toc31148"/>
            <w:bookmarkStart w:id="535" w:name="_Toc4278"/>
            <w:bookmarkStart w:id="536" w:name="_Toc30728"/>
            <w:r>
              <w:rPr>
                <w:rFonts w:hint="default" w:ascii="Times New Roman" w:hAnsi="Times New Roman" w:eastAsia="宋体" w:cs="Times New Roman"/>
                <w:color w:val="auto"/>
                <w:sz w:val="21"/>
                <w:szCs w:val="21"/>
                <w:lang w:val="en-US" w:eastAsia="zh-CN"/>
              </w:rPr>
              <w:t>一</w:t>
            </w:r>
            <w:bookmarkEnd w:id="531"/>
            <w:bookmarkEnd w:id="532"/>
            <w:bookmarkEnd w:id="533"/>
            <w:bookmarkEnd w:id="534"/>
            <w:bookmarkEnd w:id="535"/>
            <w:bookmarkEnd w:id="536"/>
          </w:p>
        </w:tc>
        <w:tc>
          <w:tcPr>
            <w:tcW w:w="2131" w:type="dxa"/>
            <w:vAlign w:val="center"/>
          </w:tcPr>
          <w:p w14:paraId="4DC360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37" w:name="_Toc19668"/>
            <w:bookmarkStart w:id="538" w:name="_Toc22823"/>
            <w:bookmarkStart w:id="539" w:name="_Toc17930"/>
            <w:bookmarkStart w:id="540" w:name="_Toc23442"/>
            <w:bookmarkStart w:id="541" w:name="_Toc5188"/>
            <w:bookmarkStart w:id="542" w:name="_Toc13653"/>
            <w:r>
              <w:rPr>
                <w:rFonts w:hint="default" w:ascii="Times New Roman" w:hAnsi="Times New Roman" w:eastAsia="宋体" w:cs="Times New Roman"/>
                <w:color w:val="auto"/>
                <w:sz w:val="21"/>
                <w:szCs w:val="21"/>
                <w:lang w:val="en-US" w:eastAsia="zh-CN"/>
              </w:rPr>
              <w:t>二</w:t>
            </w:r>
            <w:bookmarkEnd w:id="537"/>
            <w:bookmarkEnd w:id="538"/>
            <w:bookmarkEnd w:id="539"/>
            <w:bookmarkEnd w:id="540"/>
            <w:bookmarkEnd w:id="541"/>
            <w:bookmarkEnd w:id="542"/>
          </w:p>
        </w:tc>
        <w:tc>
          <w:tcPr>
            <w:tcW w:w="2131" w:type="dxa"/>
            <w:vAlign w:val="center"/>
          </w:tcPr>
          <w:p w14:paraId="418FF3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43" w:name="_Toc8854"/>
            <w:bookmarkStart w:id="544" w:name="_Toc6898"/>
            <w:bookmarkStart w:id="545" w:name="_Toc25668"/>
            <w:bookmarkStart w:id="546" w:name="_Toc10611"/>
            <w:bookmarkStart w:id="547" w:name="_Toc20308"/>
            <w:bookmarkStart w:id="548" w:name="_Toc11782"/>
            <w:r>
              <w:rPr>
                <w:rFonts w:hint="default" w:ascii="Times New Roman" w:hAnsi="Times New Roman" w:eastAsia="宋体" w:cs="Times New Roman"/>
                <w:color w:val="auto"/>
                <w:sz w:val="21"/>
                <w:szCs w:val="21"/>
                <w:lang w:val="en-US" w:eastAsia="zh-CN"/>
              </w:rPr>
              <w:t>三</w:t>
            </w:r>
            <w:bookmarkEnd w:id="543"/>
            <w:bookmarkEnd w:id="544"/>
            <w:bookmarkEnd w:id="545"/>
            <w:bookmarkEnd w:id="546"/>
            <w:bookmarkEnd w:id="547"/>
            <w:bookmarkEnd w:id="548"/>
          </w:p>
        </w:tc>
      </w:tr>
      <w:tr w14:paraId="554A4C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547C282B">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left"/>
              <w:textAlignment w:val="auto"/>
              <w:outlineLvl w:val="1"/>
              <w:rPr>
                <w:rFonts w:hint="default" w:ascii="Times New Roman" w:hAnsi="Times New Roman" w:eastAsia="宋体" w:cs="Times New Roman"/>
                <w:color w:val="auto"/>
                <w:sz w:val="21"/>
                <w:szCs w:val="21"/>
                <w:lang w:val="en-US" w:eastAsia="zh-CN"/>
              </w:rPr>
            </w:pPr>
            <w:bookmarkStart w:id="549" w:name="_Toc29635"/>
            <w:bookmarkStart w:id="550" w:name="_Toc20595"/>
            <w:bookmarkStart w:id="551" w:name="_Toc19189"/>
            <w:bookmarkStart w:id="552" w:name="_Toc6422"/>
            <w:bookmarkStart w:id="553" w:name="_Toc5027"/>
            <w:bookmarkStart w:id="554" w:name="_Toc31940"/>
            <w:r>
              <w:rPr>
                <w:rFonts w:hint="default" w:ascii="Times New Roman" w:hAnsi="Times New Roman" w:eastAsia="宋体" w:cs="Times New Roman"/>
                <w:color w:val="auto"/>
                <w:sz w:val="21"/>
                <w:szCs w:val="21"/>
                <w:lang w:val="en-US" w:eastAsia="zh-CN"/>
              </w:rPr>
              <w:t>不敏感</w:t>
            </w:r>
            <w:bookmarkEnd w:id="549"/>
            <w:bookmarkEnd w:id="550"/>
            <w:bookmarkEnd w:id="551"/>
            <w:bookmarkEnd w:id="552"/>
            <w:bookmarkEnd w:id="553"/>
            <w:bookmarkEnd w:id="554"/>
          </w:p>
        </w:tc>
        <w:tc>
          <w:tcPr>
            <w:tcW w:w="2130" w:type="dxa"/>
            <w:vAlign w:val="center"/>
          </w:tcPr>
          <w:p w14:paraId="7B1695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55" w:name="_Toc4170"/>
            <w:bookmarkStart w:id="556" w:name="_Toc27812"/>
            <w:bookmarkStart w:id="557" w:name="_Toc20816"/>
            <w:bookmarkStart w:id="558" w:name="_Toc21155"/>
            <w:bookmarkStart w:id="559" w:name="_Toc3304"/>
            <w:bookmarkStart w:id="560" w:name="_Toc16880"/>
            <w:r>
              <w:rPr>
                <w:rFonts w:hint="default" w:ascii="Times New Roman" w:hAnsi="Times New Roman" w:eastAsia="宋体" w:cs="Times New Roman"/>
                <w:color w:val="auto"/>
                <w:sz w:val="21"/>
                <w:szCs w:val="21"/>
                <w:lang w:val="en-US" w:eastAsia="zh-CN"/>
              </w:rPr>
              <w:t>二</w:t>
            </w:r>
            <w:bookmarkEnd w:id="555"/>
            <w:bookmarkEnd w:id="556"/>
            <w:bookmarkEnd w:id="557"/>
            <w:bookmarkEnd w:id="558"/>
            <w:bookmarkEnd w:id="559"/>
            <w:bookmarkEnd w:id="560"/>
          </w:p>
        </w:tc>
        <w:tc>
          <w:tcPr>
            <w:tcW w:w="2131" w:type="dxa"/>
            <w:vAlign w:val="center"/>
          </w:tcPr>
          <w:p w14:paraId="7FEAF9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61" w:name="_Toc446"/>
            <w:bookmarkStart w:id="562" w:name="_Toc6106"/>
            <w:bookmarkStart w:id="563" w:name="_Toc28798"/>
            <w:bookmarkStart w:id="564" w:name="_Toc7318"/>
            <w:bookmarkStart w:id="565" w:name="_Toc21080"/>
            <w:bookmarkStart w:id="566" w:name="_Toc23919"/>
            <w:r>
              <w:rPr>
                <w:rFonts w:hint="default" w:ascii="Times New Roman" w:hAnsi="Times New Roman" w:eastAsia="宋体" w:cs="Times New Roman"/>
                <w:color w:val="auto"/>
                <w:sz w:val="21"/>
                <w:szCs w:val="21"/>
                <w:lang w:val="en-US" w:eastAsia="zh-CN"/>
              </w:rPr>
              <w:t>三</w:t>
            </w:r>
            <w:bookmarkEnd w:id="561"/>
            <w:bookmarkEnd w:id="562"/>
            <w:bookmarkEnd w:id="563"/>
            <w:bookmarkEnd w:id="564"/>
            <w:bookmarkEnd w:id="565"/>
            <w:bookmarkEnd w:id="566"/>
          </w:p>
        </w:tc>
        <w:tc>
          <w:tcPr>
            <w:tcW w:w="2131" w:type="dxa"/>
            <w:vAlign w:val="center"/>
          </w:tcPr>
          <w:p w14:paraId="09B9F9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1"/>
              <w:rPr>
                <w:rFonts w:hint="default" w:ascii="Times New Roman" w:hAnsi="Times New Roman" w:eastAsia="宋体" w:cs="Times New Roman"/>
                <w:color w:val="auto"/>
                <w:sz w:val="21"/>
                <w:szCs w:val="21"/>
                <w:lang w:val="en-US" w:eastAsia="zh-CN"/>
              </w:rPr>
            </w:pPr>
            <w:bookmarkStart w:id="567" w:name="_Toc25171"/>
            <w:bookmarkStart w:id="568" w:name="_Toc14871"/>
            <w:bookmarkStart w:id="569" w:name="_Toc23954"/>
            <w:bookmarkStart w:id="570" w:name="_Toc28466"/>
            <w:bookmarkStart w:id="571" w:name="_Toc19303"/>
            <w:bookmarkStart w:id="572" w:name="_Toc25863"/>
            <w:r>
              <w:rPr>
                <w:rFonts w:hint="default" w:ascii="Times New Roman" w:hAnsi="Times New Roman" w:eastAsia="宋体" w:cs="Times New Roman"/>
                <w:color w:val="auto"/>
                <w:sz w:val="21"/>
                <w:szCs w:val="21"/>
                <w:lang w:val="en-US" w:eastAsia="zh-CN"/>
              </w:rPr>
              <w:t>三</w:t>
            </w:r>
            <w:bookmarkEnd w:id="567"/>
            <w:bookmarkEnd w:id="568"/>
            <w:bookmarkEnd w:id="569"/>
            <w:bookmarkEnd w:id="570"/>
            <w:bookmarkEnd w:id="571"/>
            <w:bookmarkEnd w:id="572"/>
          </w:p>
        </w:tc>
      </w:tr>
    </w:tbl>
    <w:p w14:paraId="19DEB910">
      <w:pPr>
        <w:pStyle w:val="7"/>
        <w:bidi w:val="0"/>
        <w:rPr>
          <w:rFonts w:hint="default" w:ascii="Times New Roman" w:hAnsi="Times New Roman" w:eastAsia="宋体" w:cs="Times New Roman"/>
          <w:color w:val="auto"/>
          <w:lang w:val="en-US" w:eastAsia="zh-CN"/>
        </w:rPr>
      </w:pPr>
      <w:bookmarkStart w:id="573" w:name="_Toc16551"/>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.4 声环境评价工作等级</w:t>
      </w:r>
      <w:bookmarkEnd w:id="573"/>
    </w:p>
    <w:p w14:paraId="638A9E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574" w:name="_Toc6218"/>
      <w:bookmarkStart w:id="575" w:name="_Toc2183"/>
      <w:bookmarkStart w:id="576" w:name="_Toc14267"/>
      <w:bookmarkStart w:id="577" w:name="_Toc2125"/>
      <w:bookmarkStart w:id="578" w:name="_Toc13686"/>
      <w:bookmarkStart w:id="579" w:name="_Toc25704"/>
      <w:r>
        <w:rPr>
          <w:rFonts w:hint="default" w:ascii="Times New Roman" w:hAnsi="Times New Roman" w:eastAsia="宋体" w:cs="Times New Roman"/>
          <w:color w:val="auto"/>
          <w:sz w:val="24"/>
          <w:szCs w:val="24"/>
          <w:lang w:val="en-US" w:eastAsia="zh-CN"/>
        </w:rPr>
        <w:t>本项目评价区域为《声环境质量标准》（GB3096-2008）中的2类标准的区域，项目自身无高噪声源，受影响人口较少，项目建成敏感点声环境变化不大，在按照《环境影响评价技术导则声环境(HJ2.4-2021)》中有关规定，本项目声学环境</w:t>
      </w:r>
      <w:r>
        <w:rPr>
          <w:rFonts w:hint="default" w:ascii="Times New Roman" w:hAnsi="Times New Roman" w:eastAsia="宋体" w:cs="Times New Roman"/>
          <w:b/>
          <w:bCs/>
          <w:color w:val="auto"/>
          <w:sz w:val="24"/>
          <w:szCs w:val="24"/>
          <w:lang w:val="en-US" w:eastAsia="zh-CN"/>
        </w:rPr>
        <w:t>评价工作等级为二级</w:t>
      </w:r>
      <w:r>
        <w:rPr>
          <w:rFonts w:hint="default" w:ascii="Times New Roman" w:hAnsi="Times New Roman" w:eastAsia="宋体" w:cs="Times New Roman"/>
          <w:color w:val="auto"/>
          <w:sz w:val="24"/>
          <w:szCs w:val="24"/>
          <w:lang w:val="en-US" w:eastAsia="zh-CN"/>
        </w:rPr>
        <w:t>。</w:t>
      </w:r>
      <w:bookmarkEnd w:id="574"/>
      <w:bookmarkEnd w:id="575"/>
      <w:bookmarkEnd w:id="576"/>
      <w:bookmarkEnd w:id="577"/>
      <w:bookmarkEnd w:id="578"/>
      <w:bookmarkEnd w:id="579"/>
    </w:p>
    <w:p w14:paraId="31BD8FD8">
      <w:pPr>
        <w:pStyle w:val="7"/>
        <w:bidi w:val="0"/>
        <w:rPr>
          <w:rFonts w:hint="default" w:ascii="Times New Roman" w:hAnsi="Times New Roman" w:eastAsia="宋体" w:cs="Times New Roman"/>
          <w:color w:val="auto"/>
          <w:lang w:val="en-US" w:eastAsia="zh-CN"/>
        </w:rPr>
      </w:pPr>
      <w:bookmarkStart w:id="580" w:name="_Toc28250"/>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.5 生态评价工作等级</w:t>
      </w:r>
      <w:bookmarkEnd w:id="580"/>
    </w:p>
    <w:p w14:paraId="6FE592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581" w:name="_Toc14967"/>
      <w:bookmarkStart w:id="582" w:name="_Toc23515"/>
      <w:bookmarkStart w:id="583" w:name="_Toc2818"/>
      <w:bookmarkStart w:id="584" w:name="_Toc13026"/>
      <w:bookmarkStart w:id="585" w:name="_Toc7310"/>
      <w:bookmarkStart w:id="586" w:name="_Toc28201"/>
      <w:r>
        <w:rPr>
          <w:rFonts w:hint="default" w:ascii="Times New Roman" w:hAnsi="Times New Roman" w:eastAsia="宋体" w:cs="Times New Roman"/>
          <w:color w:val="auto"/>
          <w:sz w:val="24"/>
          <w:szCs w:val="24"/>
          <w:lang w:val="en-US" w:eastAsia="zh-CN"/>
        </w:rPr>
        <w:t>按照《环境影响评价技术导则 生态影响》（HJ19-2022）：</w:t>
      </w:r>
      <w:bookmarkEnd w:id="581"/>
      <w:bookmarkEnd w:id="582"/>
      <w:bookmarkEnd w:id="583"/>
      <w:bookmarkEnd w:id="584"/>
      <w:bookmarkEnd w:id="585"/>
      <w:bookmarkEnd w:id="586"/>
    </w:p>
    <w:p w14:paraId="6C5E74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587" w:name="_Toc15290"/>
      <w:bookmarkStart w:id="588" w:name="_Toc27331"/>
      <w:bookmarkStart w:id="589" w:name="_Toc12004"/>
      <w:bookmarkStart w:id="590" w:name="_Toc12042"/>
      <w:bookmarkStart w:id="591" w:name="_Toc9456"/>
      <w:bookmarkStart w:id="592" w:name="_Toc10542"/>
      <w:r>
        <w:rPr>
          <w:rFonts w:hint="default" w:ascii="Times New Roman" w:hAnsi="Times New Roman" w:eastAsia="宋体" w:cs="Times New Roman"/>
          <w:color w:val="auto"/>
          <w:sz w:val="24"/>
          <w:szCs w:val="24"/>
          <w:lang w:val="en-US" w:eastAsia="zh-CN"/>
        </w:rPr>
        <w:t>a）涉及国家公园、自然保护区世界遗产重要生境时，评价等级为一级；</w:t>
      </w:r>
      <w:bookmarkEnd w:id="587"/>
      <w:bookmarkEnd w:id="588"/>
      <w:bookmarkEnd w:id="589"/>
      <w:bookmarkEnd w:id="590"/>
      <w:bookmarkEnd w:id="591"/>
      <w:bookmarkEnd w:id="592"/>
    </w:p>
    <w:p w14:paraId="4009C9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593" w:name="_Toc19192"/>
      <w:bookmarkStart w:id="594" w:name="_Toc979"/>
      <w:bookmarkStart w:id="595" w:name="_Toc3251"/>
      <w:bookmarkStart w:id="596" w:name="_Toc27318"/>
      <w:bookmarkStart w:id="597" w:name="_Toc17307"/>
      <w:bookmarkStart w:id="598" w:name="_Toc9279"/>
      <w:r>
        <w:rPr>
          <w:rFonts w:hint="default" w:ascii="Times New Roman" w:hAnsi="Times New Roman" w:eastAsia="宋体" w:cs="Times New Roman"/>
          <w:color w:val="auto"/>
          <w:sz w:val="24"/>
          <w:szCs w:val="24"/>
          <w:lang w:val="en-US" w:eastAsia="zh-CN"/>
        </w:rPr>
        <w:t>b）涉及自然公园时，评价等级为二级；</w:t>
      </w:r>
      <w:bookmarkEnd w:id="593"/>
      <w:bookmarkEnd w:id="594"/>
      <w:bookmarkEnd w:id="595"/>
      <w:bookmarkEnd w:id="596"/>
      <w:bookmarkEnd w:id="597"/>
      <w:bookmarkEnd w:id="598"/>
    </w:p>
    <w:p w14:paraId="27BC52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599" w:name="_Toc7938"/>
      <w:bookmarkStart w:id="600" w:name="_Toc336"/>
      <w:bookmarkStart w:id="601" w:name="_Toc12799"/>
      <w:bookmarkStart w:id="602" w:name="_Toc11893"/>
      <w:bookmarkStart w:id="603" w:name="_Toc6002"/>
      <w:bookmarkStart w:id="604" w:name="_Toc22688"/>
      <w:r>
        <w:rPr>
          <w:rFonts w:hint="default" w:ascii="Times New Roman" w:hAnsi="Times New Roman" w:eastAsia="宋体" w:cs="Times New Roman"/>
          <w:color w:val="auto"/>
          <w:sz w:val="24"/>
          <w:szCs w:val="24"/>
          <w:lang w:val="en-US" w:eastAsia="zh-CN"/>
        </w:rPr>
        <w:t>c）涉及生态保护红线时，评价等级不低于二级；</w:t>
      </w:r>
      <w:bookmarkEnd w:id="599"/>
      <w:bookmarkEnd w:id="600"/>
      <w:bookmarkEnd w:id="601"/>
      <w:bookmarkEnd w:id="602"/>
      <w:bookmarkEnd w:id="603"/>
      <w:bookmarkEnd w:id="604"/>
    </w:p>
    <w:p w14:paraId="467D34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05" w:name="_Toc30527"/>
      <w:bookmarkStart w:id="606" w:name="_Toc21488"/>
      <w:bookmarkStart w:id="607" w:name="_Toc19706"/>
      <w:bookmarkStart w:id="608" w:name="_Toc25798"/>
      <w:bookmarkStart w:id="609" w:name="_Toc14238"/>
      <w:bookmarkStart w:id="610" w:name="_Toc19039"/>
      <w:r>
        <w:rPr>
          <w:rFonts w:hint="default" w:ascii="Times New Roman" w:hAnsi="Times New Roman" w:eastAsia="宋体" w:cs="Times New Roman"/>
          <w:color w:val="auto"/>
          <w:sz w:val="24"/>
          <w:szCs w:val="24"/>
          <w:lang w:val="en-US" w:eastAsia="zh-CN"/>
        </w:rPr>
        <w:t>d）根据HJ2.3判断属于水文要素影响型且地表评价等级不低二级的建设项目，生态影响评价等级不低于二级；</w:t>
      </w:r>
      <w:bookmarkEnd w:id="605"/>
      <w:bookmarkEnd w:id="606"/>
      <w:bookmarkEnd w:id="607"/>
      <w:bookmarkEnd w:id="608"/>
      <w:bookmarkEnd w:id="609"/>
      <w:bookmarkEnd w:id="610"/>
    </w:p>
    <w:p w14:paraId="2C42E0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11" w:name="_Toc12761"/>
      <w:bookmarkStart w:id="612" w:name="_Toc17279"/>
      <w:bookmarkStart w:id="613" w:name="_Toc19010"/>
      <w:bookmarkStart w:id="614" w:name="_Toc20589"/>
      <w:bookmarkStart w:id="615" w:name="_Toc14598"/>
      <w:bookmarkStart w:id="616" w:name="_Toc9254"/>
      <w:r>
        <w:rPr>
          <w:rFonts w:hint="default" w:ascii="Times New Roman" w:hAnsi="Times New Roman" w:eastAsia="宋体" w:cs="Times New Roman"/>
          <w:color w:val="auto"/>
          <w:sz w:val="24"/>
          <w:szCs w:val="24"/>
          <w:lang w:val="en-US" w:eastAsia="zh-CN"/>
        </w:rPr>
        <w:t>e）根据HJ610、HJ964判断地下水位或土壤影响范围内分布有天然林、公益林、湿地等生态保护目标的建设项目，生态影响评价等级不低于二级；</w:t>
      </w:r>
      <w:bookmarkEnd w:id="611"/>
      <w:bookmarkEnd w:id="612"/>
      <w:bookmarkEnd w:id="613"/>
      <w:bookmarkEnd w:id="614"/>
      <w:bookmarkEnd w:id="615"/>
      <w:bookmarkEnd w:id="616"/>
    </w:p>
    <w:p w14:paraId="4F2180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17" w:name="_Toc7009"/>
      <w:bookmarkStart w:id="618" w:name="_Toc9654"/>
      <w:bookmarkStart w:id="619" w:name="_Toc5114"/>
      <w:bookmarkStart w:id="620" w:name="_Toc12929"/>
      <w:bookmarkStart w:id="621" w:name="_Toc7414"/>
      <w:bookmarkStart w:id="622" w:name="_Toc24761"/>
      <w:r>
        <w:rPr>
          <w:rFonts w:hint="default" w:ascii="Times New Roman" w:hAnsi="Times New Roman" w:eastAsia="宋体" w:cs="Times New Roman"/>
          <w:color w:val="auto"/>
          <w:sz w:val="24"/>
          <w:szCs w:val="24"/>
          <w:lang w:val="en-US" w:eastAsia="zh-CN"/>
        </w:rPr>
        <w:t>f） 当工程占地规模大于20km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时（包括永久和临占用陆域和水域），评价等级不低于二级；改扩建项目的占地范围以新增（包括陆域和水域）确定；</w:t>
      </w:r>
      <w:bookmarkEnd w:id="617"/>
      <w:bookmarkEnd w:id="618"/>
      <w:bookmarkEnd w:id="619"/>
      <w:bookmarkEnd w:id="620"/>
      <w:bookmarkEnd w:id="621"/>
      <w:bookmarkEnd w:id="622"/>
    </w:p>
    <w:p w14:paraId="529233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23" w:name="_Toc8102"/>
      <w:bookmarkStart w:id="624" w:name="_Toc13311"/>
      <w:bookmarkStart w:id="625" w:name="_Toc5848"/>
      <w:bookmarkStart w:id="626" w:name="_Toc24835"/>
      <w:bookmarkStart w:id="627" w:name="_Toc911"/>
      <w:bookmarkStart w:id="628" w:name="_Toc16522"/>
      <w:r>
        <w:rPr>
          <w:rFonts w:hint="default" w:ascii="Times New Roman" w:hAnsi="Times New Roman" w:eastAsia="宋体" w:cs="Times New Roman"/>
          <w:color w:val="auto"/>
          <w:sz w:val="24"/>
          <w:szCs w:val="24"/>
          <w:lang w:val="en-US" w:eastAsia="zh-CN"/>
        </w:rPr>
        <w:t>g）除本条a）、b）、c）、d）、e）、f）以外的情况，评价等级为三级；</w:t>
      </w:r>
      <w:bookmarkEnd w:id="623"/>
      <w:bookmarkEnd w:id="624"/>
      <w:bookmarkEnd w:id="625"/>
      <w:bookmarkEnd w:id="626"/>
      <w:bookmarkEnd w:id="627"/>
      <w:bookmarkEnd w:id="628"/>
    </w:p>
    <w:p w14:paraId="0E949B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29" w:name="_Toc28862"/>
      <w:bookmarkStart w:id="630" w:name="_Toc29799"/>
      <w:bookmarkStart w:id="631" w:name="_Toc14943"/>
      <w:bookmarkStart w:id="632" w:name="_Toc31168"/>
      <w:bookmarkStart w:id="633" w:name="_Toc26204"/>
      <w:bookmarkStart w:id="634" w:name="_Toc3974"/>
      <w:r>
        <w:rPr>
          <w:rFonts w:hint="default" w:ascii="Times New Roman" w:hAnsi="Times New Roman" w:eastAsia="宋体" w:cs="Times New Roman"/>
          <w:color w:val="auto"/>
          <w:sz w:val="24"/>
          <w:szCs w:val="24"/>
          <w:lang w:val="en-US" w:eastAsia="zh-CN"/>
        </w:rPr>
        <w:t>h）当评价等级判定同时符合上述多种情况时，应采用其中的最高的评价等级。</w:t>
      </w:r>
      <w:bookmarkEnd w:id="629"/>
      <w:bookmarkEnd w:id="630"/>
      <w:bookmarkEnd w:id="631"/>
      <w:bookmarkEnd w:id="632"/>
      <w:bookmarkEnd w:id="633"/>
      <w:bookmarkEnd w:id="634"/>
    </w:p>
    <w:p w14:paraId="56D3A3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35" w:name="_Toc22646"/>
      <w:bookmarkStart w:id="636" w:name="_Toc2118"/>
      <w:bookmarkStart w:id="637" w:name="_Toc17623"/>
      <w:bookmarkStart w:id="638" w:name="_Toc23154"/>
      <w:bookmarkStart w:id="639" w:name="_Toc15318"/>
      <w:bookmarkStart w:id="640" w:name="_Toc7717"/>
      <w:r>
        <w:rPr>
          <w:rFonts w:hint="default" w:ascii="Times New Roman" w:hAnsi="Times New Roman" w:eastAsia="宋体" w:cs="Times New Roman"/>
          <w:color w:val="auto"/>
          <w:sz w:val="24"/>
          <w:szCs w:val="24"/>
          <w:lang w:val="en-US" w:eastAsia="zh-CN"/>
        </w:rPr>
        <w:t>项目位于大英县文旅产业园区，项目建设地及影响范围内不涉及国家公园、自然保护区世界遗产重要生境、自然公园、生态保护红线，不属于水文要素影响型，无天然林、公益林、湿地分布，项目占地70284.55m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（0.07km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），因此，</w:t>
      </w:r>
      <w:r>
        <w:rPr>
          <w:rFonts w:hint="default" w:ascii="Times New Roman" w:hAnsi="Times New Roman" w:eastAsia="宋体" w:cs="Times New Roman"/>
          <w:b/>
          <w:bCs/>
          <w:color w:val="auto"/>
          <w:sz w:val="24"/>
          <w:szCs w:val="24"/>
          <w:lang w:val="en-US" w:eastAsia="zh-CN"/>
        </w:rPr>
        <w:t>本项目生态环境评价工作等级为三级。</w:t>
      </w:r>
      <w:bookmarkEnd w:id="635"/>
      <w:bookmarkEnd w:id="636"/>
      <w:bookmarkEnd w:id="637"/>
      <w:bookmarkEnd w:id="638"/>
      <w:bookmarkEnd w:id="639"/>
      <w:bookmarkEnd w:id="640"/>
    </w:p>
    <w:p w14:paraId="3051B24D">
      <w:pPr>
        <w:pStyle w:val="7"/>
        <w:bidi w:val="0"/>
        <w:rPr>
          <w:rFonts w:hint="default" w:ascii="Times New Roman" w:hAnsi="Times New Roman" w:eastAsia="宋体" w:cs="Times New Roman"/>
          <w:color w:val="auto"/>
          <w:lang w:val="en-US" w:eastAsia="zh-CN"/>
        </w:rPr>
      </w:pPr>
      <w:bookmarkStart w:id="641" w:name="_Toc20477"/>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.6环境风险评价等级划分</w:t>
      </w:r>
      <w:bookmarkEnd w:id="641"/>
    </w:p>
    <w:p w14:paraId="68557A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642" w:name="_Toc5939"/>
      <w:bookmarkStart w:id="643" w:name="_Toc23756"/>
      <w:bookmarkStart w:id="644" w:name="_Toc9421"/>
      <w:bookmarkStart w:id="645" w:name="_Toc18322"/>
      <w:bookmarkStart w:id="646" w:name="_Toc2632"/>
      <w:bookmarkStart w:id="647" w:name="_Toc6249"/>
      <w:r>
        <w:rPr>
          <w:rFonts w:hint="default" w:ascii="Times New Roman" w:hAnsi="Times New Roman" w:eastAsia="宋体" w:cs="Times New Roman"/>
          <w:color w:val="auto"/>
          <w:sz w:val="24"/>
          <w:szCs w:val="24"/>
          <w:lang w:val="en-US" w:eastAsia="zh-CN"/>
        </w:rPr>
        <w:t>根据《建设项目环境风险评价技术导则》（HJ169-2018）附录B和和《企业突发环境事件风险分级方法》（HJ941-2018）附录A，本项目涉及的危险物质及其储存情况见下表：</w:t>
      </w:r>
      <w:bookmarkEnd w:id="642"/>
      <w:bookmarkEnd w:id="643"/>
      <w:bookmarkEnd w:id="644"/>
    </w:p>
    <w:p w14:paraId="07A219F2">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6</w:t>
      </w:r>
      <w:r>
        <w:rPr>
          <w:rFonts w:hint="default" w:ascii="Times New Roman" w:hAnsi="Times New Roman" w:eastAsia="宋体" w:cs="Times New Roman"/>
          <w:b/>
          <w:bCs/>
          <w:color w:val="auto"/>
          <w:kern w:val="0"/>
          <w:sz w:val="21"/>
          <w:szCs w:val="21"/>
          <w:lang w:val="en-US" w:eastAsia="zh-CN" w:bidi="ar"/>
        </w:rPr>
        <w:t>-5  危险物质数量与临界量比值（Q）判定结果表</w:t>
      </w:r>
    </w:p>
    <w:tbl>
      <w:tblPr>
        <w:tblStyle w:val="21"/>
        <w:tblW w:w="856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00"/>
        <w:gridCol w:w="1284"/>
        <w:gridCol w:w="2106"/>
        <w:gridCol w:w="1134"/>
        <w:gridCol w:w="1134"/>
        <w:gridCol w:w="1134"/>
      </w:tblGrid>
      <w:tr w14:paraId="3C502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FB45FA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48" w:name="_Toc1416"/>
            <w:bookmarkStart w:id="649" w:name="_Toc7931"/>
            <w:bookmarkStart w:id="650" w:name="_Toc28805"/>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序号</w:t>
            </w:r>
            <w:bookmarkEnd w:id="648"/>
            <w:bookmarkEnd w:id="649"/>
            <w:bookmarkEnd w:id="650"/>
          </w:p>
        </w:tc>
        <w:tc>
          <w:tcPr>
            <w:tcW w:w="1100" w:type="dxa"/>
            <w:vAlign w:val="center"/>
          </w:tcPr>
          <w:p w14:paraId="1D43E95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51" w:name="_Toc15180"/>
            <w:bookmarkStart w:id="652" w:name="_Toc26661"/>
            <w:bookmarkStart w:id="653" w:name="_Toc1515"/>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物质名称</w:t>
            </w:r>
            <w:bookmarkEnd w:id="651"/>
            <w:bookmarkEnd w:id="652"/>
            <w:bookmarkEnd w:id="653"/>
          </w:p>
        </w:tc>
        <w:tc>
          <w:tcPr>
            <w:tcW w:w="1284" w:type="dxa"/>
            <w:vAlign w:val="center"/>
          </w:tcPr>
          <w:p w14:paraId="4B6D102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54" w:name="_Toc29133"/>
            <w:bookmarkStart w:id="655" w:name="_Toc15707"/>
            <w:bookmarkStart w:id="656" w:name="_Toc14899"/>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危险类别</w:t>
            </w:r>
            <w:bookmarkEnd w:id="654"/>
            <w:bookmarkEnd w:id="655"/>
            <w:bookmarkEnd w:id="656"/>
          </w:p>
        </w:tc>
        <w:tc>
          <w:tcPr>
            <w:tcW w:w="2106" w:type="dxa"/>
            <w:vAlign w:val="center"/>
          </w:tcPr>
          <w:p w14:paraId="0D1DAF8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57" w:name="_Toc25637"/>
            <w:bookmarkStart w:id="658" w:name="_Toc22107"/>
            <w:bookmarkStart w:id="659" w:name="_Toc30278"/>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贮存形式</w:t>
            </w:r>
            <w:bookmarkEnd w:id="657"/>
            <w:bookmarkEnd w:id="658"/>
            <w:bookmarkEnd w:id="659"/>
          </w:p>
        </w:tc>
        <w:tc>
          <w:tcPr>
            <w:tcW w:w="1134" w:type="dxa"/>
            <w:vAlign w:val="center"/>
          </w:tcPr>
          <w:p w14:paraId="79D8431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60" w:name="_Toc12642"/>
            <w:bookmarkStart w:id="661" w:name="_Toc15038"/>
            <w:bookmarkStart w:id="662" w:name="_Toc1138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最大储存量（t）</w:t>
            </w:r>
            <w:bookmarkEnd w:id="660"/>
            <w:bookmarkEnd w:id="661"/>
            <w:bookmarkEnd w:id="662"/>
          </w:p>
        </w:tc>
        <w:tc>
          <w:tcPr>
            <w:tcW w:w="1134" w:type="dxa"/>
            <w:vAlign w:val="center"/>
          </w:tcPr>
          <w:p w14:paraId="1EC1545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63" w:name="_Toc6568"/>
            <w:bookmarkStart w:id="664" w:name="_Toc14577"/>
            <w:bookmarkStart w:id="665" w:name="_Toc1988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临界量（t）</w:t>
            </w:r>
            <w:bookmarkEnd w:id="663"/>
            <w:bookmarkEnd w:id="664"/>
            <w:bookmarkEnd w:id="665"/>
          </w:p>
        </w:tc>
        <w:tc>
          <w:tcPr>
            <w:tcW w:w="1134" w:type="dxa"/>
            <w:vAlign w:val="center"/>
          </w:tcPr>
          <w:p w14:paraId="6364605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666" w:name="_Toc11024"/>
            <w:bookmarkStart w:id="667" w:name="_Toc5932"/>
            <w:bookmarkStart w:id="668" w:name="_Toc31350"/>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Q值</w:t>
            </w:r>
            <w:bookmarkEnd w:id="666"/>
            <w:bookmarkEnd w:id="667"/>
            <w:bookmarkEnd w:id="668"/>
          </w:p>
        </w:tc>
      </w:tr>
      <w:tr w14:paraId="22B89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1F787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69" w:name="_Toc392"/>
            <w:bookmarkStart w:id="670" w:name="_Toc25787"/>
            <w:bookmarkStart w:id="671" w:name="_Toc2822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w:t>
            </w:r>
            <w:bookmarkEnd w:id="669"/>
            <w:bookmarkEnd w:id="670"/>
            <w:bookmarkEnd w:id="671"/>
          </w:p>
        </w:tc>
        <w:tc>
          <w:tcPr>
            <w:tcW w:w="1100" w:type="dxa"/>
            <w:vAlign w:val="center"/>
          </w:tcPr>
          <w:p w14:paraId="166B61C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72" w:name="_Toc12258"/>
            <w:bookmarkStart w:id="673" w:name="_Toc24544"/>
            <w:bookmarkStart w:id="674" w:name="_Toc23815"/>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二氧化氯</w:t>
            </w:r>
            <w:bookmarkEnd w:id="672"/>
            <w:bookmarkEnd w:id="673"/>
            <w:bookmarkEnd w:id="674"/>
          </w:p>
        </w:tc>
        <w:tc>
          <w:tcPr>
            <w:tcW w:w="1284" w:type="dxa"/>
            <w:vAlign w:val="center"/>
          </w:tcPr>
          <w:p w14:paraId="07CB414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75" w:name="_Toc11574"/>
            <w:bookmarkStart w:id="676" w:name="_Toc27911"/>
            <w:bookmarkStart w:id="677" w:name="_Toc1366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氧化性物质</w:t>
            </w:r>
            <w:bookmarkEnd w:id="675"/>
            <w:bookmarkEnd w:id="676"/>
            <w:bookmarkEnd w:id="677"/>
          </w:p>
        </w:tc>
        <w:tc>
          <w:tcPr>
            <w:tcW w:w="2106" w:type="dxa"/>
            <w:vAlign w:val="center"/>
          </w:tcPr>
          <w:p w14:paraId="2028CE2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78" w:name="_Toc22526"/>
            <w:bookmarkStart w:id="679" w:name="_Toc25294"/>
            <w:bookmarkStart w:id="680" w:name="_Toc1863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污水处理站，袋装</w:t>
            </w:r>
            <w:bookmarkEnd w:id="678"/>
            <w:bookmarkEnd w:id="679"/>
            <w:bookmarkEnd w:id="680"/>
          </w:p>
        </w:tc>
        <w:tc>
          <w:tcPr>
            <w:tcW w:w="1134" w:type="dxa"/>
            <w:vAlign w:val="center"/>
          </w:tcPr>
          <w:p w14:paraId="696F8E2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81" w:name="_Toc22843"/>
            <w:bookmarkStart w:id="682" w:name="_Toc7039"/>
            <w:bookmarkStart w:id="683" w:name="_Toc3248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0.2</w:t>
            </w:r>
            <w:bookmarkEnd w:id="681"/>
            <w:bookmarkEnd w:id="682"/>
            <w:bookmarkEnd w:id="683"/>
          </w:p>
        </w:tc>
        <w:tc>
          <w:tcPr>
            <w:tcW w:w="1134" w:type="dxa"/>
            <w:vAlign w:val="center"/>
          </w:tcPr>
          <w:p w14:paraId="1590F2C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84" w:name="_Toc26813"/>
            <w:bookmarkStart w:id="685" w:name="_Toc29865"/>
            <w:bookmarkStart w:id="686" w:name="_Toc3237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0.5</w:t>
            </w:r>
            <w:bookmarkEnd w:id="684"/>
            <w:bookmarkEnd w:id="685"/>
            <w:bookmarkEnd w:id="686"/>
          </w:p>
        </w:tc>
        <w:tc>
          <w:tcPr>
            <w:tcW w:w="1134" w:type="dxa"/>
            <w:vAlign w:val="center"/>
          </w:tcPr>
          <w:p w14:paraId="1F428EA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87" w:name="_Toc30206"/>
            <w:bookmarkStart w:id="688" w:name="_Toc15461"/>
            <w:bookmarkStart w:id="689" w:name="_Toc8746"/>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0.4</w:t>
            </w:r>
            <w:bookmarkEnd w:id="687"/>
            <w:bookmarkEnd w:id="688"/>
            <w:bookmarkEnd w:id="689"/>
          </w:p>
        </w:tc>
      </w:tr>
      <w:tr w14:paraId="12200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FBF29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90" w:name="_Toc13882"/>
            <w:bookmarkStart w:id="691" w:name="_Toc2386"/>
            <w:bookmarkStart w:id="692" w:name="_Toc1818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w:t>
            </w:r>
            <w:bookmarkEnd w:id="690"/>
            <w:bookmarkEnd w:id="691"/>
            <w:bookmarkEnd w:id="692"/>
          </w:p>
        </w:tc>
        <w:tc>
          <w:tcPr>
            <w:tcW w:w="1100" w:type="dxa"/>
            <w:vAlign w:val="center"/>
          </w:tcPr>
          <w:p w14:paraId="52B4F0E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93" w:name="_Toc4811"/>
            <w:bookmarkStart w:id="694" w:name="_Toc21620"/>
            <w:bookmarkStart w:id="695" w:name="_Toc3490"/>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柴油</w:t>
            </w:r>
            <w:bookmarkEnd w:id="693"/>
            <w:bookmarkEnd w:id="694"/>
            <w:bookmarkEnd w:id="695"/>
          </w:p>
        </w:tc>
        <w:tc>
          <w:tcPr>
            <w:tcW w:w="1284" w:type="dxa"/>
            <w:vAlign w:val="center"/>
          </w:tcPr>
          <w:p w14:paraId="5A32F9F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96" w:name="_Toc22800"/>
            <w:bookmarkStart w:id="697" w:name="_Toc20401"/>
            <w:bookmarkStart w:id="698" w:name="_Toc4445"/>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易燃液体</w:t>
            </w:r>
            <w:bookmarkEnd w:id="696"/>
            <w:bookmarkEnd w:id="697"/>
            <w:bookmarkEnd w:id="698"/>
          </w:p>
        </w:tc>
        <w:tc>
          <w:tcPr>
            <w:tcW w:w="2106" w:type="dxa"/>
            <w:vAlign w:val="center"/>
          </w:tcPr>
          <w:p w14:paraId="405E47A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699" w:name="_Toc25085"/>
            <w:bookmarkStart w:id="700" w:name="_Toc7299"/>
            <w:bookmarkStart w:id="701" w:name="_Toc2672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铁桶装、地下室柴油储存间</w:t>
            </w:r>
            <w:bookmarkEnd w:id="699"/>
            <w:bookmarkEnd w:id="700"/>
            <w:bookmarkEnd w:id="701"/>
          </w:p>
        </w:tc>
        <w:tc>
          <w:tcPr>
            <w:tcW w:w="1134" w:type="dxa"/>
            <w:vAlign w:val="center"/>
          </w:tcPr>
          <w:p w14:paraId="02569F2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702" w:name="_Toc20712"/>
            <w:bookmarkStart w:id="703" w:name="_Toc25414"/>
            <w:bookmarkStart w:id="704" w:name="_Toc4430"/>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3.17</w:t>
            </w:r>
            <w:bookmarkEnd w:id="702"/>
            <w:bookmarkEnd w:id="703"/>
            <w:bookmarkEnd w:id="704"/>
          </w:p>
        </w:tc>
        <w:tc>
          <w:tcPr>
            <w:tcW w:w="1134" w:type="dxa"/>
            <w:vAlign w:val="center"/>
          </w:tcPr>
          <w:p w14:paraId="665DE8E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705" w:name="_Toc10158"/>
            <w:bookmarkStart w:id="706" w:name="_Toc9104"/>
            <w:bookmarkStart w:id="707" w:name="_Toc19759"/>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2500</w:t>
            </w:r>
            <w:bookmarkEnd w:id="705"/>
            <w:bookmarkEnd w:id="706"/>
            <w:bookmarkEnd w:id="707"/>
          </w:p>
        </w:tc>
        <w:tc>
          <w:tcPr>
            <w:tcW w:w="1134" w:type="dxa"/>
            <w:vAlign w:val="center"/>
          </w:tcPr>
          <w:p w14:paraId="210311E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708" w:name="_Toc14060"/>
            <w:bookmarkStart w:id="709" w:name="_Toc27473"/>
            <w:bookmarkStart w:id="710" w:name="_Toc173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0.001268</w:t>
            </w:r>
            <w:bookmarkEnd w:id="708"/>
            <w:bookmarkEnd w:id="709"/>
            <w:bookmarkEnd w:id="710"/>
          </w:p>
        </w:tc>
      </w:tr>
      <w:tr w14:paraId="43328D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3" w:type="dxa"/>
            <w:gridSpan w:val="6"/>
            <w:vAlign w:val="center"/>
          </w:tcPr>
          <w:p w14:paraId="789A65A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711" w:name="_Toc29265"/>
            <w:bookmarkStart w:id="712" w:name="_Toc26592"/>
            <w:bookmarkStart w:id="713" w:name="_Toc1643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合计</w:t>
            </w:r>
            <w:bookmarkEnd w:id="711"/>
            <w:bookmarkEnd w:id="712"/>
            <w:bookmarkEnd w:id="713"/>
          </w:p>
        </w:tc>
        <w:tc>
          <w:tcPr>
            <w:tcW w:w="1134" w:type="dxa"/>
            <w:vAlign w:val="center"/>
          </w:tcPr>
          <w:p w14:paraId="7FFCEF0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714" w:name="_Toc28078"/>
            <w:bookmarkStart w:id="715" w:name="_Toc27222"/>
            <w:bookmarkStart w:id="716" w:name="_Toc178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0.401268</w:t>
            </w:r>
            <w:bookmarkEnd w:id="714"/>
            <w:bookmarkEnd w:id="715"/>
            <w:bookmarkEnd w:id="716"/>
          </w:p>
        </w:tc>
      </w:tr>
    </w:tbl>
    <w:p w14:paraId="2D3087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717" w:name="_Toc8832"/>
      <w:bookmarkStart w:id="718" w:name="_Toc6456"/>
      <w:bookmarkStart w:id="719" w:name="_Toc17662"/>
      <w:r>
        <w:rPr>
          <w:rFonts w:hint="default" w:ascii="Times New Roman" w:hAnsi="Times New Roman" w:eastAsia="宋体" w:cs="Times New Roman"/>
          <w:color w:val="auto"/>
          <w:sz w:val="24"/>
          <w:szCs w:val="24"/>
          <w:lang w:val="en-US" w:eastAsia="zh-CN"/>
        </w:rPr>
        <w:t>根据上表，本项目Q值为0.401268＜1，该项目环境风险潜势为I。</w:t>
      </w:r>
      <w:bookmarkEnd w:id="717"/>
      <w:bookmarkEnd w:id="718"/>
      <w:bookmarkEnd w:id="719"/>
    </w:p>
    <w:p w14:paraId="2F884C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720" w:name="_Toc13140"/>
      <w:bookmarkStart w:id="721" w:name="_Toc14460"/>
      <w:bookmarkStart w:id="722" w:name="_Toc18199"/>
      <w:r>
        <w:rPr>
          <w:rFonts w:hint="default" w:ascii="Times New Roman" w:hAnsi="Times New Roman" w:eastAsia="宋体" w:cs="Times New Roman"/>
          <w:color w:val="auto"/>
          <w:sz w:val="24"/>
          <w:szCs w:val="24"/>
          <w:lang w:val="en-US" w:eastAsia="zh-CN"/>
        </w:rPr>
        <w:t>根据《建设项目环境风险评价技术导则》（HJ169-2018）所规定风险评价等级划分。分级标准见表1.</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-6：</w:t>
      </w:r>
      <w:bookmarkEnd w:id="720"/>
      <w:bookmarkEnd w:id="721"/>
      <w:bookmarkEnd w:id="722"/>
    </w:p>
    <w:p w14:paraId="7A3CB64F">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-6  </w:t>
      </w:r>
      <w:r>
        <w:rPr>
          <w:rFonts w:hint="default" w:ascii="Times New Roman" w:hAnsi="Times New Roman" w:eastAsia="宋体" w:cs="Times New Roman"/>
          <w:b/>
          <w:bCs/>
          <w:color w:val="auto"/>
          <w:sz w:val="21"/>
          <w:szCs w:val="21"/>
          <w:highlight w:val="none"/>
        </w:rPr>
        <w:t>评价工作级别</w:t>
      </w:r>
    </w:p>
    <w:tbl>
      <w:tblPr>
        <w:tblStyle w:val="20"/>
        <w:tblW w:w="89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1"/>
        <w:gridCol w:w="1561"/>
        <w:gridCol w:w="1893"/>
        <w:gridCol w:w="2247"/>
        <w:gridCol w:w="1848"/>
      </w:tblGrid>
      <w:tr w14:paraId="61D1F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1361" w:type="dxa"/>
            <w:shd w:val="clear" w:color="auto" w:fill="D7D7D7" w:themeFill="background1" w:themeFillShade="D8"/>
            <w:vAlign w:val="center"/>
          </w:tcPr>
          <w:p w14:paraId="7EB38388">
            <w:pPr>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环境风险潜势</w:t>
            </w:r>
          </w:p>
        </w:tc>
        <w:tc>
          <w:tcPr>
            <w:tcW w:w="1561" w:type="dxa"/>
            <w:shd w:val="clear" w:color="auto" w:fill="D7D7D7" w:themeFill="background1" w:themeFillShade="D8"/>
            <w:vAlign w:val="center"/>
          </w:tcPr>
          <w:p w14:paraId="66F79245">
            <w:pPr>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Ⅳ、Ⅳ</w:t>
            </w:r>
            <w:r>
              <w:rPr>
                <w:rFonts w:hint="default" w:ascii="Times New Roman" w:hAnsi="Times New Roman" w:eastAsia="宋体" w:cs="Times New Roman"/>
                <w:b/>
                <w:bCs/>
                <w:color w:val="auto"/>
                <w:sz w:val="21"/>
                <w:szCs w:val="21"/>
                <w:highlight w:val="none"/>
                <w:vertAlign w:val="superscript"/>
              </w:rPr>
              <w:t>+</w:t>
            </w:r>
          </w:p>
        </w:tc>
        <w:tc>
          <w:tcPr>
            <w:tcW w:w="1893" w:type="dxa"/>
            <w:shd w:val="clear" w:color="auto" w:fill="D7D7D7" w:themeFill="background1" w:themeFillShade="D8"/>
            <w:vAlign w:val="center"/>
          </w:tcPr>
          <w:p w14:paraId="6D4E7B47">
            <w:pPr>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Ⅲ</w:t>
            </w:r>
          </w:p>
        </w:tc>
        <w:tc>
          <w:tcPr>
            <w:tcW w:w="2247" w:type="dxa"/>
            <w:shd w:val="clear" w:color="auto" w:fill="D7D7D7" w:themeFill="background1" w:themeFillShade="D8"/>
            <w:vAlign w:val="center"/>
          </w:tcPr>
          <w:p w14:paraId="25ACBD95">
            <w:pPr>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Ⅱ</w:t>
            </w:r>
          </w:p>
        </w:tc>
        <w:tc>
          <w:tcPr>
            <w:tcW w:w="1848" w:type="dxa"/>
            <w:shd w:val="clear" w:color="auto" w:fill="D7D7D7" w:themeFill="background1" w:themeFillShade="D8"/>
            <w:vAlign w:val="center"/>
          </w:tcPr>
          <w:p w14:paraId="17105080">
            <w:pPr>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Ⅰ</w:t>
            </w:r>
          </w:p>
        </w:tc>
      </w:tr>
      <w:tr w14:paraId="7BE3E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361" w:type="dxa"/>
            <w:vAlign w:val="center"/>
          </w:tcPr>
          <w:p w14:paraId="48BAE17E">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561" w:type="dxa"/>
            <w:vAlign w:val="center"/>
          </w:tcPr>
          <w:p w14:paraId="0A899B9F">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893" w:type="dxa"/>
            <w:vAlign w:val="center"/>
          </w:tcPr>
          <w:p w14:paraId="26B8D9DB">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2247" w:type="dxa"/>
            <w:vAlign w:val="center"/>
          </w:tcPr>
          <w:p w14:paraId="797C15A7">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848" w:type="dxa"/>
            <w:vAlign w:val="center"/>
          </w:tcPr>
          <w:p w14:paraId="68711EF5">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14:paraId="5D229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10" w:type="dxa"/>
            <w:gridSpan w:val="5"/>
            <w:vAlign w:val="center"/>
          </w:tcPr>
          <w:p w14:paraId="41BB9F46">
            <w:pPr>
              <w:snapToGrid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a是相对于详细评价工作内容而言，在描述危险物质、环境影响途径、环境危害后果、风险防范措施等方面给出定心的说明。见附录A。</w:t>
            </w:r>
          </w:p>
        </w:tc>
      </w:tr>
    </w:tbl>
    <w:p w14:paraId="044C925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color w:val="auto"/>
        </w:rPr>
      </w:pPr>
      <w:bookmarkStart w:id="723" w:name="_Toc1685"/>
      <w:bookmarkStart w:id="724" w:name="_Toc16432"/>
      <w:bookmarkStart w:id="725" w:name="_Toc7130"/>
      <w:r>
        <w:rPr>
          <w:rFonts w:hint="default" w:ascii="Times New Roman" w:hAnsi="Times New Roman" w:eastAsia="宋体" w:cs="Times New Roman"/>
          <w:b/>
          <w:bCs/>
          <w:color w:val="auto"/>
          <w:sz w:val="24"/>
          <w:szCs w:val="24"/>
          <w:lang w:val="en-US" w:eastAsia="zh-CN"/>
        </w:rPr>
        <w:t>本项目环境风险潜势为Ⅰ，评价工作等级为简单分析。</w:t>
      </w:r>
      <w:bookmarkEnd w:id="645"/>
      <w:bookmarkEnd w:id="646"/>
      <w:bookmarkEnd w:id="647"/>
      <w:bookmarkEnd w:id="723"/>
      <w:bookmarkEnd w:id="724"/>
      <w:bookmarkEnd w:id="725"/>
    </w:p>
    <w:p w14:paraId="442FD799">
      <w:pPr>
        <w:pStyle w:val="7"/>
        <w:bidi w:val="0"/>
        <w:rPr>
          <w:rFonts w:hint="default" w:ascii="Times New Roman" w:hAnsi="Times New Roman" w:eastAsia="宋体" w:cs="Times New Roman"/>
          <w:color w:val="auto"/>
          <w:lang w:val="en-US" w:eastAsia="zh-CN"/>
        </w:rPr>
      </w:pPr>
      <w:bookmarkStart w:id="726" w:name="_Toc3058"/>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.7土壤环境评价等级划分</w:t>
      </w:r>
      <w:bookmarkEnd w:id="726"/>
    </w:p>
    <w:p w14:paraId="04A5D1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lang w:val="en-US" w:eastAsia="zh-CN"/>
        </w:rPr>
      </w:pPr>
      <w:bookmarkStart w:id="727" w:name="_Toc25588"/>
      <w:bookmarkStart w:id="728" w:name="_Toc29623"/>
      <w:bookmarkStart w:id="729" w:name="_Toc6728"/>
      <w:bookmarkStart w:id="730" w:name="_Toc5571"/>
      <w:bookmarkStart w:id="731" w:name="_Toc23732"/>
      <w:bookmarkStart w:id="732" w:name="_Toc5980"/>
      <w:r>
        <w:rPr>
          <w:rFonts w:hint="default" w:ascii="Times New Roman" w:hAnsi="Times New Roman" w:eastAsia="宋体" w:cs="Times New Roman"/>
          <w:color w:val="auto"/>
          <w:sz w:val="24"/>
          <w:szCs w:val="24"/>
          <w:lang w:val="en-US" w:eastAsia="zh-CN"/>
        </w:rPr>
        <w:t>（1）评价等级</w:t>
      </w:r>
      <w:bookmarkEnd w:id="727"/>
      <w:bookmarkEnd w:id="728"/>
      <w:bookmarkEnd w:id="729"/>
      <w:bookmarkEnd w:id="730"/>
      <w:bookmarkEnd w:id="731"/>
      <w:bookmarkEnd w:id="732"/>
    </w:p>
    <w:p w14:paraId="1C0514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733" w:name="_Toc26633"/>
      <w:bookmarkStart w:id="734" w:name="_Toc10499"/>
      <w:bookmarkStart w:id="735" w:name="_Toc27195"/>
      <w:bookmarkStart w:id="736" w:name="_Toc25496"/>
      <w:bookmarkStart w:id="737" w:name="_Toc30370"/>
      <w:bookmarkStart w:id="738" w:name="_Toc12277"/>
      <w:r>
        <w:rPr>
          <w:rFonts w:hint="default" w:ascii="Times New Roman" w:hAnsi="Times New Roman" w:eastAsia="宋体" w:cs="Times New Roman"/>
          <w:color w:val="auto"/>
          <w:sz w:val="24"/>
          <w:szCs w:val="24"/>
          <w:lang w:val="en-US" w:eastAsia="zh-CN"/>
        </w:rPr>
        <w:t>《环境影响评价技术导则 土壤环境（试行）》（HJ964—2018），本项目参照其中社会事业与服务业中的其他，因此项目为 IV 类项目；区域周边无牧草地、园地、饮用水源地、学校等，因此判定为“不敏感”。</w:t>
      </w:r>
      <w:bookmarkEnd w:id="733"/>
      <w:bookmarkEnd w:id="734"/>
      <w:bookmarkEnd w:id="735"/>
      <w:bookmarkEnd w:id="736"/>
      <w:bookmarkEnd w:id="737"/>
      <w:bookmarkEnd w:id="738"/>
    </w:p>
    <w:p w14:paraId="572BBA7B">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-7土壤环境污染影响型敏感程度分级表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116"/>
      </w:tblGrid>
      <w:tr w14:paraId="3C0167EF">
        <w:tc>
          <w:tcPr>
            <w:tcW w:w="1406" w:type="dxa"/>
            <w:shd w:val="clear" w:color="auto" w:fill="D7D7D7" w:themeFill="background1" w:themeFillShade="D8"/>
            <w:vAlign w:val="center"/>
          </w:tcPr>
          <w:p w14:paraId="13C556F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b/>
                <w:bCs/>
                <w:color w:val="auto"/>
                <w:sz w:val="21"/>
                <w:szCs w:val="21"/>
                <w:lang w:val="en-US" w:eastAsia="zh-CN"/>
              </w:rPr>
            </w:pPr>
            <w:bookmarkStart w:id="739" w:name="_Toc24886"/>
            <w:bookmarkStart w:id="740" w:name="_Toc22212"/>
            <w:bookmarkStart w:id="741" w:name="_Toc9454"/>
            <w:bookmarkStart w:id="742" w:name="_Toc1171"/>
            <w:bookmarkStart w:id="743" w:name="_Toc17217"/>
            <w:bookmarkStart w:id="744" w:name="_Toc10397"/>
            <w:r>
              <w:rPr>
                <w:rFonts w:hint="default" w:ascii="Times New Roman" w:hAnsi="Times New Roman" w:eastAsia="宋体" w:cs="Times New Roman"/>
                <w:b/>
                <w:bCs/>
                <w:color w:val="auto"/>
                <w:sz w:val="21"/>
                <w:szCs w:val="21"/>
                <w:lang w:val="en-US" w:eastAsia="zh-CN"/>
              </w:rPr>
              <w:t>敏感程度</w:t>
            </w:r>
            <w:bookmarkEnd w:id="739"/>
            <w:bookmarkEnd w:id="740"/>
            <w:bookmarkEnd w:id="741"/>
            <w:bookmarkEnd w:id="742"/>
            <w:bookmarkEnd w:id="743"/>
            <w:bookmarkEnd w:id="744"/>
          </w:p>
        </w:tc>
        <w:tc>
          <w:tcPr>
            <w:tcW w:w="7116" w:type="dxa"/>
            <w:shd w:val="clear" w:color="auto" w:fill="D7D7D7" w:themeFill="background1" w:themeFillShade="D8"/>
            <w:vAlign w:val="center"/>
          </w:tcPr>
          <w:p w14:paraId="1F8054FD">
            <w:pPr>
              <w:keepNext w:val="0"/>
              <w:keepLines w:val="0"/>
              <w:pageBreakBefore w:val="0"/>
              <w:widowControl w:val="0"/>
              <w:kinsoku/>
              <w:wordWrap/>
              <w:overflowPunct/>
              <w:topLinePunct w:val="0"/>
              <w:autoSpaceDE/>
              <w:autoSpaceDN/>
              <w:bidi w:val="0"/>
              <w:adjustRightInd/>
              <w:snapToGrid/>
              <w:spacing w:line="240" w:lineRule="auto"/>
              <w:ind w:firstLine="632" w:firstLineChars="300"/>
              <w:jc w:val="center"/>
              <w:textAlignment w:val="auto"/>
              <w:outlineLvl w:val="1"/>
              <w:rPr>
                <w:rFonts w:hint="default" w:ascii="Times New Roman" w:hAnsi="Times New Roman" w:eastAsia="宋体" w:cs="Times New Roman"/>
                <w:b/>
                <w:bCs/>
                <w:color w:val="auto"/>
                <w:sz w:val="21"/>
                <w:szCs w:val="21"/>
                <w:lang w:val="en-US" w:eastAsia="zh-CN"/>
              </w:rPr>
            </w:pPr>
            <w:bookmarkStart w:id="745" w:name="_Toc10685"/>
            <w:bookmarkStart w:id="746" w:name="_Toc16280"/>
            <w:bookmarkStart w:id="747" w:name="_Toc3901"/>
            <w:bookmarkStart w:id="748" w:name="_Toc24153"/>
            <w:bookmarkStart w:id="749" w:name="_Toc1498"/>
            <w:bookmarkStart w:id="750" w:name="_Toc12205"/>
            <w:r>
              <w:rPr>
                <w:rFonts w:hint="default" w:ascii="Times New Roman" w:hAnsi="Times New Roman" w:eastAsia="宋体" w:cs="Times New Roman"/>
                <w:b/>
                <w:bCs/>
                <w:color w:val="auto"/>
                <w:sz w:val="21"/>
                <w:szCs w:val="21"/>
                <w:lang w:val="en-US" w:eastAsia="zh-CN"/>
              </w:rPr>
              <w:t>判别依据</w:t>
            </w:r>
            <w:bookmarkEnd w:id="745"/>
            <w:bookmarkEnd w:id="746"/>
            <w:bookmarkEnd w:id="747"/>
            <w:bookmarkEnd w:id="748"/>
            <w:bookmarkEnd w:id="749"/>
            <w:bookmarkEnd w:id="750"/>
          </w:p>
        </w:tc>
      </w:tr>
      <w:tr w14:paraId="79297E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Align w:val="center"/>
          </w:tcPr>
          <w:p w14:paraId="18DC39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lang w:val="en-US" w:eastAsia="zh-CN"/>
              </w:rPr>
            </w:pPr>
            <w:bookmarkStart w:id="751" w:name="_Toc30597"/>
            <w:bookmarkStart w:id="752" w:name="_Toc20752"/>
            <w:bookmarkStart w:id="753" w:name="_Toc15801"/>
            <w:bookmarkStart w:id="754" w:name="_Toc29479"/>
            <w:bookmarkStart w:id="755" w:name="_Toc20226"/>
            <w:bookmarkStart w:id="756" w:name="_Toc29070"/>
            <w:r>
              <w:rPr>
                <w:rFonts w:hint="default" w:ascii="Times New Roman" w:hAnsi="Times New Roman" w:eastAsia="宋体" w:cs="Times New Roman"/>
                <w:color w:val="auto"/>
                <w:sz w:val="21"/>
                <w:szCs w:val="21"/>
                <w:lang w:val="en-US" w:eastAsia="zh-CN"/>
              </w:rPr>
              <w:t>敏感</w:t>
            </w:r>
            <w:bookmarkEnd w:id="751"/>
            <w:bookmarkEnd w:id="752"/>
            <w:bookmarkEnd w:id="753"/>
            <w:bookmarkEnd w:id="754"/>
            <w:bookmarkEnd w:id="755"/>
            <w:bookmarkEnd w:id="756"/>
          </w:p>
        </w:tc>
        <w:tc>
          <w:tcPr>
            <w:tcW w:w="7116" w:type="dxa"/>
            <w:vAlign w:val="center"/>
          </w:tcPr>
          <w:p w14:paraId="772045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lang w:val="en-US" w:eastAsia="zh-CN"/>
              </w:rPr>
            </w:pPr>
            <w:bookmarkStart w:id="757" w:name="_Toc3650"/>
            <w:bookmarkStart w:id="758" w:name="_Toc16521"/>
            <w:bookmarkStart w:id="759" w:name="_Toc10931"/>
            <w:bookmarkStart w:id="760" w:name="_Toc20887"/>
            <w:bookmarkStart w:id="761" w:name="_Toc16078"/>
            <w:bookmarkStart w:id="762" w:name="_Toc22901"/>
            <w:r>
              <w:rPr>
                <w:rFonts w:hint="default" w:ascii="Times New Roman" w:hAnsi="Times New Roman" w:eastAsia="宋体" w:cs="Times New Roman"/>
                <w:color w:val="auto"/>
                <w:sz w:val="21"/>
                <w:szCs w:val="21"/>
                <w:lang w:val="en-US" w:eastAsia="zh-CN"/>
              </w:rPr>
              <w:t>建设项目周边存在耕地、园地、牧草地、饮用水水源地或居民区、学校、医院、疗养院、养老院等土壤环境敏感目标的</w:t>
            </w:r>
            <w:bookmarkEnd w:id="757"/>
            <w:bookmarkEnd w:id="758"/>
            <w:bookmarkEnd w:id="759"/>
            <w:bookmarkEnd w:id="760"/>
            <w:bookmarkEnd w:id="761"/>
            <w:bookmarkEnd w:id="762"/>
          </w:p>
        </w:tc>
      </w:tr>
      <w:tr w14:paraId="105D1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Align w:val="center"/>
          </w:tcPr>
          <w:p w14:paraId="083FABF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lang w:val="en-US" w:eastAsia="zh-CN"/>
              </w:rPr>
            </w:pPr>
            <w:bookmarkStart w:id="763" w:name="_Toc17337"/>
            <w:bookmarkStart w:id="764" w:name="_Toc15136"/>
            <w:bookmarkStart w:id="765" w:name="_Toc7800"/>
            <w:bookmarkStart w:id="766" w:name="_Toc19419"/>
            <w:bookmarkStart w:id="767" w:name="_Toc22811"/>
            <w:bookmarkStart w:id="768" w:name="_Toc14100"/>
            <w:r>
              <w:rPr>
                <w:rFonts w:hint="default" w:ascii="Times New Roman" w:hAnsi="Times New Roman" w:eastAsia="宋体" w:cs="Times New Roman"/>
                <w:color w:val="auto"/>
                <w:sz w:val="21"/>
                <w:szCs w:val="21"/>
                <w:lang w:val="en-US" w:eastAsia="zh-CN"/>
              </w:rPr>
              <w:t>较敏感</w:t>
            </w:r>
            <w:bookmarkEnd w:id="763"/>
            <w:bookmarkEnd w:id="764"/>
            <w:bookmarkEnd w:id="765"/>
            <w:bookmarkEnd w:id="766"/>
            <w:bookmarkEnd w:id="767"/>
            <w:bookmarkEnd w:id="768"/>
          </w:p>
        </w:tc>
        <w:tc>
          <w:tcPr>
            <w:tcW w:w="7116" w:type="dxa"/>
            <w:vAlign w:val="center"/>
          </w:tcPr>
          <w:p w14:paraId="312E5DC3">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center"/>
              <w:textAlignment w:val="auto"/>
              <w:outlineLvl w:val="1"/>
              <w:rPr>
                <w:rFonts w:hint="default" w:ascii="Times New Roman" w:hAnsi="Times New Roman" w:eastAsia="宋体" w:cs="Times New Roman"/>
                <w:color w:val="auto"/>
                <w:sz w:val="21"/>
                <w:szCs w:val="21"/>
                <w:lang w:val="en-US" w:eastAsia="zh-CN"/>
              </w:rPr>
            </w:pPr>
            <w:bookmarkStart w:id="769" w:name="_Toc15299"/>
            <w:bookmarkStart w:id="770" w:name="_Toc10469"/>
            <w:bookmarkStart w:id="771" w:name="_Toc2934"/>
            <w:bookmarkStart w:id="772" w:name="_Toc24728"/>
            <w:bookmarkStart w:id="773" w:name="_Toc28652"/>
            <w:bookmarkStart w:id="774" w:name="_Toc18518"/>
            <w:r>
              <w:rPr>
                <w:rFonts w:hint="default" w:ascii="Times New Roman" w:hAnsi="Times New Roman" w:eastAsia="宋体" w:cs="Times New Roman"/>
                <w:color w:val="auto"/>
                <w:sz w:val="21"/>
                <w:szCs w:val="21"/>
                <w:lang w:val="en-US" w:eastAsia="zh-CN"/>
              </w:rPr>
              <w:t>建设项目周边存在其他土壤环境敏感目标的</w:t>
            </w:r>
            <w:bookmarkEnd w:id="769"/>
            <w:bookmarkEnd w:id="770"/>
            <w:bookmarkEnd w:id="771"/>
            <w:bookmarkEnd w:id="772"/>
            <w:bookmarkEnd w:id="773"/>
            <w:bookmarkEnd w:id="774"/>
          </w:p>
        </w:tc>
      </w:tr>
      <w:tr w14:paraId="3DD56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Align w:val="center"/>
          </w:tcPr>
          <w:p w14:paraId="51C414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color w:val="auto"/>
                <w:sz w:val="21"/>
                <w:szCs w:val="21"/>
                <w:lang w:val="en-US" w:eastAsia="zh-CN"/>
              </w:rPr>
            </w:pPr>
            <w:bookmarkStart w:id="775" w:name="_Toc6897"/>
            <w:bookmarkStart w:id="776" w:name="_Toc15325"/>
            <w:bookmarkStart w:id="777" w:name="_Toc17934"/>
            <w:bookmarkStart w:id="778" w:name="_Toc25628"/>
            <w:bookmarkStart w:id="779" w:name="_Toc20700"/>
            <w:bookmarkStart w:id="780" w:name="_Toc31862"/>
            <w:r>
              <w:rPr>
                <w:rFonts w:hint="default" w:ascii="Times New Roman" w:hAnsi="Times New Roman" w:eastAsia="宋体" w:cs="Times New Roman"/>
                <w:color w:val="auto"/>
                <w:sz w:val="21"/>
                <w:szCs w:val="21"/>
                <w:lang w:val="en-US" w:eastAsia="zh-CN"/>
              </w:rPr>
              <w:t>不敏感</w:t>
            </w:r>
            <w:bookmarkEnd w:id="775"/>
            <w:bookmarkEnd w:id="776"/>
            <w:bookmarkEnd w:id="777"/>
            <w:bookmarkEnd w:id="778"/>
            <w:bookmarkEnd w:id="779"/>
            <w:bookmarkEnd w:id="780"/>
          </w:p>
        </w:tc>
        <w:tc>
          <w:tcPr>
            <w:tcW w:w="7116" w:type="dxa"/>
            <w:vAlign w:val="center"/>
          </w:tcPr>
          <w:p w14:paraId="38189284">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center"/>
              <w:textAlignment w:val="auto"/>
              <w:outlineLvl w:val="1"/>
              <w:rPr>
                <w:rFonts w:hint="default" w:ascii="Times New Roman" w:hAnsi="Times New Roman" w:eastAsia="宋体" w:cs="Times New Roman"/>
                <w:color w:val="auto"/>
                <w:sz w:val="21"/>
                <w:szCs w:val="21"/>
                <w:lang w:val="en-US" w:eastAsia="zh-CN"/>
              </w:rPr>
            </w:pPr>
            <w:bookmarkStart w:id="781" w:name="_Toc10644"/>
            <w:bookmarkStart w:id="782" w:name="_Toc27579"/>
            <w:bookmarkStart w:id="783" w:name="_Toc26841"/>
            <w:bookmarkStart w:id="784" w:name="_Toc25811"/>
            <w:bookmarkStart w:id="785" w:name="_Toc10637"/>
            <w:bookmarkStart w:id="786" w:name="_Toc23030"/>
            <w:r>
              <w:rPr>
                <w:rFonts w:hint="default" w:ascii="Times New Roman" w:hAnsi="Times New Roman" w:eastAsia="宋体" w:cs="Times New Roman"/>
                <w:color w:val="auto"/>
                <w:sz w:val="21"/>
                <w:szCs w:val="21"/>
                <w:lang w:val="en-US" w:eastAsia="zh-CN"/>
              </w:rPr>
              <w:t>其他情况</w:t>
            </w:r>
            <w:bookmarkEnd w:id="781"/>
            <w:bookmarkEnd w:id="782"/>
            <w:bookmarkEnd w:id="783"/>
            <w:bookmarkEnd w:id="784"/>
            <w:bookmarkEnd w:id="785"/>
            <w:bookmarkEnd w:id="786"/>
          </w:p>
        </w:tc>
      </w:tr>
    </w:tbl>
    <w:p w14:paraId="1926AB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项目占地面积</w:t>
      </w:r>
      <w:r>
        <w:rPr>
          <w:rFonts w:hint="default" w:ascii="Times New Roman" w:hAnsi="Times New Roman" w:eastAsia="宋体" w:cs="Times New Roman"/>
          <w:color w:val="auto"/>
          <w:sz w:val="24"/>
          <w:szCs w:val="24"/>
          <w:lang w:val="en-US" w:eastAsia="zh-CN"/>
        </w:rPr>
        <w:t>70284.55m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bidi="ar"/>
        </w:rPr>
        <w:t>，为小型项目。</w:t>
      </w:r>
    </w:p>
    <w:p w14:paraId="705680E8">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sz w:val="21"/>
          <w:szCs w:val="21"/>
          <w:highlight w:val="none"/>
          <w:lang w:val="en-US" w:eastAsia="zh-CN"/>
        </w:rPr>
        <w:t>表 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-8 污染影响型评价工作等级划分表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764"/>
        <w:gridCol w:w="763"/>
        <w:gridCol w:w="737"/>
        <w:gridCol w:w="722"/>
        <w:gridCol w:w="750"/>
        <w:gridCol w:w="641"/>
        <w:gridCol w:w="682"/>
        <w:gridCol w:w="682"/>
        <w:gridCol w:w="652"/>
      </w:tblGrid>
      <w:tr w14:paraId="3A0D26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Merge w:val="restart"/>
            <w:shd w:val="clear" w:color="auto" w:fill="D7D7D7" w:themeFill="background1" w:themeFillShade="D8"/>
            <w:vAlign w:val="center"/>
          </w:tcPr>
          <w:p w14:paraId="249178A5">
            <w:pPr>
              <w:keepNext w:val="0"/>
              <w:keepLines w:val="0"/>
              <w:pageBreakBefore w:val="0"/>
              <w:widowControl w:val="0"/>
              <w:kinsoku/>
              <w:wordWrap/>
              <w:overflowPunct/>
              <w:topLinePunct w:val="0"/>
              <w:autoSpaceDE/>
              <w:autoSpaceDN/>
              <w:bidi w:val="0"/>
              <w:adjustRightInd/>
              <w:snapToGrid/>
              <w:spacing w:line="360" w:lineRule="auto"/>
              <w:ind w:firstLine="1054" w:firstLineChars="500"/>
              <w:jc w:val="center"/>
              <w:textAlignment w:val="auto"/>
              <w:outlineLvl w:val="1"/>
              <w:rPr>
                <w:rFonts w:hint="default" w:ascii="Times New Roman" w:hAnsi="Times New Roman" w:eastAsia="宋体" w:cs="Times New Roman"/>
                <w:b/>
                <w:bCs/>
                <w:color w:val="auto"/>
                <w:lang w:val="en-US" w:eastAsia="zh-CN"/>
              </w:rPr>
            </w:pPr>
            <w:bookmarkStart w:id="787" w:name="_Toc6806"/>
            <w:bookmarkStart w:id="788" w:name="_Toc25948"/>
            <w:bookmarkStart w:id="789" w:name="_Toc19143"/>
            <w:bookmarkStart w:id="790" w:name="_Toc22620"/>
            <w:bookmarkStart w:id="791" w:name="_Toc29200"/>
            <w:bookmarkStart w:id="792" w:name="_Toc616"/>
            <w:r>
              <w:rPr>
                <w:rFonts w:hint="default" w:ascii="Times New Roman" w:hAnsi="Times New Roman" w:eastAsia="宋体" w:cs="Times New Roman"/>
                <w:b/>
                <w:bCs/>
                <w:color w:val="auto"/>
                <w:sz w:val="21"/>
              </w:rPr>
              <mc:AlternateContent>
                <mc:Choice Requires="wps">
                  <w:drawing>
                    <wp:anchor distT="0" distB="0" distL="114300" distR="114300" simplePos="0" relativeHeight="251663360" behindDoc="0" locked="0" layoutInCell="1" allowOverlap="1">
                      <wp:simplePos x="0" y="0"/>
                      <wp:positionH relativeFrom="column">
                        <wp:posOffset>-76835</wp:posOffset>
                      </wp:positionH>
                      <wp:positionV relativeFrom="paragraph">
                        <wp:posOffset>417195</wp:posOffset>
                      </wp:positionV>
                      <wp:extent cx="1369060" cy="290195"/>
                      <wp:effectExtent l="1270" t="4445" r="1270" b="10160"/>
                      <wp:wrapNone/>
                      <wp:docPr id="22" name="直接连接符 22"/>
                      <wp:cNvGraphicFramePr/>
                      <a:graphic xmlns:a="http://schemas.openxmlformats.org/drawingml/2006/main">
                        <a:graphicData uri="http://schemas.microsoft.com/office/word/2010/wordprocessingShape">
                          <wps:wsp>
                            <wps:cNvCnPr/>
                            <wps:spPr>
                              <a:xfrm>
                                <a:off x="0" y="0"/>
                                <a:ext cx="1369060" cy="290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05pt;margin-top:32.85pt;height:22.85pt;width:107.8pt;z-index:251663360;mso-width-relative:page;mso-height-relative:page;" filled="f" stroked="t" coordsize="21600,21600" o:gfxdata="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zXuiHX&#10;AAAACgEAAA8AAAAAAAAAAQAgAAAAIgAAAGRycy9kb3ducmV2LnhtbFBLAQIUABQAAAAIAIdO4kB+&#10;C98C6AEAALgDAAAOAAAAAAAAAAEAIAAAACYBAABkcnMvZTJvRG9jLnhtbFBLBQYAAAAABgAGAFkB&#10;AACABQ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b/>
                <w:bCs/>
                <w:color w:val="auto"/>
                <w:sz w:val="21"/>
              </w:rPr>
              <mc:AlternateContent>
                <mc:Choice Requires="wps">
                  <w:drawing>
                    <wp:anchor distT="0" distB="0" distL="114300" distR="114300" simplePos="0" relativeHeight="251662336" behindDoc="0" locked="0" layoutInCell="1" allowOverlap="1">
                      <wp:simplePos x="0" y="0"/>
                      <wp:positionH relativeFrom="column">
                        <wp:posOffset>417195</wp:posOffset>
                      </wp:positionH>
                      <wp:positionV relativeFrom="paragraph">
                        <wp:posOffset>23495</wp:posOffset>
                      </wp:positionV>
                      <wp:extent cx="875030" cy="683895"/>
                      <wp:effectExtent l="3175" t="3810" r="17145" b="17145"/>
                      <wp:wrapNone/>
                      <wp:docPr id="17" name="直接连接符 17"/>
                      <wp:cNvGraphicFramePr/>
                      <a:graphic xmlns:a="http://schemas.openxmlformats.org/drawingml/2006/main">
                        <a:graphicData uri="http://schemas.microsoft.com/office/word/2010/wordprocessingShape">
                          <wps:wsp>
                            <wps:cNvCnPr/>
                            <wps:spPr>
                              <a:xfrm>
                                <a:off x="1179195" y="1851025"/>
                                <a:ext cx="875030"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85pt;margin-top:1.85pt;height:53.85pt;width:68.9pt;z-index:251662336;mso-width-relative:page;mso-height-relative:page;" filled="f" stroked="t" coordsize="21600,21600" o:gfxdata="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4ep1wAAAAgBAAAPAAAAAAAAAAEAIAAAACIAAABkcnMvZG93bnJldi54bWxQSwECFAAU&#10;AAAACACHTuJApNnia/IBAADDAwAADgAAAAAAAAABACAAAAAmAQAAZHJzL2Uyb0RvYy54bWxQSwUG&#10;AAAAAAYABgBZAQAAigU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b/>
                <w:bCs/>
                <w:color w:val="auto"/>
                <w:lang w:val="en-US" w:eastAsia="zh-CN"/>
              </w:rPr>
              <w:t>占地规模</w:t>
            </w:r>
            <w:bookmarkEnd w:id="787"/>
            <w:bookmarkEnd w:id="788"/>
            <w:bookmarkEnd w:id="789"/>
            <w:bookmarkEnd w:id="790"/>
            <w:bookmarkEnd w:id="791"/>
            <w:bookmarkEnd w:id="792"/>
          </w:p>
          <w:p w14:paraId="6FD0E8A4">
            <w:pPr>
              <w:pStyle w:val="24"/>
              <w:jc w:val="left"/>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评价工作等级</w:t>
            </w:r>
          </w:p>
          <w:p w14:paraId="17269D03">
            <w:pPr>
              <w:pStyle w:val="24"/>
              <w:jc w:val="left"/>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2"/>
                <w:sz w:val="21"/>
                <w:szCs w:val="24"/>
                <w:lang w:val="en-US" w:eastAsia="zh-CN" w:bidi="ar-SA"/>
              </w:rPr>
              <w:t>敏感程度</w:t>
            </w:r>
          </w:p>
        </w:tc>
        <w:tc>
          <w:tcPr>
            <w:tcW w:w="2264" w:type="dxa"/>
            <w:gridSpan w:val="3"/>
            <w:shd w:val="clear" w:color="auto" w:fill="D7D7D7" w:themeFill="background1" w:themeFillShade="D8"/>
            <w:vAlign w:val="center"/>
          </w:tcPr>
          <w:p w14:paraId="1EDFF234">
            <w:pPr>
              <w:keepNext w:val="0"/>
              <w:keepLines w:val="0"/>
              <w:widowControl/>
              <w:suppressLineNumbers w:val="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1"/>
                <w:szCs w:val="21"/>
                <w:lang w:val="en-US" w:eastAsia="zh-CN" w:bidi="ar"/>
              </w:rPr>
              <w:t>Ⅰ类</w:t>
            </w:r>
          </w:p>
        </w:tc>
        <w:tc>
          <w:tcPr>
            <w:tcW w:w="2113" w:type="dxa"/>
            <w:gridSpan w:val="3"/>
            <w:shd w:val="clear" w:color="auto" w:fill="D7D7D7" w:themeFill="background1" w:themeFillShade="D8"/>
            <w:vAlign w:val="center"/>
          </w:tcPr>
          <w:p w14:paraId="0836DC31">
            <w:pPr>
              <w:keepNext w:val="0"/>
              <w:keepLines w:val="0"/>
              <w:widowControl/>
              <w:suppressLineNumbers w:val="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1"/>
                <w:szCs w:val="21"/>
                <w:lang w:val="en-US" w:eastAsia="zh-CN" w:bidi="ar"/>
              </w:rPr>
              <w:t>Ⅱ类</w:t>
            </w:r>
          </w:p>
        </w:tc>
        <w:tc>
          <w:tcPr>
            <w:tcW w:w="2016" w:type="dxa"/>
            <w:gridSpan w:val="3"/>
            <w:shd w:val="clear" w:color="auto" w:fill="D7D7D7" w:themeFill="background1" w:themeFillShade="D8"/>
            <w:vAlign w:val="center"/>
          </w:tcPr>
          <w:p w14:paraId="66A6EFCF">
            <w:pPr>
              <w:keepNext w:val="0"/>
              <w:keepLines w:val="0"/>
              <w:widowControl/>
              <w:suppressLineNumbers w:val="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1"/>
                <w:szCs w:val="21"/>
                <w:lang w:val="en-US" w:eastAsia="zh-CN" w:bidi="ar"/>
              </w:rPr>
              <w:t>Ⅲ类</w:t>
            </w:r>
          </w:p>
        </w:tc>
      </w:tr>
      <w:tr w14:paraId="76009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Merge w:val="continue"/>
            <w:shd w:val="clear" w:color="auto" w:fill="D7D7D7" w:themeFill="background1" w:themeFillShade="D8"/>
            <w:vAlign w:val="center"/>
          </w:tcPr>
          <w:p w14:paraId="7C44CF8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kern w:val="2"/>
                <w:sz w:val="21"/>
                <w:szCs w:val="24"/>
                <w:lang w:val="en-US" w:eastAsia="zh-CN" w:bidi="ar-SA"/>
              </w:rPr>
            </w:pPr>
          </w:p>
        </w:tc>
        <w:tc>
          <w:tcPr>
            <w:tcW w:w="764" w:type="dxa"/>
            <w:shd w:val="clear" w:color="auto" w:fill="D7D7D7" w:themeFill="background1" w:themeFillShade="D8"/>
            <w:vAlign w:val="center"/>
          </w:tcPr>
          <w:p w14:paraId="05BF3AD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793" w:name="_Toc19273"/>
            <w:bookmarkStart w:id="794" w:name="_Toc29012"/>
            <w:bookmarkStart w:id="795" w:name="_Toc3683"/>
            <w:bookmarkStart w:id="796" w:name="_Toc8043"/>
            <w:bookmarkStart w:id="797" w:name="_Toc1163"/>
            <w:bookmarkStart w:id="798" w:name="_Toc4604"/>
            <w:r>
              <w:rPr>
                <w:rFonts w:hint="default" w:ascii="Times New Roman" w:hAnsi="Times New Roman" w:eastAsia="宋体" w:cs="Times New Roman"/>
                <w:b/>
                <w:bCs/>
                <w:color w:val="auto"/>
                <w:kern w:val="2"/>
                <w:sz w:val="21"/>
                <w:szCs w:val="24"/>
                <w:lang w:val="en-US" w:eastAsia="zh-CN" w:bidi="ar-SA"/>
              </w:rPr>
              <w:t>大</w:t>
            </w:r>
            <w:bookmarkEnd w:id="793"/>
            <w:bookmarkEnd w:id="794"/>
            <w:bookmarkEnd w:id="795"/>
            <w:bookmarkEnd w:id="796"/>
            <w:bookmarkEnd w:id="797"/>
            <w:bookmarkEnd w:id="798"/>
          </w:p>
        </w:tc>
        <w:tc>
          <w:tcPr>
            <w:tcW w:w="763" w:type="dxa"/>
            <w:shd w:val="clear" w:color="auto" w:fill="D7D7D7" w:themeFill="background1" w:themeFillShade="D8"/>
            <w:vAlign w:val="center"/>
          </w:tcPr>
          <w:p w14:paraId="6661F2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799" w:name="_Toc7447"/>
            <w:bookmarkStart w:id="800" w:name="_Toc31519"/>
            <w:bookmarkStart w:id="801" w:name="_Toc3424"/>
            <w:bookmarkStart w:id="802" w:name="_Toc5840"/>
            <w:bookmarkStart w:id="803" w:name="_Toc5056"/>
            <w:bookmarkStart w:id="804" w:name="_Toc16891"/>
            <w:r>
              <w:rPr>
                <w:rFonts w:hint="default" w:ascii="Times New Roman" w:hAnsi="Times New Roman" w:eastAsia="宋体" w:cs="Times New Roman"/>
                <w:b/>
                <w:bCs/>
                <w:color w:val="auto"/>
                <w:kern w:val="2"/>
                <w:sz w:val="21"/>
                <w:szCs w:val="24"/>
                <w:lang w:val="en-US" w:eastAsia="zh-CN" w:bidi="ar-SA"/>
              </w:rPr>
              <w:t>中</w:t>
            </w:r>
            <w:bookmarkEnd w:id="799"/>
            <w:bookmarkEnd w:id="800"/>
            <w:bookmarkEnd w:id="801"/>
            <w:bookmarkEnd w:id="802"/>
            <w:bookmarkEnd w:id="803"/>
            <w:bookmarkEnd w:id="804"/>
          </w:p>
        </w:tc>
        <w:tc>
          <w:tcPr>
            <w:tcW w:w="737" w:type="dxa"/>
            <w:shd w:val="clear" w:color="auto" w:fill="D7D7D7" w:themeFill="background1" w:themeFillShade="D8"/>
            <w:vAlign w:val="center"/>
          </w:tcPr>
          <w:p w14:paraId="08128D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05" w:name="_Toc32375"/>
            <w:bookmarkStart w:id="806" w:name="_Toc3850"/>
            <w:bookmarkStart w:id="807" w:name="_Toc9595"/>
            <w:bookmarkStart w:id="808" w:name="_Toc14593"/>
            <w:bookmarkStart w:id="809" w:name="_Toc17065"/>
            <w:bookmarkStart w:id="810" w:name="_Toc32378"/>
            <w:r>
              <w:rPr>
                <w:rFonts w:hint="default" w:ascii="Times New Roman" w:hAnsi="Times New Roman" w:eastAsia="宋体" w:cs="Times New Roman"/>
                <w:b/>
                <w:bCs/>
                <w:color w:val="auto"/>
                <w:kern w:val="2"/>
                <w:sz w:val="21"/>
                <w:szCs w:val="24"/>
                <w:lang w:val="en-US" w:eastAsia="zh-CN" w:bidi="ar-SA"/>
              </w:rPr>
              <w:t>小</w:t>
            </w:r>
            <w:bookmarkEnd w:id="805"/>
            <w:bookmarkEnd w:id="806"/>
            <w:bookmarkEnd w:id="807"/>
            <w:bookmarkEnd w:id="808"/>
            <w:bookmarkEnd w:id="809"/>
            <w:bookmarkEnd w:id="810"/>
          </w:p>
        </w:tc>
        <w:tc>
          <w:tcPr>
            <w:tcW w:w="722" w:type="dxa"/>
            <w:shd w:val="clear" w:color="auto" w:fill="D7D7D7" w:themeFill="background1" w:themeFillShade="D8"/>
            <w:vAlign w:val="center"/>
          </w:tcPr>
          <w:p w14:paraId="339A94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11" w:name="_Toc1814"/>
            <w:bookmarkStart w:id="812" w:name="_Toc7202"/>
            <w:bookmarkStart w:id="813" w:name="_Toc29003"/>
            <w:bookmarkStart w:id="814" w:name="_Toc25867"/>
            <w:bookmarkStart w:id="815" w:name="_Toc4682"/>
            <w:bookmarkStart w:id="816" w:name="_Toc16593"/>
            <w:r>
              <w:rPr>
                <w:rFonts w:hint="default" w:ascii="Times New Roman" w:hAnsi="Times New Roman" w:eastAsia="宋体" w:cs="Times New Roman"/>
                <w:b/>
                <w:bCs/>
                <w:color w:val="auto"/>
                <w:kern w:val="2"/>
                <w:sz w:val="21"/>
                <w:szCs w:val="24"/>
                <w:lang w:val="en-US" w:eastAsia="zh-CN" w:bidi="ar-SA"/>
              </w:rPr>
              <w:t>大</w:t>
            </w:r>
            <w:bookmarkEnd w:id="811"/>
            <w:bookmarkEnd w:id="812"/>
            <w:bookmarkEnd w:id="813"/>
            <w:bookmarkEnd w:id="814"/>
            <w:bookmarkEnd w:id="815"/>
            <w:bookmarkEnd w:id="816"/>
          </w:p>
        </w:tc>
        <w:tc>
          <w:tcPr>
            <w:tcW w:w="750" w:type="dxa"/>
            <w:shd w:val="clear" w:color="auto" w:fill="D7D7D7" w:themeFill="background1" w:themeFillShade="D8"/>
            <w:vAlign w:val="center"/>
          </w:tcPr>
          <w:p w14:paraId="40D214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17" w:name="_Toc6498"/>
            <w:bookmarkStart w:id="818" w:name="_Toc28465"/>
            <w:bookmarkStart w:id="819" w:name="_Toc3434"/>
            <w:bookmarkStart w:id="820" w:name="_Toc3495"/>
            <w:bookmarkStart w:id="821" w:name="_Toc20671"/>
            <w:bookmarkStart w:id="822" w:name="_Toc5050"/>
            <w:r>
              <w:rPr>
                <w:rFonts w:hint="default" w:ascii="Times New Roman" w:hAnsi="Times New Roman" w:eastAsia="宋体" w:cs="Times New Roman"/>
                <w:b/>
                <w:bCs/>
                <w:color w:val="auto"/>
                <w:kern w:val="2"/>
                <w:sz w:val="21"/>
                <w:szCs w:val="24"/>
                <w:lang w:val="en-US" w:eastAsia="zh-CN" w:bidi="ar-SA"/>
              </w:rPr>
              <w:t>中</w:t>
            </w:r>
            <w:bookmarkEnd w:id="817"/>
            <w:bookmarkEnd w:id="818"/>
            <w:bookmarkEnd w:id="819"/>
            <w:bookmarkEnd w:id="820"/>
            <w:bookmarkEnd w:id="821"/>
            <w:bookmarkEnd w:id="822"/>
          </w:p>
        </w:tc>
        <w:tc>
          <w:tcPr>
            <w:tcW w:w="641" w:type="dxa"/>
            <w:shd w:val="clear" w:color="auto" w:fill="D7D7D7" w:themeFill="background1" w:themeFillShade="D8"/>
            <w:vAlign w:val="center"/>
          </w:tcPr>
          <w:p w14:paraId="684A15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23" w:name="_Toc8121"/>
            <w:bookmarkStart w:id="824" w:name="_Toc7928"/>
            <w:bookmarkStart w:id="825" w:name="_Toc15666"/>
            <w:bookmarkStart w:id="826" w:name="_Toc12123"/>
            <w:bookmarkStart w:id="827" w:name="_Toc21726"/>
            <w:bookmarkStart w:id="828" w:name="_Toc6471"/>
            <w:r>
              <w:rPr>
                <w:rFonts w:hint="default" w:ascii="Times New Roman" w:hAnsi="Times New Roman" w:eastAsia="宋体" w:cs="Times New Roman"/>
                <w:b/>
                <w:bCs/>
                <w:color w:val="auto"/>
                <w:kern w:val="2"/>
                <w:sz w:val="21"/>
                <w:szCs w:val="24"/>
                <w:lang w:val="en-US" w:eastAsia="zh-CN" w:bidi="ar-SA"/>
              </w:rPr>
              <w:t>小</w:t>
            </w:r>
            <w:bookmarkEnd w:id="823"/>
            <w:bookmarkEnd w:id="824"/>
            <w:bookmarkEnd w:id="825"/>
            <w:bookmarkEnd w:id="826"/>
            <w:bookmarkEnd w:id="827"/>
            <w:bookmarkEnd w:id="828"/>
          </w:p>
        </w:tc>
        <w:tc>
          <w:tcPr>
            <w:tcW w:w="682" w:type="dxa"/>
            <w:shd w:val="clear" w:color="auto" w:fill="D7D7D7" w:themeFill="background1" w:themeFillShade="D8"/>
            <w:vAlign w:val="center"/>
          </w:tcPr>
          <w:p w14:paraId="0DBF94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29" w:name="_Toc15274"/>
            <w:bookmarkStart w:id="830" w:name="_Toc27087"/>
            <w:bookmarkStart w:id="831" w:name="_Toc28367"/>
            <w:bookmarkStart w:id="832" w:name="_Toc25709"/>
            <w:bookmarkStart w:id="833" w:name="_Toc30871"/>
            <w:bookmarkStart w:id="834" w:name="_Toc5525"/>
            <w:r>
              <w:rPr>
                <w:rFonts w:hint="default" w:ascii="Times New Roman" w:hAnsi="Times New Roman" w:eastAsia="宋体" w:cs="Times New Roman"/>
                <w:b/>
                <w:bCs/>
                <w:color w:val="auto"/>
                <w:kern w:val="2"/>
                <w:sz w:val="21"/>
                <w:szCs w:val="24"/>
                <w:lang w:val="en-US" w:eastAsia="zh-CN" w:bidi="ar-SA"/>
              </w:rPr>
              <w:t>大</w:t>
            </w:r>
            <w:bookmarkEnd w:id="829"/>
            <w:bookmarkEnd w:id="830"/>
            <w:bookmarkEnd w:id="831"/>
            <w:bookmarkEnd w:id="832"/>
            <w:bookmarkEnd w:id="833"/>
            <w:bookmarkEnd w:id="834"/>
          </w:p>
        </w:tc>
        <w:tc>
          <w:tcPr>
            <w:tcW w:w="682" w:type="dxa"/>
            <w:shd w:val="clear" w:color="auto" w:fill="D7D7D7" w:themeFill="background1" w:themeFillShade="D8"/>
            <w:vAlign w:val="center"/>
          </w:tcPr>
          <w:p w14:paraId="0A1D5A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35" w:name="_Toc5706"/>
            <w:bookmarkStart w:id="836" w:name="_Toc15616"/>
            <w:bookmarkStart w:id="837" w:name="_Toc29822"/>
            <w:bookmarkStart w:id="838" w:name="_Toc15592"/>
            <w:bookmarkStart w:id="839" w:name="_Toc17742"/>
            <w:bookmarkStart w:id="840" w:name="_Toc18812"/>
            <w:r>
              <w:rPr>
                <w:rFonts w:hint="default" w:ascii="Times New Roman" w:hAnsi="Times New Roman" w:eastAsia="宋体" w:cs="Times New Roman"/>
                <w:b/>
                <w:bCs/>
                <w:color w:val="auto"/>
                <w:kern w:val="2"/>
                <w:sz w:val="21"/>
                <w:szCs w:val="24"/>
                <w:lang w:val="en-US" w:eastAsia="zh-CN" w:bidi="ar-SA"/>
              </w:rPr>
              <w:t>中</w:t>
            </w:r>
            <w:bookmarkEnd w:id="835"/>
            <w:bookmarkEnd w:id="836"/>
            <w:bookmarkEnd w:id="837"/>
            <w:bookmarkEnd w:id="838"/>
            <w:bookmarkEnd w:id="839"/>
            <w:bookmarkEnd w:id="840"/>
          </w:p>
        </w:tc>
        <w:tc>
          <w:tcPr>
            <w:tcW w:w="652" w:type="dxa"/>
            <w:shd w:val="clear" w:color="auto" w:fill="D7D7D7" w:themeFill="background1" w:themeFillShade="D8"/>
            <w:vAlign w:val="center"/>
          </w:tcPr>
          <w:p w14:paraId="3D6D12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auto"/>
                <w:kern w:val="2"/>
                <w:sz w:val="21"/>
                <w:szCs w:val="24"/>
                <w:lang w:val="en-US" w:eastAsia="zh-CN" w:bidi="ar-SA"/>
              </w:rPr>
            </w:pPr>
            <w:bookmarkStart w:id="841" w:name="_Toc4144"/>
            <w:bookmarkStart w:id="842" w:name="_Toc3888"/>
            <w:bookmarkStart w:id="843" w:name="_Toc30304"/>
            <w:bookmarkStart w:id="844" w:name="_Toc11686"/>
            <w:bookmarkStart w:id="845" w:name="_Toc32439"/>
            <w:bookmarkStart w:id="846" w:name="_Toc19770"/>
            <w:r>
              <w:rPr>
                <w:rFonts w:hint="default" w:ascii="Times New Roman" w:hAnsi="Times New Roman" w:eastAsia="宋体" w:cs="Times New Roman"/>
                <w:b/>
                <w:bCs/>
                <w:color w:val="auto"/>
                <w:kern w:val="2"/>
                <w:sz w:val="21"/>
                <w:szCs w:val="24"/>
                <w:lang w:val="en-US" w:eastAsia="zh-CN" w:bidi="ar-SA"/>
              </w:rPr>
              <w:t>小</w:t>
            </w:r>
            <w:bookmarkEnd w:id="841"/>
            <w:bookmarkEnd w:id="842"/>
            <w:bookmarkEnd w:id="843"/>
            <w:bookmarkEnd w:id="844"/>
            <w:bookmarkEnd w:id="845"/>
            <w:bookmarkEnd w:id="846"/>
          </w:p>
        </w:tc>
      </w:tr>
      <w:tr w14:paraId="5BC42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14428D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47" w:name="_Toc23970"/>
            <w:bookmarkStart w:id="848" w:name="_Toc7930"/>
            <w:bookmarkStart w:id="849" w:name="_Toc26009"/>
            <w:bookmarkStart w:id="850" w:name="_Toc7554"/>
            <w:bookmarkStart w:id="851" w:name="_Toc14570"/>
            <w:bookmarkStart w:id="852" w:name="_Toc7045"/>
            <w:r>
              <w:rPr>
                <w:rFonts w:hint="default" w:ascii="Times New Roman" w:hAnsi="Times New Roman" w:eastAsia="宋体" w:cs="Times New Roman"/>
                <w:color w:val="auto"/>
                <w:kern w:val="2"/>
                <w:sz w:val="21"/>
                <w:szCs w:val="24"/>
                <w:lang w:val="en-US" w:eastAsia="zh-CN" w:bidi="ar-SA"/>
              </w:rPr>
              <w:t>敏感</w:t>
            </w:r>
            <w:bookmarkEnd w:id="847"/>
            <w:bookmarkEnd w:id="848"/>
            <w:bookmarkEnd w:id="849"/>
            <w:bookmarkEnd w:id="850"/>
            <w:bookmarkEnd w:id="851"/>
            <w:bookmarkEnd w:id="852"/>
          </w:p>
        </w:tc>
        <w:tc>
          <w:tcPr>
            <w:tcW w:w="764" w:type="dxa"/>
            <w:vAlign w:val="center"/>
          </w:tcPr>
          <w:p w14:paraId="5CE69D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53" w:name="_Toc15719"/>
            <w:bookmarkStart w:id="854" w:name="_Toc24065"/>
            <w:bookmarkStart w:id="855" w:name="_Toc7630"/>
            <w:bookmarkStart w:id="856" w:name="_Toc10914"/>
            <w:bookmarkStart w:id="857" w:name="_Toc13581"/>
            <w:bookmarkStart w:id="858" w:name="_Toc27513"/>
            <w:r>
              <w:rPr>
                <w:rFonts w:hint="default" w:ascii="Times New Roman" w:hAnsi="Times New Roman" w:eastAsia="宋体" w:cs="Times New Roman"/>
                <w:color w:val="auto"/>
                <w:kern w:val="2"/>
                <w:sz w:val="21"/>
                <w:szCs w:val="24"/>
                <w:lang w:val="en-US" w:eastAsia="zh-CN" w:bidi="ar-SA"/>
              </w:rPr>
              <w:t>一级</w:t>
            </w:r>
            <w:bookmarkEnd w:id="853"/>
            <w:bookmarkEnd w:id="854"/>
            <w:bookmarkEnd w:id="855"/>
            <w:bookmarkEnd w:id="856"/>
            <w:bookmarkEnd w:id="857"/>
            <w:bookmarkEnd w:id="858"/>
          </w:p>
        </w:tc>
        <w:tc>
          <w:tcPr>
            <w:tcW w:w="763" w:type="dxa"/>
            <w:vAlign w:val="center"/>
          </w:tcPr>
          <w:p w14:paraId="636336F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59" w:name="_Toc6192"/>
            <w:bookmarkStart w:id="860" w:name="_Toc8372"/>
            <w:bookmarkStart w:id="861" w:name="_Toc19318"/>
            <w:bookmarkStart w:id="862" w:name="_Toc16591"/>
            <w:bookmarkStart w:id="863" w:name="_Toc9623"/>
            <w:bookmarkStart w:id="864" w:name="_Toc5482"/>
            <w:r>
              <w:rPr>
                <w:rFonts w:hint="default" w:ascii="Times New Roman" w:hAnsi="Times New Roman" w:eastAsia="宋体" w:cs="Times New Roman"/>
                <w:color w:val="auto"/>
                <w:kern w:val="2"/>
                <w:sz w:val="21"/>
                <w:szCs w:val="24"/>
                <w:lang w:val="en-US" w:eastAsia="zh-CN" w:bidi="ar-SA"/>
              </w:rPr>
              <w:t>一级</w:t>
            </w:r>
            <w:bookmarkEnd w:id="859"/>
            <w:bookmarkEnd w:id="860"/>
            <w:bookmarkEnd w:id="861"/>
            <w:bookmarkEnd w:id="862"/>
            <w:bookmarkEnd w:id="863"/>
            <w:bookmarkEnd w:id="864"/>
          </w:p>
        </w:tc>
        <w:tc>
          <w:tcPr>
            <w:tcW w:w="737" w:type="dxa"/>
            <w:vAlign w:val="center"/>
          </w:tcPr>
          <w:p w14:paraId="28BFC4E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65" w:name="_Toc12124"/>
            <w:bookmarkStart w:id="866" w:name="_Toc28379"/>
            <w:bookmarkStart w:id="867" w:name="_Toc1708"/>
            <w:bookmarkStart w:id="868" w:name="_Toc2859"/>
            <w:bookmarkStart w:id="869" w:name="_Toc14816"/>
            <w:bookmarkStart w:id="870" w:name="_Toc25711"/>
            <w:r>
              <w:rPr>
                <w:rFonts w:hint="default" w:ascii="Times New Roman" w:hAnsi="Times New Roman" w:eastAsia="宋体" w:cs="Times New Roman"/>
                <w:color w:val="auto"/>
                <w:kern w:val="2"/>
                <w:sz w:val="21"/>
                <w:szCs w:val="24"/>
                <w:lang w:val="en-US" w:eastAsia="zh-CN" w:bidi="ar-SA"/>
              </w:rPr>
              <w:t>一级</w:t>
            </w:r>
            <w:bookmarkEnd w:id="865"/>
            <w:bookmarkEnd w:id="866"/>
            <w:bookmarkEnd w:id="867"/>
            <w:bookmarkEnd w:id="868"/>
            <w:bookmarkEnd w:id="869"/>
            <w:bookmarkEnd w:id="870"/>
          </w:p>
        </w:tc>
        <w:tc>
          <w:tcPr>
            <w:tcW w:w="722" w:type="dxa"/>
            <w:vAlign w:val="center"/>
          </w:tcPr>
          <w:p w14:paraId="003941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71" w:name="_Toc3766"/>
            <w:bookmarkStart w:id="872" w:name="_Toc7273"/>
            <w:bookmarkStart w:id="873" w:name="_Toc4299"/>
            <w:bookmarkStart w:id="874" w:name="_Toc31441"/>
            <w:bookmarkStart w:id="875" w:name="_Toc20480"/>
            <w:bookmarkStart w:id="876" w:name="_Toc25493"/>
            <w:r>
              <w:rPr>
                <w:rFonts w:hint="default" w:ascii="Times New Roman" w:hAnsi="Times New Roman" w:eastAsia="宋体" w:cs="Times New Roman"/>
                <w:color w:val="auto"/>
                <w:kern w:val="2"/>
                <w:sz w:val="21"/>
                <w:szCs w:val="24"/>
                <w:lang w:val="en-US" w:eastAsia="zh-CN" w:bidi="ar-SA"/>
              </w:rPr>
              <w:t>二级</w:t>
            </w:r>
            <w:bookmarkEnd w:id="871"/>
            <w:bookmarkEnd w:id="872"/>
            <w:bookmarkEnd w:id="873"/>
            <w:bookmarkEnd w:id="874"/>
            <w:bookmarkEnd w:id="875"/>
            <w:bookmarkEnd w:id="876"/>
          </w:p>
        </w:tc>
        <w:tc>
          <w:tcPr>
            <w:tcW w:w="750" w:type="dxa"/>
            <w:vAlign w:val="center"/>
          </w:tcPr>
          <w:p w14:paraId="099D8F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77" w:name="_Toc7072"/>
            <w:bookmarkStart w:id="878" w:name="_Toc16901"/>
            <w:bookmarkStart w:id="879" w:name="_Toc5122"/>
            <w:bookmarkStart w:id="880" w:name="_Toc32010"/>
            <w:bookmarkStart w:id="881" w:name="_Toc13400"/>
            <w:bookmarkStart w:id="882" w:name="_Toc32165"/>
            <w:r>
              <w:rPr>
                <w:rFonts w:hint="default" w:ascii="Times New Roman" w:hAnsi="Times New Roman" w:eastAsia="宋体" w:cs="Times New Roman"/>
                <w:color w:val="auto"/>
                <w:kern w:val="2"/>
                <w:sz w:val="21"/>
                <w:szCs w:val="24"/>
                <w:lang w:val="en-US" w:eastAsia="zh-CN" w:bidi="ar-SA"/>
              </w:rPr>
              <w:t>二级</w:t>
            </w:r>
            <w:bookmarkEnd w:id="877"/>
            <w:bookmarkEnd w:id="878"/>
            <w:bookmarkEnd w:id="879"/>
            <w:bookmarkEnd w:id="880"/>
            <w:bookmarkEnd w:id="881"/>
            <w:bookmarkEnd w:id="882"/>
          </w:p>
        </w:tc>
        <w:tc>
          <w:tcPr>
            <w:tcW w:w="641" w:type="dxa"/>
            <w:vAlign w:val="center"/>
          </w:tcPr>
          <w:p w14:paraId="018120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83" w:name="_Toc7027"/>
            <w:bookmarkStart w:id="884" w:name="_Toc27197"/>
            <w:bookmarkStart w:id="885" w:name="_Toc16242"/>
            <w:bookmarkStart w:id="886" w:name="_Toc8781"/>
            <w:bookmarkStart w:id="887" w:name="_Toc19918"/>
            <w:bookmarkStart w:id="888" w:name="_Toc20504"/>
            <w:r>
              <w:rPr>
                <w:rFonts w:hint="default" w:ascii="Times New Roman" w:hAnsi="Times New Roman" w:eastAsia="宋体" w:cs="Times New Roman"/>
                <w:color w:val="auto"/>
                <w:kern w:val="2"/>
                <w:sz w:val="21"/>
                <w:szCs w:val="24"/>
                <w:lang w:val="en-US" w:eastAsia="zh-CN" w:bidi="ar-SA"/>
              </w:rPr>
              <w:t>二级</w:t>
            </w:r>
            <w:bookmarkEnd w:id="883"/>
            <w:bookmarkEnd w:id="884"/>
            <w:bookmarkEnd w:id="885"/>
            <w:bookmarkEnd w:id="886"/>
            <w:bookmarkEnd w:id="887"/>
            <w:bookmarkEnd w:id="888"/>
          </w:p>
        </w:tc>
        <w:tc>
          <w:tcPr>
            <w:tcW w:w="682" w:type="dxa"/>
            <w:vAlign w:val="center"/>
          </w:tcPr>
          <w:p w14:paraId="3370A20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89" w:name="_Toc15100"/>
            <w:bookmarkStart w:id="890" w:name="_Toc22431"/>
            <w:bookmarkStart w:id="891" w:name="_Toc23304"/>
            <w:bookmarkStart w:id="892" w:name="_Toc31642"/>
            <w:bookmarkStart w:id="893" w:name="_Toc10600"/>
            <w:bookmarkStart w:id="894" w:name="_Toc14944"/>
            <w:r>
              <w:rPr>
                <w:rFonts w:hint="default" w:ascii="Times New Roman" w:hAnsi="Times New Roman" w:eastAsia="宋体" w:cs="Times New Roman"/>
                <w:color w:val="auto"/>
                <w:kern w:val="2"/>
                <w:sz w:val="21"/>
                <w:szCs w:val="24"/>
                <w:lang w:val="en-US" w:eastAsia="zh-CN" w:bidi="ar-SA"/>
              </w:rPr>
              <w:t>三级</w:t>
            </w:r>
            <w:bookmarkEnd w:id="889"/>
            <w:bookmarkEnd w:id="890"/>
            <w:bookmarkEnd w:id="891"/>
            <w:bookmarkEnd w:id="892"/>
            <w:bookmarkEnd w:id="893"/>
            <w:bookmarkEnd w:id="894"/>
          </w:p>
        </w:tc>
        <w:tc>
          <w:tcPr>
            <w:tcW w:w="682" w:type="dxa"/>
            <w:vAlign w:val="center"/>
          </w:tcPr>
          <w:p w14:paraId="0291DB9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895" w:name="_Toc28339"/>
            <w:bookmarkStart w:id="896" w:name="_Toc26057"/>
            <w:bookmarkStart w:id="897" w:name="_Toc19479"/>
            <w:bookmarkStart w:id="898" w:name="_Toc6133"/>
            <w:bookmarkStart w:id="899" w:name="_Toc12674"/>
            <w:bookmarkStart w:id="900" w:name="_Toc1112"/>
            <w:r>
              <w:rPr>
                <w:rFonts w:hint="default" w:ascii="Times New Roman" w:hAnsi="Times New Roman" w:eastAsia="宋体" w:cs="Times New Roman"/>
                <w:color w:val="auto"/>
                <w:kern w:val="2"/>
                <w:sz w:val="21"/>
                <w:szCs w:val="24"/>
                <w:lang w:val="en-US" w:eastAsia="zh-CN" w:bidi="ar-SA"/>
              </w:rPr>
              <w:t>三级</w:t>
            </w:r>
            <w:bookmarkEnd w:id="895"/>
            <w:bookmarkEnd w:id="896"/>
            <w:bookmarkEnd w:id="897"/>
            <w:bookmarkEnd w:id="898"/>
            <w:bookmarkEnd w:id="899"/>
            <w:bookmarkEnd w:id="900"/>
          </w:p>
        </w:tc>
        <w:tc>
          <w:tcPr>
            <w:tcW w:w="652" w:type="dxa"/>
            <w:vAlign w:val="center"/>
          </w:tcPr>
          <w:p w14:paraId="464DB3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01" w:name="_Toc18284"/>
            <w:bookmarkStart w:id="902" w:name="_Toc6388"/>
            <w:bookmarkStart w:id="903" w:name="_Toc30990"/>
            <w:bookmarkStart w:id="904" w:name="_Toc27885"/>
            <w:bookmarkStart w:id="905" w:name="_Toc21692"/>
            <w:bookmarkStart w:id="906" w:name="_Toc23665"/>
            <w:r>
              <w:rPr>
                <w:rFonts w:hint="default" w:ascii="Times New Roman" w:hAnsi="Times New Roman" w:eastAsia="宋体" w:cs="Times New Roman"/>
                <w:color w:val="auto"/>
                <w:kern w:val="2"/>
                <w:sz w:val="21"/>
                <w:szCs w:val="24"/>
                <w:lang w:val="en-US" w:eastAsia="zh-CN" w:bidi="ar-SA"/>
              </w:rPr>
              <w:t>三级</w:t>
            </w:r>
            <w:bookmarkEnd w:id="901"/>
            <w:bookmarkEnd w:id="902"/>
            <w:bookmarkEnd w:id="903"/>
            <w:bookmarkEnd w:id="904"/>
            <w:bookmarkEnd w:id="905"/>
            <w:bookmarkEnd w:id="906"/>
          </w:p>
        </w:tc>
      </w:tr>
      <w:tr w14:paraId="56718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326C74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07" w:name="_Toc20467"/>
            <w:bookmarkStart w:id="908" w:name="_Toc25008"/>
            <w:bookmarkStart w:id="909" w:name="_Toc3461"/>
            <w:bookmarkStart w:id="910" w:name="_Toc1600"/>
            <w:bookmarkStart w:id="911" w:name="_Toc18304"/>
            <w:bookmarkStart w:id="912" w:name="_Toc1149"/>
            <w:r>
              <w:rPr>
                <w:rFonts w:hint="default" w:ascii="Times New Roman" w:hAnsi="Times New Roman" w:eastAsia="宋体" w:cs="Times New Roman"/>
                <w:color w:val="auto"/>
                <w:kern w:val="2"/>
                <w:sz w:val="21"/>
                <w:szCs w:val="24"/>
                <w:lang w:val="en-US" w:eastAsia="zh-CN" w:bidi="ar-SA"/>
              </w:rPr>
              <w:t>较敏感</w:t>
            </w:r>
            <w:bookmarkEnd w:id="907"/>
            <w:bookmarkEnd w:id="908"/>
            <w:bookmarkEnd w:id="909"/>
            <w:bookmarkEnd w:id="910"/>
            <w:bookmarkEnd w:id="911"/>
            <w:bookmarkEnd w:id="912"/>
          </w:p>
        </w:tc>
        <w:tc>
          <w:tcPr>
            <w:tcW w:w="764" w:type="dxa"/>
            <w:vAlign w:val="center"/>
          </w:tcPr>
          <w:p w14:paraId="591A262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13" w:name="_Toc26656"/>
            <w:bookmarkStart w:id="914" w:name="_Toc20805"/>
            <w:bookmarkStart w:id="915" w:name="_Toc28747"/>
            <w:bookmarkStart w:id="916" w:name="_Toc24915"/>
            <w:bookmarkStart w:id="917" w:name="_Toc10524"/>
            <w:bookmarkStart w:id="918" w:name="_Toc8449"/>
            <w:r>
              <w:rPr>
                <w:rFonts w:hint="default" w:ascii="Times New Roman" w:hAnsi="Times New Roman" w:eastAsia="宋体" w:cs="Times New Roman"/>
                <w:color w:val="auto"/>
                <w:kern w:val="2"/>
                <w:sz w:val="21"/>
                <w:szCs w:val="24"/>
                <w:lang w:val="en-US" w:eastAsia="zh-CN" w:bidi="ar-SA"/>
              </w:rPr>
              <w:t>一级</w:t>
            </w:r>
            <w:bookmarkEnd w:id="913"/>
            <w:bookmarkEnd w:id="914"/>
            <w:bookmarkEnd w:id="915"/>
            <w:bookmarkEnd w:id="916"/>
            <w:bookmarkEnd w:id="917"/>
            <w:bookmarkEnd w:id="918"/>
          </w:p>
        </w:tc>
        <w:tc>
          <w:tcPr>
            <w:tcW w:w="763" w:type="dxa"/>
            <w:vAlign w:val="center"/>
          </w:tcPr>
          <w:p w14:paraId="114664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19" w:name="_Toc20906"/>
            <w:bookmarkStart w:id="920" w:name="_Toc8050"/>
            <w:bookmarkStart w:id="921" w:name="_Toc26149"/>
            <w:bookmarkStart w:id="922" w:name="_Toc29238"/>
            <w:bookmarkStart w:id="923" w:name="_Toc25956"/>
            <w:bookmarkStart w:id="924" w:name="_Toc18376"/>
            <w:r>
              <w:rPr>
                <w:rFonts w:hint="default" w:ascii="Times New Roman" w:hAnsi="Times New Roman" w:eastAsia="宋体" w:cs="Times New Roman"/>
                <w:color w:val="auto"/>
                <w:kern w:val="2"/>
                <w:sz w:val="21"/>
                <w:szCs w:val="24"/>
                <w:lang w:val="en-US" w:eastAsia="zh-CN" w:bidi="ar-SA"/>
              </w:rPr>
              <w:t>一级</w:t>
            </w:r>
            <w:bookmarkEnd w:id="919"/>
            <w:bookmarkEnd w:id="920"/>
            <w:bookmarkEnd w:id="921"/>
            <w:bookmarkEnd w:id="922"/>
            <w:bookmarkEnd w:id="923"/>
            <w:bookmarkEnd w:id="924"/>
          </w:p>
        </w:tc>
        <w:tc>
          <w:tcPr>
            <w:tcW w:w="737" w:type="dxa"/>
            <w:vAlign w:val="center"/>
          </w:tcPr>
          <w:p w14:paraId="29D583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25" w:name="_Toc23973"/>
            <w:bookmarkStart w:id="926" w:name="_Toc3685"/>
            <w:bookmarkStart w:id="927" w:name="_Toc30055"/>
            <w:bookmarkStart w:id="928" w:name="_Toc26455"/>
            <w:bookmarkStart w:id="929" w:name="_Toc27017"/>
            <w:bookmarkStart w:id="930" w:name="_Toc14295"/>
            <w:r>
              <w:rPr>
                <w:rFonts w:hint="default" w:ascii="Times New Roman" w:hAnsi="Times New Roman" w:eastAsia="宋体" w:cs="Times New Roman"/>
                <w:color w:val="auto"/>
                <w:kern w:val="2"/>
                <w:sz w:val="21"/>
                <w:szCs w:val="24"/>
                <w:lang w:val="en-US" w:eastAsia="zh-CN" w:bidi="ar-SA"/>
              </w:rPr>
              <w:t>二级</w:t>
            </w:r>
            <w:bookmarkEnd w:id="925"/>
            <w:bookmarkEnd w:id="926"/>
            <w:bookmarkEnd w:id="927"/>
            <w:bookmarkEnd w:id="928"/>
            <w:bookmarkEnd w:id="929"/>
            <w:bookmarkEnd w:id="930"/>
          </w:p>
        </w:tc>
        <w:tc>
          <w:tcPr>
            <w:tcW w:w="722" w:type="dxa"/>
            <w:vAlign w:val="center"/>
          </w:tcPr>
          <w:p w14:paraId="68F265F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31" w:name="_Toc5789"/>
            <w:bookmarkStart w:id="932" w:name="_Toc9801"/>
            <w:bookmarkStart w:id="933" w:name="_Toc4108"/>
            <w:bookmarkStart w:id="934" w:name="_Toc32315"/>
            <w:bookmarkStart w:id="935" w:name="_Toc25160"/>
            <w:bookmarkStart w:id="936" w:name="_Toc900"/>
            <w:r>
              <w:rPr>
                <w:rFonts w:hint="default" w:ascii="Times New Roman" w:hAnsi="Times New Roman" w:eastAsia="宋体" w:cs="Times New Roman"/>
                <w:color w:val="auto"/>
                <w:kern w:val="2"/>
                <w:sz w:val="21"/>
                <w:szCs w:val="24"/>
                <w:lang w:val="en-US" w:eastAsia="zh-CN" w:bidi="ar-SA"/>
              </w:rPr>
              <w:t>二级</w:t>
            </w:r>
            <w:bookmarkEnd w:id="931"/>
            <w:bookmarkEnd w:id="932"/>
            <w:bookmarkEnd w:id="933"/>
            <w:bookmarkEnd w:id="934"/>
            <w:bookmarkEnd w:id="935"/>
            <w:bookmarkEnd w:id="936"/>
          </w:p>
        </w:tc>
        <w:tc>
          <w:tcPr>
            <w:tcW w:w="750" w:type="dxa"/>
            <w:vAlign w:val="center"/>
          </w:tcPr>
          <w:p w14:paraId="52A3E7A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37" w:name="_Toc15371"/>
            <w:bookmarkStart w:id="938" w:name="_Toc85"/>
            <w:bookmarkStart w:id="939" w:name="_Toc23526"/>
            <w:bookmarkStart w:id="940" w:name="_Toc2403"/>
            <w:bookmarkStart w:id="941" w:name="_Toc25298"/>
            <w:bookmarkStart w:id="942" w:name="_Toc68"/>
            <w:r>
              <w:rPr>
                <w:rFonts w:hint="default" w:ascii="Times New Roman" w:hAnsi="Times New Roman" w:eastAsia="宋体" w:cs="Times New Roman"/>
                <w:color w:val="auto"/>
                <w:kern w:val="2"/>
                <w:sz w:val="21"/>
                <w:szCs w:val="24"/>
                <w:lang w:val="en-US" w:eastAsia="zh-CN" w:bidi="ar-SA"/>
              </w:rPr>
              <w:t>二级</w:t>
            </w:r>
            <w:bookmarkEnd w:id="937"/>
            <w:bookmarkEnd w:id="938"/>
            <w:bookmarkEnd w:id="939"/>
            <w:bookmarkEnd w:id="940"/>
            <w:bookmarkEnd w:id="941"/>
            <w:bookmarkEnd w:id="942"/>
          </w:p>
        </w:tc>
        <w:tc>
          <w:tcPr>
            <w:tcW w:w="641" w:type="dxa"/>
            <w:vAlign w:val="center"/>
          </w:tcPr>
          <w:p w14:paraId="29921C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43" w:name="_Toc28160"/>
            <w:bookmarkStart w:id="944" w:name="_Toc2219"/>
            <w:bookmarkStart w:id="945" w:name="_Toc18368"/>
            <w:bookmarkStart w:id="946" w:name="_Toc15208"/>
            <w:bookmarkStart w:id="947" w:name="_Toc31426"/>
            <w:bookmarkStart w:id="948" w:name="_Toc21115"/>
            <w:r>
              <w:rPr>
                <w:rFonts w:hint="default" w:ascii="Times New Roman" w:hAnsi="Times New Roman" w:eastAsia="宋体" w:cs="Times New Roman"/>
                <w:color w:val="auto"/>
                <w:kern w:val="2"/>
                <w:sz w:val="21"/>
                <w:szCs w:val="24"/>
                <w:lang w:val="en-US" w:eastAsia="zh-CN" w:bidi="ar-SA"/>
              </w:rPr>
              <w:t>三级</w:t>
            </w:r>
            <w:bookmarkEnd w:id="943"/>
            <w:bookmarkEnd w:id="944"/>
            <w:bookmarkEnd w:id="945"/>
            <w:bookmarkEnd w:id="946"/>
            <w:bookmarkEnd w:id="947"/>
            <w:bookmarkEnd w:id="948"/>
          </w:p>
        </w:tc>
        <w:tc>
          <w:tcPr>
            <w:tcW w:w="682" w:type="dxa"/>
            <w:vAlign w:val="center"/>
          </w:tcPr>
          <w:p w14:paraId="23AD97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49" w:name="_Toc21700"/>
            <w:bookmarkStart w:id="950" w:name="_Toc22792"/>
            <w:bookmarkStart w:id="951" w:name="_Toc20432"/>
            <w:bookmarkStart w:id="952" w:name="_Toc25480"/>
            <w:bookmarkStart w:id="953" w:name="_Toc29945"/>
            <w:bookmarkStart w:id="954" w:name="_Toc9601"/>
            <w:r>
              <w:rPr>
                <w:rFonts w:hint="default" w:ascii="Times New Roman" w:hAnsi="Times New Roman" w:eastAsia="宋体" w:cs="Times New Roman"/>
                <w:color w:val="auto"/>
                <w:kern w:val="2"/>
                <w:sz w:val="21"/>
                <w:szCs w:val="24"/>
                <w:lang w:val="en-US" w:eastAsia="zh-CN" w:bidi="ar-SA"/>
              </w:rPr>
              <w:t>三级</w:t>
            </w:r>
            <w:bookmarkEnd w:id="949"/>
            <w:bookmarkEnd w:id="950"/>
            <w:bookmarkEnd w:id="951"/>
            <w:bookmarkEnd w:id="952"/>
            <w:bookmarkEnd w:id="953"/>
            <w:bookmarkEnd w:id="954"/>
          </w:p>
        </w:tc>
        <w:tc>
          <w:tcPr>
            <w:tcW w:w="682" w:type="dxa"/>
            <w:vAlign w:val="center"/>
          </w:tcPr>
          <w:p w14:paraId="2DC9E0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55" w:name="_Toc28500"/>
            <w:bookmarkStart w:id="956" w:name="_Toc13848"/>
            <w:bookmarkStart w:id="957" w:name="_Toc9835"/>
            <w:bookmarkStart w:id="958" w:name="_Toc14020"/>
            <w:bookmarkStart w:id="959" w:name="_Toc21907"/>
            <w:bookmarkStart w:id="960" w:name="_Toc30263"/>
            <w:r>
              <w:rPr>
                <w:rFonts w:hint="default" w:ascii="Times New Roman" w:hAnsi="Times New Roman" w:eastAsia="宋体" w:cs="Times New Roman"/>
                <w:color w:val="auto"/>
                <w:kern w:val="2"/>
                <w:sz w:val="21"/>
                <w:szCs w:val="24"/>
                <w:lang w:val="en-US" w:eastAsia="zh-CN" w:bidi="ar-SA"/>
              </w:rPr>
              <w:t>三级</w:t>
            </w:r>
            <w:bookmarkEnd w:id="955"/>
            <w:bookmarkEnd w:id="956"/>
            <w:bookmarkEnd w:id="957"/>
            <w:bookmarkEnd w:id="958"/>
            <w:bookmarkEnd w:id="959"/>
            <w:bookmarkEnd w:id="960"/>
          </w:p>
        </w:tc>
        <w:tc>
          <w:tcPr>
            <w:tcW w:w="652" w:type="dxa"/>
            <w:vAlign w:val="center"/>
          </w:tcPr>
          <w:p w14:paraId="0DD988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61" w:name="_Toc18878"/>
            <w:bookmarkStart w:id="962" w:name="_Toc29810"/>
            <w:bookmarkStart w:id="963" w:name="_Toc13908"/>
            <w:bookmarkStart w:id="964" w:name="_Toc31029"/>
            <w:bookmarkStart w:id="965" w:name="_Toc3379"/>
            <w:bookmarkStart w:id="966" w:name="_Toc5341"/>
            <w:r>
              <w:rPr>
                <w:rFonts w:hint="default" w:ascii="Times New Roman" w:hAnsi="Times New Roman" w:eastAsia="宋体" w:cs="Times New Roman"/>
                <w:color w:val="auto"/>
                <w:kern w:val="2"/>
                <w:sz w:val="21"/>
                <w:szCs w:val="24"/>
                <w:lang w:val="en-US" w:eastAsia="zh-CN" w:bidi="ar-SA"/>
              </w:rPr>
              <w:t>—</w:t>
            </w:r>
            <w:bookmarkEnd w:id="961"/>
            <w:bookmarkEnd w:id="962"/>
            <w:bookmarkEnd w:id="963"/>
            <w:bookmarkEnd w:id="964"/>
            <w:bookmarkEnd w:id="965"/>
            <w:bookmarkEnd w:id="966"/>
          </w:p>
        </w:tc>
      </w:tr>
      <w:tr w14:paraId="39161E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00DC3F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67" w:name="_Toc23739"/>
            <w:bookmarkStart w:id="968" w:name="_Toc1773"/>
            <w:bookmarkStart w:id="969" w:name="_Toc26167"/>
            <w:bookmarkStart w:id="970" w:name="_Toc19535"/>
            <w:bookmarkStart w:id="971" w:name="_Toc22114"/>
            <w:bookmarkStart w:id="972" w:name="_Toc15282"/>
            <w:r>
              <w:rPr>
                <w:rFonts w:hint="default" w:ascii="Times New Roman" w:hAnsi="Times New Roman" w:eastAsia="宋体" w:cs="Times New Roman"/>
                <w:color w:val="auto"/>
                <w:kern w:val="2"/>
                <w:sz w:val="21"/>
                <w:szCs w:val="24"/>
                <w:lang w:val="en-US" w:eastAsia="zh-CN" w:bidi="ar-SA"/>
              </w:rPr>
              <w:t>不敏感</w:t>
            </w:r>
            <w:bookmarkEnd w:id="967"/>
            <w:bookmarkEnd w:id="968"/>
            <w:bookmarkEnd w:id="969"/>
            <w:bookmarkEnd w:id="970"/>
            <w:bookmarkEnd w:id="971"/>
            <w:bookmarkEnd w:id="972"/>
          </w:p>
        </w:tc>
        <w:tc>
          <w:tcPr>
            <w:tcW w:w="764" w:type="dxa"/>
            <w:vAlign w:val="center"/>
          </w:tcPr>
          <w:p w14:paraId="17B346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73" w:name="_Toc2411"/>
            <w:bookmarkStart w:id="974" w:name="_Toc20363"/>
            <w:bookmarkStart w:id="975" w:name="_Toc27560"/>
            <w:bookmarkStart w:id="976" w:name="_Toc5398"/>
            <w:bookmarkStart w:id="977" w:name="_Toc29744"/>
            <w:bookmarkStart w:id="978" w:name="_Toc28519"/>
            <w:r>
              <w:rPr>
                <w:rFonts w:hint="default" w:ascii="Times New Roman" w:hAnsi="Times New Roman" w:eastAsia="宋体" w:cs="Times New Roman"/>
                <w:color w:val="auto"/>
                <w:kern w:val="2"/>
                <w:sz w:val="21"/>
                <w:szCs w:val="24"/>
                <w:lang w:val="en-US" w:eastAsia="zh-CN" w:bidi="ar-SA"/>
              </w:rPr>
              <w:t>一级</w:t>
            </w:r>
            <w:bookmarkEnd w:id="973"/>
            <w:bookmarkEnd w:id="974"/>
            <w:bookmarkEnd w:id="975"/>
            <w:bookmarkEnd w:id="976"/>
            <w:bookmarkEnd w:id="977"/>
            <w:bookmarkEnd w:id="978"/>
          </w:p>
        </w:tc>
        <w:tc>
          <w:tcPr>
            <w:tcW w:w="763" w:type="dxa"/>
            <w:vAlign w:val="center"/>
          </w:tcPr>
          <w:p w14:paraId="3334E3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79" w:name="_Toc3525"/>
            <w:bookmarkStart w:id="980" w:name="_Toc29815"/>
            <w:bookmarkStart w:id="981" w:name="_Toc19949"/>
            <w:bookmarkStart w:id="982" w:name="_Toc22740"/>
            <w:bookmarkStart w:id="983" w:name="_Toc8305"/>
            <w:bookmarkStart w:id="984" w:name="_Toc2946"/>
            <w:r>
              <w:rPr>
                <w:rFonts w:hint="default" w:ascii="Times New Roman" w:hAnsi="Times New Roman" w:eastAsia="宋体" w:cs="Times New Roman"/>
                <w:color w:val="auto"/>
                <w:kern w:val="2"/>
                <w:sz w:val="21"/>
                <w:szCs w:val="24"/>
                <w:lang w:val="en-US" w:eastAsia="zh-CN" w:bidi="ar-SA"/>
              </w:rPr>
              <w:t>二级</w:t>
            </w:r>
            <w:bookmarkEnd w:id="979"/>
            <w:bookmarkEnd w:id="980"/>
            <w:bookmarkEnd w:id="981"/>
            <w:bookmarkEnd w:id="982"/>
            <w:bookmarkEnd w:id="983"/>
            <w:bookmarkEnd w:id="984"/>
          </w:p>
        </w:tc>
        <w:tc>
          <w:tcPr>
            <w:tcW w:w="737" w:type="dxa"/>
            <w:vAlign w:val="center"/>
          </w:tcPr>
          <w:p w14:paraId="49240F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85" w:name="_Toc4919"/>
            <w:bookmarkStart w:id="986" w:name="_Toc28583"/>
            <w:bookmarkStart w:id="987" w:name="_Toc500"/>
            <w:bookmarkStart w:id="988" w:name="_Toc30065"/>
            <w:bookmarkStart w:id="989" w:name="_Toc17882"/>
            <w:bookmarkStart w:id="990" w:name="_Toc29516"/>
            <w:r>
              <w:rPr>
                <w:rFonts w:hint="default" w:ascii="Times New Roman" w:hAnsi="Times New Roman" w:eastAsia="宋体" w:cs="Times New Roman"/>
                <w:color w:val="auto"/>
                <w:kern w:val="2"/>
                <w:sz w:val="21"/>
                <w:szCs w:val="24"/>
                <w:lang w:val="en-US" w:eastAsia="zh-CN" w:bidi="ar-SA"/>
              </w:rPr>
              <w:t>二级</w:t>
            </w:r>
            <w:bookmarkEnd w:id="985"/>
            <w:bookmarkEnd w:id="986"/>
            <w:bookmarkEnd w:id="987"/>
            <w:bookmarkEnd w:id="988"/>
            <w:bookmarkEnd w:id="989"/>
            <w:bookmarkEnd w:id="990"/>
          </w:p>
        </w:tc>
        <w:tc>
          <w:tcPr>
            <w:tcW w:w="722" w:type="dxa"/>
            <w:vAlign w:val="center"/>
          </w:tcPr>
          <w:p w14:paraId="3FF6A9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91" w:name="_Toc6234"/>
            <w:bookmarkStart w:id="992" w:name="_Toc3171"/>
            <w:bookmarkStart w:id="993" w:name="_Toc6648"/>
            <w:bookmarkStart w:id="994" w:name="_Toc812"/>
            <w:bookmarkStart w:id="995" w:name="_Toc18958"/>
            <w:bookmarkStart w:id="996" w:name="_Toc20982"/>
            <w:r>
              <w:rPr>
                <w:rFonts w:hint="default" w:ascii="Times New Roman" w:hAnsi="Times New Roman" w:eastAsia="宋体" w:cs="Times New Roman"/>
                <w:color w:val="auto"/>
                <w:kern w:val="2"/>
                <w:sz w:val="21"/>
                <w:szCs w:val="24"/>
                <w:lang w:val="en-US" w:eastAsia="zh-CN" w:bidi="ar-SA"/>
              </w:rPr>
              <w:t>二级</w:t>
            </w:r>
            <w:bookmarkEnd w:id="991"/>
            <w:bookmarkEnd w:id="992"/>
            <w:bookmarkEnd w:id="993"/>
            <w:bookmarkEnd w:id="994"/>
            <w:bookmarkEnd w:id="995"/>
            <w:bookmarkEnd w:id="996"/>
          </w:p>
        </w:tc>
        <w:tc>
          <w:tcPr>
            <w:tcW w:w="750" w:type="dxa"/>
            <w:vAlign w:val="center"/>
          </w:tcPr>
          <w:p w14:paraId="2D77E2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997" w:name="_Toc19249"/>
            <w:bookmarkStart w:id="998" w:name="_Toc12023"/>
            <w:bookmarkStart w:id="999" w:name="_Toc31120"/>
            <w:bookmarkStart w:id="1000" w:name="_Toc16446"/>
            <w:bookmarkStart w:id="1001" w:name="_Toc14687"/>
            <w:bookmarkStart w:id="1002" w:name="_Toc31826"/>
            <w:r>
              <w:rPr>
                <w:rFonts w:hint="default" w:ascii="Times New Roman" w:hAnsi="Times New Roman" w:eastAsia="宋体" w:cs="Times New Roman"/>
                <w:color w:val="auto"/>
                <w:kern w:val="2"/>
                <w:sz w:val="21"/>
                <w:szCs w:val="24"/>
                <w:lang w:val="en-US" w:eastAsia="zh-CN" w:bidi="ar-SA"/>
              </w:rPr>
              <w:t>三级</w:t>
            </w:r>
            <w:bookmarkEnd w:id="997"/>
            <w:bookmarkEnd w:id="998"/>
            <w:bookmarkEnd w:id="999"/>
            <w:bookmarkEnd w:id="1000"/>
            <w:bookmarkEnd w:id="1001"/>
            <w:bookmarkEnd w:id="1002"/>
          </w:p>
        </w:tc>
        <w:tc>
          <w:tcPr>
            <w:tcW w:w="641" w:type="dxa"/>
            <w:vAlign w:val="center"/>
          </w:tcPr>
          <w:p w14:paraId="3E3ADA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1003" w:name="_Toc14467"/>
            <w:bookmarkStart w:id="1004" w:name="_Toc4867"/>
            <w:bookmarkStart w:id="1005" w:name="_Toc25939"/>
            <w:bookmarkStart w:id="1006" w:name="_Toc1824"/>
            <w:bookmarkStart w:id="1007" w:name="_Toc23820"/>
            <w:bookmarkStart w:id="1008" w:name="_Toc18678"/>
            <w:r>
              <w:rPr>
                <w:rFonts w:hint="default" w:ascii="Times New Roman" w:hAnsi="Times New Roman" w:eastAsia="宋体" w:cs="Times New Roman"/>
                <w:color w:val="auto"/>
                <w:kern w:val="2"/>
                <w:sz w:val="21"/>
                <w:szCs w:val="24"/>
                <w:lang w:val="en-US" w:eastAsia="zh-CN" w:bidi="ar-SA"/>
              </w:rPr>
              <w:t>三级</w:t>
            </w:r>
            <w:bookmarkEnd w:id="1003"/>
            <w:bookmarkEnd w:id="1004"/>
            <w:bookmarkEnd w:id="1005"/>
            <w:bookmarkEnd w:id="1006"/>
            <w:bookmarkEnd w:id="1007"/>
            <w:bookmarkEnd w:id="1008"/>
          </w:p>
        </w:tc>
        <w:tc>
          <w:tcPr>
            <w:tcW w:w="682" w:type="dxa"/>
            <w:vAlign w:val="center"/>
          </w:tcPr>
          <w:p w14:paraId="50E47A7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1009" w:name="_Toc14249"/>
            <w:bookmarkStart w:id="1010" w:name="_Toc60"/>
            <w:bookmarkStart w:id="1011" w:name="_Toc20963"/>
            <w:bookmarkStart w:id="1012" w:name="_Toc19734"/>
            <w:bookmarkStart w:id="1013" w:name="_Toc25250"/>
            <w:bookmarkStart w:id="1014" w:name="_Toc24925"/>
            <w:r>
              <w:rPr>
                <w:rFonts w:hint="default" w:ascii="Times New Roman" w:hAnsi="Times New Roman" w:eastAsia="宋体" w:cs="Times New Roman"/>
                <w:color w:val="auto"/>
                <w:kern w:val="2"/>
                <w:sz w:val="21"/>
                <w:szCs w:val="24"/>
                <w:lang w:val="en-US" w:eastAsia="zh-CN" w:bidi="ar-SA"/>
              </w:rPr>
              <w:t>三级</w:t>
            </w:r>
            <w:bookmarkEnd w:id="1009"/>
            <w:bookmarkEnd w:id="1010"/>
            <w:bookmarkEnd w:id="1011"/>
            <w:bookmarkEnd w:id="1012"/>
            <w:bookmarkEnd w:id="1013"/>
            <w:bookmarkEnd w:id="1014"/>
          </w:p>
        </w:tc>
        <w:tc>
          <w:tcPr>
            <w:tcW w:w="682" w:type="dxa"/>
            <w:vAlign w:val="center"/>
          </w:tcPr>
          <w:p w14:paraId="0FF926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1015" w:name="_Toc11892"/>
            <w:bookmarkStart w:id="1016" w:name="_Toc21784"/>
            <w:bookmarkStart w:id="1017" w:name="_Toc433"/>
            <w:bookmarkStart w:id="1018" w:name="_Toc4763"/>
            <w:bookmarkStart w:id="1019" w:name="_Toc19667"/>
            <w:bookmarkStart w:id="1020" w:name="_Toc31255"/>
            <w:r>
              <w:rPr>
                <w:rFonts w:hint="default" w:ascii="Times New Roman" w:hAnsi="Times New Roman" w:eastAsia="宋体" w:cs="Times New Roman"/>
                <w:color w:val="auto"/>
                <w:kern w:val="2"/>
                <w:sz w:val="21"/>
                <w:szCs w:val="24"/>
                <w:lang w:val="en-US" w:eastAsia="zh-CN" w:bidi="ar-SA"/>
              </w:rPr>
              <w:t>—</w:t>
            </w:r>
            <w:bookmarkEnd w:id="1015"/>
            <w:bookmarkEnd w:id="1016"/>
            <w:bookmarkEnd w:id="1017"/>
            <w:bookmarkEnd w:id="1018"/>
            <w:bookmarkEnd w:id="1019"/>
            <w:bookmarkEnd w:id="1020"/>
          </w:p>
        </w:tc>
        <w:tc>
          <w:tcPr>
            <w:tcW w:w="652" w:type="dxa"/>
            <w:vAlign w:val="center"/>
          </w:tcPr>
          <w:p w14:paraId="03725B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1021" w:name="_Toc29692"/>
            <w:bookmarkStart w:id="1022" w:name="_Toc120"/>
            <w:bookmarkStart w:id="1023" w:name="_Toc24078"/>
            <w:bookmarkStart w:id="1024" w:name="_Toc23617"/>
            <w:bookmarkStart w:id="1025" w:name="_Toc28563"/>
            <w:bookmarkStart w:id="1026" w:name="_Toc28275"/>
            <w:r>
              <w:rPr>
                <w:rFonts w:hint="default" w:ascii="Times New Roman" w:hAnsi="Times New Roman" w:eastAsia="宋体" w:cs="Times New Roman"/>
                <w:color w:val="auto"/>
                <w:kern w:val="2"/>
                <w:sz w:val="21"/>
                <w:szCs w:val="24"/>
                <w:lang w:val="en-US" w:eastAsia="zh-CN" w:bidi="ar-SA"/>
              </w:rPr>
              <w:t>—</w:t>
            </w:r>
            <w:bookmarkEnd w:id="1021"/>
            <w:bookmarkEnd w:id="1022"/>
            <w:bookmarkEnd w:id="1023"/>
            <w:bookmarkEnd w:id="1024"/>
            <w:bookmarkEnd w:id="1025"/>
            <w:bookmarkEnd w:id="1026"/>
          </w:p>
        </w:tc>
      </w:tr>
      <w:tr w14:paraId="7914E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10"/>
            <w:vAlign w:val="center"/>
          </w:tcPr>
          <w:p w14:paraId="581CA4F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kern w:val="2"/>
                <w:sz w:val="21"/>
                <w:szCs w:val="24"/>
                <w:lang w:val="en-US" w:eastAsia="zh-CN" w:bidi="ar-SA"/>
              </w:rPr>
            </w:pPr>
            <w:bookmarkStart w:id="1027" w:name="_Toc10176"/>
            <w:bookmarkStart w:id="1028" w:name="_Toc17895"/>
            <w:bookmarkStart w:id="1029" w:name="_Toc29990"/>
            <w:bookmarkStart w:id="1030" w:name="_Toc6828"/>
            <w:bookmarkStart w:id="1031" w:name="_Toc28192"/>
            <w:bookmarkStart w:id="1032" w:name="_Toc4195"/>
            <w:r>
              <w:rPr>
                <w:rFonts w:hint="default" w:ascii="Times New Roman" w:hAnsi="Times New Roman" w:eastAsia="宋体" w:cs="Times New Roman"/>
                <w:color w:val="auto"/>
                <w:kern w:val="2"/>
                <w:sz w:val="21"/>
                <w:szCs w:val="24"/>
                <w:lang w:val="en-US" w:eastAsia="zh-CN" w:bidi="ar-SA"/>
              </w:rPr>
              <w:t>注：“—”表示可不开展土壤环境影响评价工作</w:t>
            </w:r>
            <w:bookmarkEnd w:id="1027"/>
            <w:bookmarkEnd w:id="1028"/>
            <w:bookmarkEnd w:id="1029"/>
            <w:bookmarkEnd w:id="1030"/>
            <w:bookmarkEnd w:id="1031"/>
            <w:bookmarkEnd w:id="1032"/>
          </w:p>
        </w:tc>
      </w:tr>
    </w:tbl>
    <w:p w14:paraId="47154A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根据上表分析，IV 类项目评价工作等级划分中，因此，IV 类项目可不开展土壤环境影响评价。</w:t>
      </w:r>
    </w:p>
    <w:p w14:paraId="4B4739A1">
      <w:pPr>
        <w:pStyle w:val="6"/>
        <w:bidi w:val="0"/>
        <w:rPr>
          <w:rFonts w:hint="default" w:ascii="Times New Roman" w:hAnsi="Times New Roman" w:eastAsia="宋体" w:cs="Times New Roman"/>
          <w:color w:val="auto"/>
          <w:lang w:val="en-US" w:eastAsia="zh-CN"/>
        </w:rPr>
      </w:pPr>
      <w:bookmarkStart w:id="1033" w:name="_Toc7497"/>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7</w:t>
      </w:r>
      <w:r>
        <w:rPr>
          <w:rFonts w:hint="default" w:ascii="Times New Roman" w:hAnsi="Times New Roman" w:eastAsia="宋体" w:cs="Times New Roman"/>
          <w:color w:val="auto"/>
          <w:lang w:val="en-US" w:eastAsia="zh-CN"/>
        </w:rPr>
        <w:t xml:space="preserve"> 评价范围</w:t>
      </w:r>
      <w:bookmarkEnd w:id="1033"/>
    </w:p>
    <w:p w14:paraId="7AB22E35">
      <w:pPr>
        <w:pStyle w:val="7"/>
        <w:bidi w:val="0"/>
        <w:rPr>
          <w:rFonts w:hint="default" w:ascii="Times New Roman" w:hAnsi="Times New Roman" w:eastAsia="宋体" w:cs="Times New Roman"/>
          <w:color w:val="auto"/>
          <w:lang w:val="en-US" w:eastAsia="zh-CN"/>
        </w:rPr>
      </w:pPr>
      <w:bookmarkStart w:id="1034" w:name="_Toc32571"/>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.1环境空气评价范围</w:t>
      </w:r>
      <w:bookmarkEnd w:id="1034"/>
    </w:p>
    <w:p w14:paraId="6C7486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根据《环境影响评价技术导则-大气环境》（HJ/2.2-2018）三级评价工作等级，项目可不设置大气环境影响评价范围。</w:t>
      </w:r>
    </w:p>
    <w:p w14:paraId="5FE69AC8">
      <w:pPr>
        <w:pStyle w:val="7"/>
        <w:bidi w:val="0"/>
        <w:rPr>
          <w:rFonts w:hint="default" w:ascii="Times New Roman" w:hAnsi="Times New Roman" w:eastAsia="宋体" w:cs="Times New Roman"/>
          <w:color w:val="auto"/>
          <w:lang w:val="en-US" w:eastAsia="zh-CN"/>
        </w:rPr>
      </w:pPr>
      <w:bookmarkStart w:id="1035" w:name="_Toc31621"/>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.2 地表水环境影响评价范围</w:t>
      </w:r>
      <w:bookmarkEnd w:id="1035"/>
      <w:r>
        <w:rPr>
          <w:rFonts w:hint="default" w:ascii="Times New Roman" w:hAnsi="Times New Roman" w:eastAsia="宋体" w:cs="Times New Roman"/>
          <w:color w:val="auto"/>
          <w:lang w:val="en-US" w:eastAsia="zh-CN"/>
        </w:rPr>
        <w:t xml:space="preserve"> </w:t>
      </w:r>
    </w:p>
    <w:p w14:paraId="59D25F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项目实施后，项目废水经污水处理站处理后达到《医疗机构水污染物排放标准》（GB18466-2005）中预处理标准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及《污水排入城镇下水道水质标准》（GB/T31962-2015）表（1）标准后</w:t>
      </w:r>
      <w:r>
        <w:rPr>
          <w:rFonts w:hint="default" w:ascii="Times New Roman" w:hAnsi="Times New Roman" w:eastAsia="宋体" w:cs="Times New Roman"/>
          <w:color w:val="auto"/>
          <w:sz w:val="24"/>
          <w:szCs w:val="24"/>
          <w:lang w:val="en-US" w:eastAsia="zh-CN"/>
        </w:rPr>
        <w:t>排市政污水管网，最终汇入大英县城市生活污水处理厂处理，项目废水排放方式为间接排放，根据《环境影响评价技术导则 地表水环境》（HJ2.3-2018）三级B评价要求，本项目不需要确定地表水评价范围，只需进行污水处理依托可行性分析。</w:t>
      </w:r>
    </w:p>
    <w:p w14:paraId="1A96B05C">
      <w:pPr>
        <w:pStyle w:val="7"/>
        <w:bidi w:val="0"/>
        <w:rPr>
          <w:rFonts w:hint="default" w:ascii="Times New Roman" w:hAnsi="Times New Roman" w:eastAsia="宋体" w:cs="Times New Roman"/>
          <w:color w:val="auto"/>
          <w:lang w:val="en-US" w:eastAsia="zh-CN"/>
        </w:rPr>
      </w:pPr>
      <w:bookmarkStart w:id="1036" w:name="_Toc19637"/>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.3地下水环境影响评价范围</w:t>
      </w:r>
      <w:bookmarkEnd w:id="1036"/>
      <w:r>
        <w:rPr>
          <w:rFonts w:hint="default" w:ascii="Times New Roman" w:hAnsi="Times New Roman" w:eastAsia="宋体" w:cs="Times New Roman"/>
          <w:color w:val="auto"/>
          <w:lang w:val="en-US" w:eastAsia="zh-CN"/>
        </w:rPr>
        <w:t xml:space="preserve"> </w:t>
      </w:r>
    </w:p>
    <w:p w14:paraId="0CEAAE85">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地下水环境》（HJ610-2016）附录A，本项目评价工作等级为三级，</w:t>
      </w:r>
      <w:r>
        <w:rPr>
          <w:rFonts w:hint="default" w:ascii="Times New Roman" w:hAnsi="Times New Roman" w:eastAsia="宋体" w:cs="Times New Roman"/>
          <w:color w:val="auto"/>
          <w:sz w:val="24"/>
          <w:szCs w:val="24"/>
        </w:rPr>
        <w:t>地下水环境现状调查评价范围</w:t>
      </w:r>
      <w:r>
        <w:rPr>
          <w:rFonts w:hint="default" w:ascii="Times New Roman" w:hAnsi="Times New Roman" w:eastAsia="宋体" w:cs="Times New Roman"/>
          <w:color w:val="auto"/>
          <w:sz w:val="24"/>
          <w:szCs w:val="24"/>
          <w:lang w:val="en-US" w:eastAsia="zh-CN"/>
        </w:rPr>
        <w:t>小于等于6km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。根据现场调查及评价区水文地质条件，选取自定义法确定本项目地下水环境影响评价调查范围。本次以北部山脊线分水岭为边界，南部以郪江为界。据测算，项目评价范围面积为0.2km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5278DBE5">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4116070" cy="5149215"/>
            <wp:effectExtent l="0" t="0" r="17780" b="13335"/>
            <wp:docPr id="7" name="图片 7" descr="8a2b1939ab135342b30804911850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2b1939ab135342b308049118508f1"/>
                    <pic:cNvPicPr>
                      <a:picLocks noChangeAspect="1"/>
                    </pic:cNvPicPr>
                  </pic:nvPicPr>
                  <pic:blipFill>
                    <a:blip r:embed="rId13"/>
                    <a:stretch>
                      <a:fillRect/>
                    </a:stretch>
                  </pic:blipFill>
                  <pic:spPr>
                    <a:xfrm>
                      <a:off x="0" y="0"/>
                      <a:ext cx="4116070" cy="5149215"/>
                    </a:xfrm>
                    <a:prstGeom prst="rect">
                      <a:avLst/>
                    </a:prstGeom>
                  </pic:spPr>
                </pic:pic>
              </a:graphicData>
            </a:graphic>
          </wp:inline>
        </w:drawing>
      </w:r>
    </w:p>
    <w:p w14:paraId="18095DB2">
      <w:pPr>
        <w:keepNext w:val="0"/>
        <w:keepLines w:val="0"/>
        <w:pageBreakBefore w:val="0"/>
        <w:widowControl w:val="0"/>
        <w:kinsoku/>
        <w:wordWrap/>
        <w:overflowPunct/>
        <w:topLinePunct w:val="0"/>
        <w:autoSpaceDE/>
        <w:autoSpaceDN/>
        <w:bidi w:val="0"/>
        <w:adjustRightInd/>
        <w:snapToGrid/>
        <w:spacing w:beforeLines="0" w:afterLines="0"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-1  地下水评价范围图</w:t>
      </w:r>
    </w:p>
    <w:p w14:paraId="26485388">
      <w:pPr>
        <w:pStyle w:val="7"/>
        <w:bidi w:val="0"/>
        <w:rPr>
          <w:rFonts w:hint="default" w:ascii="Times New Roman" w:hAnsi="Times New Roman" w:eastAsia="宋体" w:cs="Times New Roman"/>
          <w:color w:val="auto"/>
          <w:lang w:val="en-US" w:eastAsia="zh-CN"/>
        </w:rPr>
      </w:pPr>
      <w:bookmarkStart w:id="1037" w:name="_Toc16810"/>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.4 声环境评价范围</w:t>
      </w:r>
      <w:bookmarkEnd w:id="1037"/>
      <w:r>
        <w:rPr>
          <w:rFonts w:hint="default" w:ascii="Times New Roman" w:hAnsi="Times New Roman" w:eastAsia="宋体" w:cs="Times New Roman"/>
          <w:color w:val="auto"/>
          <w:lang w:val="en-US" w:eastAsia="zh-CN"/>
        </w:rPr>
        <w:t xml:space="preserve"> </w:t>
      </w:r>
    </w:p>
    <w:p w14:paraId="0CC66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按照《环境影响评价技术导则声环境》（HJ2.4-2021）的规定，该项目噪声评价范围为项目厂界界外200m范围内，并适当兼顾声环境保护目标。</w:t>
      </w:r>
    </w:p>
    <w:p w14:paraId="41D0E7CD">
      <w:pPr>
        <w:pStyle w:val="7"/>
        <w:bidi w:val="0"/>
        <w:rPr>
          <w:rFonts w:hint="default" w:ascii="Times New Roman" w:hAnsi="Times New Roman" w:eastAsia="宋体" w:cs="Times New Roman"/>
          <w:color w:val="auto"/>
          <w:lang w:val="en-US" w:eastAsia="zh-CN"/>
        </w:rPr>
      </w:pPr>
      <w:bookmarkStart w:id="1038" w:name="_Toc14641"/>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.5土壤环境评价范围</w:t>
      </w:r>
      <w:bookmarkEnd w:id="1038"/>
    </w:p>
    <w:p w14:paraId="4AB4DF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根据《环境影响评价技术导则一土壤环境（试行）》（HJ964-2018）中附录A 土壤环境影响评价项目类别，本项目为社会事业与服务业中的“其他”行业，属于Ⅳ类项目。根据导则要求：Ⅳ类建设项目可不开展土壤环境影响评价。因此，本项目不设土壤评价范围。</w:t>
      </w:r>
    </w:p>
    <w:p w14:paraId="663CA4F5">
      <w:pPr>
        <w:pStyle w:val="7"/>
        <w:bidi w:val="0"/>
        <w:rPr>
          <w:rFonts w:hint="default" w:ascii="Times New Roman" w:hAnsi="Times New Roman" w:eastAsia="宋体" w:cs="Times New Roman"/>
          <w:color w:val="auto"/>
          <w:lang w:val="en-US" w:eastAsia="zh-CN"/>
        </w:rPr>
      </w:pPr>
      <w:bookmarkStart w:id="1039" w:name="_Toc24472"/>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.6生态环境评价范围</w:t>
      </w:r>
      <w:bookmarkEnd w:id="1039"/>
      <w:r>
        <w:rPr>
          <w:rFonts w:hint="default" w:ascii="Times New Roman" w:hAnsi="Times New Roman" w:eastAsia="宋体" w:cs="Times New Roman"/>
          <w:color w:val="auto"/>
          <w:lang w:val="en-US" w:eastAsia="zh-CN"/>
        </w:rPr>
        <w:t xml:space="preserve"> </w:t>
      </w:r>
    </w:p>
    <w:p w14:paraId="26A60F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项目位于大英县文旅产业园区，所在区域为一般区域，不涉及国家公园、自然保护区、世界自然遗产、重要生境，不涉及生态保护红线及自然公园，本工程占地面积0.07km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，小于20 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 根据《环境影响评价技术导则生态影响》（HJ19-2022），本项目的生态环境影响评价等级为三级。本项目生态环境影响主要为施工占地产生的水土流失，但影响程度有限。因此，生态环境影响评价范围确定为项目占地范围内。</w:t>
      </w:r>
    </w:p>
    <w:p w14:paraId="22311232">
      <w:pPr>
        <w:pStyle w:val="7"/>
        <w:bidi w:val="0"/>
        <w:rPr>
          <w:rFonts w:hint="default" w:ascii="Times New Roman" w:hAnsi="Times New Roman" w:eastAsia="宋体" w:cs="Times New Roman"/>
          <w:color w:val="auto"/>
          <w:lang w:val="en-US" w:eastAsia="zh-CN"/>
        </w:rPr>
      </w:pPr>
      <w:bookmarkStart w:id="1040" w:name="_Toc19796"/>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.7风险环境评价范围</w:t>
      </w:r>
      <w:bookmarkEnd w:id="1040"/>
      <w:r>
        <w:rPr>
          <w:rFonts w:hint="default" w:ascii="Times New Roman" w:hAnsi="Times New Roman" w:eastAsia="宋体" w:cs="Times New Roman"/>
          <w:color w:val="auto"/>
          <w:lang w:val="en-US" w:eastAsia="zh-CN"/>
        </w:rPr>
        <w:t xml:space="preserve"> </w:t>
      </w:r>
    </w:p>
    <w:p w14:paraId="5C23FA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根据《建设项目环境风险评价技术导则》（HJ/T169-2018）表 2 划分标准，拟建项目环境风险潜势为Ⅰ，不设定环境风险评价等级，只需进行简单分析，不设置环境风险评价范围。</w:t>
      </w:r>
    </w:p>
    <w:p w14:paraId="6F99F042">
      <w:pPr>
        <w:pStyle w:val="6"/>
        <w:bidi w:val="0"/>
        <w:rPr>
          <w:rFonts w:hint="default" w:ascii="Times New Roman" w:hAnsi="Times New Roman" w:eastAsia="宋体" w:cs="Times New Roman"/>
          <w:color w:val="auto"/>
        </w:rPr>
      </w:pPr>
      <w:bookmarkStart w:id="1041" w:name="_Toc26125"/>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8</w:t>
      </w:r>
      <w:r>
        <w:rPr>
          <w:rFonts w:hint="default" w:ascii="Times New Roman" w:hAnsi="Times New Roman" w:eastAsia="宋体" w:cs="Times New Roman"/>
          <w:color w:val="auto"/>
          <w:lang w:val="en-US" w:eastAsia="zh-CN"/>
        </w:rPr>
        <w:t>评价重点、内容</w:t>
      </w:r>
      <w:bookmarkEnd w:id="1041"/>
    </w:p>
    <w:p w14:paraId="49E050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42" w:name="_Toc21669"/>
      <w:bookmarkStart w:id="1043" w:name="_Toc21212"/>
      <w:bookmarkStart w:id="1044" w:name="_Toc13495"/>
      <w:bookmarkStart w:id="1045" w:name="_Toc5307"/>
      <w:r>
        <w:rPr>
          <w:rFonts w:hint="default" w:ascii="Times New Roman" w:hAnsi="Times New Roman" w:eastAsia="宋体" w:cs="Times New Roman"/>
          <w:color w:val="auto"/>
          <w:sz w:val="24"/>
          <w:szCs w:val="24"/>
          <w:lang w:val="en-US" w:eastAsia="zh-CN"/>
        </w:rPr>
        <w:t>（1）评价内容</w:t>
      </w:r>
      <w:bookmarkEnd w:id="1042"/>
      <w:bookmarkEnd w:id="1043"/>
      <w:bookmarkEnd w:id="1044"/>
      <w:bookmarkEnd w:id="1045"/>
      <w:r>
        <w:rPr>
          <w:rFonts w:hint="default" w:ascii="Times New Roman" w:hAnsi="Times New Roman" w:eastAsia="宋体" w:cs="Times New Roman"/>
          <w:color w:val="auto"/>
          <w:sz w:val="24"/>
          <w:szCs w:val="24"/>
          <w:lang w:val="en-US" w:eastAsia="zh-CN"/>
        </w:rPr>
        <w:t xml:space="preserve"> </w:t>
      </w:r>
    </w:p>
    <w:p w14:paraId="76377F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建设特点，结合项目区环境状况，评价的主要内容包括工程概况、工程分析、区域环境现状、生态环境影响评价及生态恢复方案、水土保持、环境空气影响分析及污染防治措施、水环境影响分析及污染防治措施、声环境影响分析及污染防治措施、固体废物影响分析及污染防治措施、综合利用、产业政策与规划相容性分析、总量控制、环境风险分析、环境经济损益分析、环境管理与环境监测计划和结论建议。</w:t>
      </w:r>
    </w:p>
    <w:p w14:paraId="028809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46" w:name="_Toc24742"/>
      <w:bookmarkStart w:id="1047" w:name="_Toc11848"/>
      <w:bookmarkStart w:id="1048" w:name="_Toc1161"/>
      <w:bookmarkStart w:id="1049" w:name="_Toc8788"/>
      <w:r>
        <w:rPr>
          <w:rFonts w:hint="default" w:ascii="Times New Roman" w:hAnsi="Times New Roman" w:eastAsia="宋体" w:cs="Times New Roman"/>
          <w:color w:val="auto"/>
          <w:sz w:val="24"/>
          <w:szCs w:val="24"/>
          <w:lang w:val="en-US" w:eastAsia="zh-CN"/>
        </w:rPr>
        <w:t>（2）评价重点</w:t>
      </w:r>
      <w:bookmarkEnd w:id="1046"/>
      <w:bookmarkEnd w:id="1047"/>
      <w:bookmarkEnd w:id="1048"/>
      <w:bookmarkEnd w:id="1049"/>
    </w:p>
    <w:p w14:paraId="73E56C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拟建项目特征、项目所在地的环境特征及项目环境影响因子识别等综合分析，确定评价重点：深入分析项目与国家相关产业政策的符合性；对项目生产工艺及污染防治对策进行详细分析；将营运期对大气和地表水环境的影响评价列为重点；重点分析“三废”污染防治及事故排放应急措施有效性和可靠性；重点进行项目废气正常及非正常排放影响及控制措施分析；强化项目清洁生产分析，突出项目清洁生产的先进性；重视项目环境风险评价，提出风险事故防范措施和应急预案。</w:t>
      </w:r>
    </w:p>
    <w:p w14:paraId="2A8368B4">
      <w:pPr>
        <w:pStyle w:val="6"/>
        <w:bidi w:val="0"/>
        <w:rPr>
          <w:rFonts w:hint="default" w:ascii="Times New Roman" w:hAnsi="Times New Roman" w:eastAsia="宋体" w:cs="Times New Roman"/>
          <w:color w:val="auto"/>
          <w:lang w:val="en-US" w:eastAsia="zh-CN"/>
        </w:rPr>
      </w:pPr>
      <w:bookmarkStart w:id="1050" w:name="_Toc11710"/>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9</w:t>
      </w:r>
      <w:r>
        <w:rPr>
          <w:rFonts w:hint="default" w:ascii="Times New Roman" w:hAnsi="Times New Roman" w:eastAsia="宋体" w:cs="Times New Roman"/>
          <w:color w:val="auto"/>
          <w:lang w:val="en-US" w:eastAsia="zh-CN"/>
        </w:rPr>
        <w:t>项目外环境关系及环境保护目标</w:t>
      </w:r>
      <w:bookmarkEnd w:id="1050"/>
    </w:p>
    <w:p w14:paraId="1CE131D5">
      <w:pPr>
        <w:pStyle w:val="7"/>
        <w:bidi w:val="0"/>
        <w:rPr>
          <w:rFonts w:hint="default" w:ascii="Times New Roman" w:hAnsi="Times New Roman" w:eastAsia="宋体" w:cs="Times New Roman"/>
          <w:color w:val="auto"/>
          <w:lang w:val="en-US" w:eastAsia="zh-CN"/>
        </w:rPr>
      </w:pPr>
      <w:bookmarkStart w:id="1051" w:name="_Toc18873"/>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.1 外环境关系</w:t>
      </w:r>
      <w:bookmarkEnd w:id="1051"/>
    </w:p>
    <w:p w14:paraId="78059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本项目选址位于遂宁市大英县文旅产业园区内，项目西侧约</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m为</w:t>
      </w:r>
      <w:r>
        <w:rPr>
          <w:rFonts w:hint="eastAsia" w:ascii="Times New Roman" w:hAnsi="Times New Roman" w:eastAsia="宋体" w:cs="Times New Roman"/>
          <w:color w:val="auto"/>
          <w:sz w:val="24"/>
          <w:szCs w:val="24"/>
          <w:lang w:val="en-US" w:eastAsia="zh-CN"/>
        </w:rPr>
        <w:t>在建</w:t>
      </w:r>
      <w:r>
        <w:rPr>
          <w:rFonts w:hint="default" w:ascii="Times New Roman" w:hAnsi="Times New Roman" w:eastAsia="宋体" w:cs="Times New Roman"/>
          <w:color w:val="auto"/>
          <w:sz w:val="24"/>
          <w:szCs w:val="24"/>
          <w:lang w:val="en-US" w:eastAsia="zh-CN"/>
        </w:rPr>
        <w:t>和喜·公园里小区，西侧约220m为大英县蓬莱初级中学，西侧约235m为大英县郪江幼儿园，西南侧约</w:t>
      </w:r>
      <w:r>
        <w:rPr>
          <w:rFonts w:hint="eastAsia" w:ascii="Times New Roman" w:hAnsi="Times New Roman" w:eastAsia="宋体"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m为大英名门小区，西南侧约400m为大英碧桂园小区，西南侧约230m为人和佲都小区，</w:t>
      </w:r>
      <w:r>
        <w:rPr>
          <w:rFonts w:hint="eastAsia" w:ascii="Times New Roman" w:hAnsi="Times New Roman" w:eastAsia="宋体" w:cs="Times New Roman"/>
          <w:color w:val="auto"/>
          <w:sz w:val="24"/>
          <w:szCs w:val="24"/>
          <w:lang w:val="en-US" w:eastAsia="zh-CN"/>
        </w:rPr>
        <w:t>南侧223m为青龙坡安置房，</w:t>
      </w:r>
      <w:r>
        <w:rPr>
          <w:rFonts w:hint="default" w:ascii="Times New Roman" w:hAnsi="Times New Roman" w:eastAsia="宋体" w:cs="Times New Roman"/>
          <w:color w:val="auto"/>
          <w:sz w:val="24"/>
          <w:szCs w:val="24"/>
          <w:lang w:val="en-US" w:eastAsia="zh-CN"/>
        </w:rPr>
        <w:t>东南侧约350m为郪江，项目与大英县县城隔江相望；项目东侧为大英县工业开发区。项目北侧约900m为鑫河村，北侧约1850m为虎泉村，南侧约1700m为朝阳社区，西南侧约900m为青龙坡村委会，西北侧约1430m为水井村委会，西北侧约1780m为火井村，西北侧约2400m为天星社区。</w:t>
      </w:r>
    </w:p>
    <w:p w14:paraId="66CB82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调查显示区域内无饮用水水源保护区、无名胜古迹、无重要通讯线路、无电 力设施及自然保护区等敏感保护目标，综上分析可知，本项目与周边环境相容， 选址合理。项目具体外环境关系见附图。</w:t>
      </w:r>
    </w:p>
    <w:p w14:paraId="48AD2ACC">
      <w:pPr>
        <w:pStyle w:val="7"/>
        <w:bidi w:val="0"/>
        <w:rPr>
          <w:rFonts w:hint="default" w:ascii="Times New Roman" w:hAnsi="Times New Roman" w:eastAsia="宋体" w:cs="Times New Roman"/>
          <w:color w:val="auto"/>
          <w:lang w:val="en-US" w:eastAsia="zh-CN"/>
        </w:rPr>
      </w:pPr>
      <w:bookmarkStart w:id="1052" w:name="_Toc18994"/>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.2主要环境保护目标</w:t>
      </w:r>
      <w:bookmarkEnd w:id="1052"/>
    </w:p>
    <w:p w14:paraId="01D32B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环境质量现状的调查及监测、污染源调查及监测、工程分析、环境影响预测，研究本项目建设期及运营期对周围环境的影响，并提出切实可行的污染防治对策，把污染控制在最小范围内，使本项目在产生经济效益和社会效益的同时不会对周围环境产生大的影响。本项目位于大英县文旅产业园区，评价范围内无风景名胜区、自然保护区、文物保护单位、生态敏感点、饮用水水源保护区等，结合项目外环境关系，主要环境保护目标见下表。</w:t>
      </w:r>
    </w:p>
    <w:p w14:paraId="632643A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2CACCEC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6D34A20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03B35EC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-1 项目主要环境保护目标</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2325"/>
        <w:gridCol w:w="707"/>
        <w:gridCol w:w="1329"/>
        <w:gridCol w:w="1256"/>
        <w:gridCol w:w="2111"/>
      </w:tblGrid>
      <w:tr w14:paraId="01DC4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shd w:val="clear" w:color="auto" w:fill="D7D7D7" w:themeFill="background1" w:themeFillShade="D8"/>
            <w:vAlign w:val="center"/>
          </w:tcPr>
          <w:p w14:paraId="4252C1E6">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407EBEE9">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要素</w:t>
            </w:r>
          </w:p>
        </w:tc>
        <w:tc>
          <w:tcPr>
            <w:tcW w:w="2325" w:type="dxa"/>
            <w:shd w:val="clear" w:color="auto" w:fill="D7D7D7" w:themeFill="background1" w:themeFillShade="D8"/>
            <w:vAlign w:val="center"/>
          </w:tcPr>
          <w:p w14:paraId="33318867">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保护目标</w:t>
            </w:r>
          </w:p>
        </w:tc>
        <w:tc>
          <w:tcPr>
            <w:tcW w:w="707" w:type="dxa"/>
            <w:shd w:val="clear" w:color="auto" w:fill="D7D7D7" w:themeFill="background1" w:themeFillShade="D8"/>
            <w:vAlign w:val="center"/>
          </w:tcPr>
          <w:p w14:paraId="36DC3351">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方位</w:t>
            </w:r>
          </w:p>
        </w:tc>
        <w:tc>
          <w:tcPr>
            <w:tcW w:w="1329" w:type="dxa"/>
            <w:shd w:val="clear" w:color="auto" w:fill="D7D7D7" w:themeFill="background1" w:themeFillShade="D8"/>
            <w:vAlign w:val="center"/>
          </w:tcPr>
          <w:p w14:paraId="3AE208E4">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距离/高差</w:t>
            </w:r>
          </w:p>
        </w:tc>
        <w:tc>
          <w:tcPr>
            <w:tcW w:w="1256" w:type="dxa"/>
            <w:shd w:val="clear" w:color="auto" w:fill="D7D7D7" w:themeFill="background1" w:themeFillShade="D8"/>
            <w:vAlign w:val="center"/>
          </w:tcPr>
          <w:p w14:paraId="64744527">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规模</w:t>
            </w:r>
          </w:p>
        </w:tc>
        <w:tc>
          <w:tcPr>
            <w:tcW w:w="2111" w:type="dxa"/>
            <w:shd w:val="clear" w:color="auto" w:fill="D7D7D7" w:themeFill="background1" w:themeFillShade="D8"/>
            <w:vAlign w:val="center"/>
          </w:tcPr>
          <w:p w14:paraId="34B92222">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环境功能区划/保护级别</w:t>
            </w:r>
          </w:p>
        </w:tc>
      </w:tr>
      <w:tr w14:paraId="48A94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restart"/>
            <w:vAlign w:val="center"/>
          </w:tcPr>
          <w:p w14:paraId="1E7BF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大气/风险</w:t>
            </w:r>
          </w:p>
        </w:tc>
        <w:tc>
          <w:tcPr>
            <w:tcW w:w="2325" w:type="dxa"/>
            <w:vAlign w:val="center"/>
          </w:tcPr>
          <w:p w14:paraId="07DDD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和喜·公园里小区</w:t>
            </w:r>
            <w:r>
              <w:rPr>
                <w:rFonts w:hint="eastAsia" w:ascii="Times New Roman" w:hAnsi="Times New Roman" w:eastAsia="宋体" w:cs="Times New Roman"/>
                <w:b w:val="0"/>
                <w:bCs w:val="0"/>
                <w:color w:val="auto"/>
                <w:sz w:val="21"/>
                <w:szCs w:val="21"/>
                <w:lang w:val="en-US" w:eastAsia="zh-CN"/>
              </w:rPr>
              <w:t>（在建）</w:t>
            </w:r>
          </w:p>
        </w:tc>
        <w:tc>
          <w:tcPr>
            <w:tcW w:w="707" w:type="dxa"/>
            <w:vAlign w:val="center"/>
          </w:tcPr>
          <w:p w14:paraId="54063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3101F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m/-7m</w:t>
            </w:r>
          </w:p>
        </w:tc>
        <w:tc>
          <w:tcPr>
            <w:tcW w:w="1256" w:type="dxa"/>
            <w:vAlign w:val="center"/>
          </w:tcPr>
          <w:p w14:paraId="120AEA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约900户</w:t>
            </w:r>
          </w:p>
        </w:tc>
        <w:tc>
          <w:tcPr>
            <w:tcW w:w="2111" w:type="dxa"/>
            <w:vMerge w:val="restart"/>
            <w:vAlign w:val="center"/>
          </w:tcPr>
          <w:p w14:paraId="2E8CB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及其修改清单</w:t>
            </w:r>
            <w:r>
              <w:rPr>
                <w:rFonts w:hint="default" w:ascii="Times New Roman" w:hAnsi="Times New Roman" w:eastAsia="宋体" w:cs="Times New Roman"/>
                <w:bCs/>
                <w:color w:val="auto"/>
                <w:sz w:val="21"/>
                <w:szCs w:val="21"/>
              </w:rPr>
              <w:t>二类区</w:t>
            </w:r>
          </w:p>
        </w:tc>
      </w:tr>
      <w:tr w14:paraId="7D87F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B04E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29EA0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大英县蓬莱初级中学</w:t>
            </w:r>
          </w:p>
        </w:tc>
        <w:tc>
          <w:tcPr>
            <w:tcW w:w="707" w:type="dxa"/>
            <w:vAlign w:val="center"/>
          </w:tcPr>
          <w:p w14:paraId="434748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5F7E9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220m/15m</w:t>
            </w:r>
          </w:p>
        </w:tc>
        <w:tc>
          <w:tcPr>
            <w:tcW w:w="1256" w:type="dxa"/>
            <w:vAlign w:val="center"/>
          </w:tcPr>
          <w:p w14:paraId="5F1779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4000人</w:t>
            </w:r>
          </w:p>
        </w:tc>
        <w:tc>
          <w:tcPr>
            <w:tcW w:w="2111" w:type="dxa"/>
            <w:vMerge w:val="continue"/>
            <w:vAlign w:val="center"/>
          </w:tcPr>
          <w:p w14:paraId="4405D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3CF4E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0AA0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1F68A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大英县郪江幼儿园</w:t>
            </w:r>
          </w:p>
        </w:tc>
        <w:tc>
          <w:tcPr>
            <w:tcW w:w="707" w:type="dxa"/>
            <w:vAlign w:val="center"/>
          </w:tcPr>
          <w:p w14:paraId="38B51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520F5E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235m/16m</w:t>
            </w:r>
          </w:p>
        </w:tc>
        <w:tc>
          <w:tcPr>
            <w:tcW w:w="1256" w:type="dxa"/>
            <w:vAlign w:val="center"/>
          </w:tcPr>
          <w:p w14:paraId="484FC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约200人</w:t>
            </w:r>
          </w:p>
        </w:tc>
        <w:tc>
          <w:tcPr>
            <w:tcW w:w="2111" w:type="dxa"/>
            <w:vMerge w:val="continue"/>
            <w:vAlign w:val="center"/>
          </w:tcPr>
          <w:p w14:paraId="10390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7FA0D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574D1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4049C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大英名门小区</w:t>
            </w:r>
          </w:p>
        </w:tc>
        <w:tc>
          <w:tcPr>
            <w:tcW w:w="707" w:type="dxa"/>
            <w:vAlign w:val="center"/>
          </w:tcPr>
          <w:p w14:paraId="5262D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5CB88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rPr>
              <w:t>84</w:t>
            </w:r>
            <w:r>
              <w:rPr>
                <w:rFonts w:hint="default" w:ascii="Times New Roman" w:hAnsi="Times New Roman" w:eastAsia="宋体" w:cs="Times New Roman"/>
                <w:b w:val="0"/>
                <w:bCs w:val="0"/>
                <w:color w:val="auto"/>
                <w:sz w:val="21"/>
                <w:szCs w:val="21"/>
                <w:lang w:val="en-US" w:eastAsia="zh-CN"/>
              </w:rPr>
              <w:t>m/-12m</w:t>
            </w:r>
          </w:p>
        </w:tc>
        <w:tc>
          <w:tcPr>
            <w:tcW w:w="1256" w:type="dxa"/>
            <w:vAlign w:val="center"/>
          </w:tcPr>
          <w:p w14:paraId="7B814DF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400户</w:t>
            </w:r>
          </w:p>
        </w:tc>
        <w:tc>
          <w:tcPr>
            <w:tcW w:w="2111" w:type="dxa"/>
            <w:vMerge w:val="continue"/>
            <w:vAlign w:val="center"/>
          </w:tcPr>
          <w:p w14:paraId="594F0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65403A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E237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3700A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居民小区</w:t>
            </w:r>
          </w:p>
        </w:tc>
        <w:tc>
          <w:tcPr>
            <w:tcW w:w="707" w:type="dxa"/>
            <w:vAlign w:val="center"/>
          </w:tcPr>
          <w:p w14:paraId="3DB5C8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4F907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240m/-6m</w:t>
            </w:r>
          </w:p>
        </w:tc>
        <w:tc>
          <w:tcPr>
            <w:tcW w:w="1256" w:type="dxa"/>
            <w:vAlign w:val="center"/>
          </w:tcPr>
          <w:p w14:paraId="648134F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500户</w:t>
            </w:r>
          </w:p>
        </w:tc>
        <w:tc>
          <w:tcPr>
            <w:tcW w:w="2111" w:type="dxa"/>
            <w:vMerge w:val="continue"/>
            <w:vAlign w:val="center"/>
          </w:tcPr>
          <w:p w14:paraId="14774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48241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8" w:type="dxa"/>
            <w:vMerge w:val="continue"/>
            <w:vAlign w:val="center"/>
          </w:tcPr>
          <w:p w14:paraId="2EC5E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106A6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大英碧桂园小区</w:t>
            </w:r>
          </w:p>
        </w:tc>
        <w:tc>
          <w:tcPr>
            <w:tcW w:w="707" w:type="dxa"/>
            <w:vAlign w:val="center"/>
          </w:tcPr>
          <w:p w14:paraId="545E0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1CCD7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260m/-10m</w:t>
            </w:r>
          </w:p>
        </w:tc>
        <w:tc>
          <w:tcPr>
            <w:tcW w:w="1256" w:type="dxa"/>
            <w:vAlign w:val="center"/>
          </w:tcPr>
          <w:p w14:paraId="201354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约500人</w:t>
            </w:r>
          </w:p>
        </w:tc>
        <w:tc>
          <w:tcPr>
            <w:tcW w:w="2111" w:type="dxa"/>
            <w:vMerge w:val="continue"/>
            <w:vAlign w:val="center"/>
          </w:tcPr>
          <w:p w14:paraId="46732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6A8EC3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10B7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5957D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正安·上品尚城</w:t>
            </w:r>
          </w:p>
        </w:tc>
        <w:tc>
          <w:tcPr>
            <w:tcW w:w="707" w:type="dxa"/>
            <w:vAlign w:val="center"/>
          </w:tcPr>
          <w:p w14:paraId="0CD6F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62FCC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490m/-16m</w:t>
            </w:r>
          </w:p>
        </w:tc>
        <w:tc>
          <w:tcPr>
            <w:tcW w:w="1256" w:type="dxa"/>
            <w:vAlign w:val="center"/>
          </w:tcPr>
          <w:p w14:paraId="383482ED">
            <w:pPr>
              <w:keepNext w:val="0"/>
              <w:keepLines w:val="0"/>
              <w:pageBreakBefore w:val="0"/>
              <w:widowControl w:val="0"/>
              <w:kinsoku/>
              <w:wordWrap/>
              <w:overflowPunct/>
              <w:topLinePunct w:val="0"/>
              <w:autoSpaceDE/>
              <w:autoSpaceDN/>
              <w:bidi w:val="0"/>
              <w:adjustRightInd/>
              <w:snapToGrid/>
              <w:spacing w:line="240" w:lineRule="auto"/>
              <w:ind w:firstLine="253"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1146户</w:t>
            </w:r>
          </w:p>
        </w:tc>
        <w:tc>
          <w:tcPr>
            <w:tcW w:w="2111" w:type="dxa"/>
            <w:vMerge w:val="continue"/>
            <w:vAlign w:val="center"/>
          </w:tcPr>
          <w:p w14:paraId="33898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F11A7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AA6F0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59CA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龙腾玺院小区</w:t>
            </w:r>
          </w:p>
        </w:tc>
        <w:tc>
          <w:tcPr>
            <w:tcW w:w="707" w:type="dxa"/>
            <w:vAlign w:val="center"/>
          </w:tcPr>
          <w:p w14:paraId="7369B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5E7BA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325m/-6m</w:t>
            </w:r>
          </w:p>
        </w:tc>
        <w:tc>
          <w:tcPr>
            <w:tcW w:w="1256" w:type="dxa"/>
            <w:vAlign w:val="center"/>
          </w:tcPr>
          <w:p w14:paraId="686828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约300户</w:t>
            </w:r>
          </w:p>
        </w:tc>
        <w:tc>
          <w:tcPr>
            <w:tcW w:w="2111" w:type="dxa"/>
            <w:vMerge w:val="continue"/>
            <w:vAlign w:val="center"/>
          </w:tcPr>
          <w:p w14:paraId="4D524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B178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92ED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5CACB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中国死海旅游度假区</w:t>
            </w:r>
          </w:p>
        </w:tc>
        <w:tc>
          <w:tcPr>
            <w:tcW w:w="707" w:type="dxa"/>
            <w:vAlign w:val="center"/>
          </w:tcPr>
          <w:p w14:paraId="1807A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2C773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900m/-20m</w:t>
            </w:r>
          </w:p>
        </w:tc>
        <w:tc>
          <w:tcPr>
            <w:tcW w:w="1256" w:type="dxa"/>
            <w:vAlign w:val="center"/>
          </w:tcPr>
          <w:p w14:paraId="0A78DB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597750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998F2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C9631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D5DF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人和佲都小区</w:t>
            </w:r>
          </w:p>
        </w:tc>
        <w:tc>
          <w:tcPr>
            <w:tcW w:w="707" w:type="dxa"/>
            <w:vAlign w:val="center"/>
          </w:tcPr>
          <w:p w14:paraId="36B50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05CED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230m/-6m</w:t>
            </w:r>
          </w:p>
        </w:tc>
        <w:tc>
          <w:tcPr>
            <w:tcW w:w="1256" w:type="dxa"/>
            <w:vAlign w:val="center"/>
          </w:tcPr>
          <w:p w14:paraId="45A2C9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约399户</w:t>
            </w:r>
          </w:p>
        </w:tc>
        <w:tc>
          <w:tcPr>
            <w:tcW w:w="2111" w:type="dxa"/>
            <w:vMerge w:val="continue"/>
            <w:vAlign w:val="center"/>
          </w:tcPr>
          <w:p w14:paraId="538DFF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1382B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01F50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61778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龙腾玺院小区</w:t>
            </w:r>
          </w:p>
        </w:tc>
        <w:tc>
          <w:tcPr>
            <w:tcW w:w="707" w:type="dxa"/>
            <w:vAlign w:val="center"/>
          </w:tcPr>
          <w:p w14:paraId="492EA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20C78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465m/-16m</w:t>
            </w:r>
          </w:p>
        </w:tc>
        <w:tc>
          <w:tcPr>
            <w:tcW w:w="1256" w:type="dxa"/>
            <w:vAlign w:val="center"/>
          </w:tcPr>
          <w:p w14:paraId="04BC8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300户</w:t>
            </w:r>
          </w:p>
        </w:tc>
        <w:tc>
          <w:tcPr>
            <w:tcW w:w="2111" w:type="dxa"/>
            <w:vMerge w:val="continue"/>
            <w:vAlign w:val="center"/>
          </w:tcPr>
          <w:p w14:paraId="781B93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69724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690D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CD13D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青龙湾·御府</w:t>
            </w:r>
          </w:p>
        </w:tc>
        <w:tc>
          <w:tcPr>
            <w:tcW w:w="707" w:type="dxa"/>
            <w:vAlign w:val="center"/>
          </w:tcPr>
          <w:p w14:paraId="1BA13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5E143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675m/6m</w:t>
            </w:r>
          </w:p>
        </w:tc>
        <w:tc>
          <w:tcPr>
            <w:tcW w:w="1256" w:type="dxa"/>
            <w:vAlign w:val="center"/>
          </w:tcPr>
          <w:p w14:paraId="591F6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835户</w:t>
            </w:r>
          </w:p>
        </w:tc>
        <w:tc>
          <w:tcPr>
            <w:tcW w:w="2111" w:type="dxa"/>
            <w:vMerge w:val="continue"/>
            <w:vAlign w:val="center"/>
          </w:tcPr>
          <w:p w14:paraId="3705E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A376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D992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5E1C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青龙湾·贵府</w:t>
            </w:r>
          </w:p>
        </w:tc>
        <w:tc>
          <w:tcPr>
            <w:tcW w:w="707" w:type="dxa"/>
            <w:vAlign w:val="center"/>
          </w:tcPr>
          <w:p w14:paraId="0CB7D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1FE27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550m/-15m</w:t>
            </w:r>
          </w:p>
        </w:tc>
        <w:tc>
          <w:tcPr>
            <w:tcW w:w="1256" w:type="dxa"/>
            <w:vAlign w:val="center"/>
          </w:tcPr>
          <w:p w14:paraId="44653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550户</w:t>
            </w:r>
          </w:p>
        </w:tc>
        <w:tc>
          <w:tcPr>
            <w:tcW w:w="2111" w:type="dxa"/>
            <w:vMerge w:val="continue"/>
            <w:vAlign w:val="center"/>
          </w:tcPr>
          <w:p w14:paraId="7523F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8CC00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A548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D868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青龙坡安置房</w:t>
            </w:r>
          </w:p>
        </w:tc>
        <w:tc>
          <w:tcPr>
            <w:tcW w:w="707" w:type="dxa"/>
            <w:vAlign w:val="center"/>
          </w:tcPr>
          <w:p w14:paraId="4C041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17ACD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223</w:t>
            </w:r>
            <w:r>
              <w:rPr>
                <w:rFonts w:hint="default" w:ascii="Times New Roman" w:hAnsi="Times New Roman" w:eastAsia="宋体" w:cs="Times New Roman"/>
                <w:b w:val="0"/>
                <w:bCs w:val="0"/>
                <w:color w:val="auto"/>
                <w:sz w:val="21"/>
                <w:szCs w:val="21"/>
                <w:highlight w:val="none"/>
                <w:vertAlign w:val="baseline"/>
                <w:lang w:val="en-US" w:eastAsia="zh-CN"/>
              </w:rPr>
              <w:t>m/14m</w:t>
            </w:r>
          </w:p>
        </w:tc>
        <w:tc>
          <w:tcPr>
            <w:tcW w:w="1256" w:type="dxa"/>
            <w:vAlign w:val="center"/>
          </w:tcPr>
          <w:p w14:paraId="292567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50户</w:t>
            </w:r>
          </w:p>
        </w:tc>
        <w:tc>
          <w:tcPr>
            <w:tcW w:w="2111" w:type="dxa"/>
            <w:vMerge w:val="continue"/>
            <w:vAlign w:val="center"/>
          </w:tcPr>
          <w:p w14:paraId="26C68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071F6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E751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6199A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307DD3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E</w:t>
            </w:r>
          </w:p>
        </w:tc>
        <w:tc>
          <w:tcPr>
            <w:tcW w:w="1329" w:type="dxa"/>
            <w:vAlign w:val="center"/>
          </w:tcPr>
          <w:p w14:paraId="02C02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400m/-14m</w:t>
            </w:r>
          </w:p>
        </w:tc>
        <w:tc>
          <w:tcPr>
            <w:tcW w:w="1256" w:type="dxa"/>
            <w:vAlign w:val="center"/>
          </w:tcPr>
          <w:p w14:paraId="53D4D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15户</w:t>
            </w:r>
          </w:p>
        </w:tc>
        <w:tc>
          <w:tcPr>
            <w:tcW w:w="2111" w:type="dxa"/>
            <w:vMerge w:val="continue"/>
            <w:vAlign w:val="center"/>
          </w:tcPr>
          <w:p w14:paraId="55F5B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D7DEB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7FDBC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6DD3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43737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NE</w:t>
            </w:r>
          </w:p>
        </w:tc>
        <w:tc>
          <w:tcPr>
            <w:tcW w:w="1329" w:type="dxa"/>
            <w:vAlign w:val="center"/>
          </w:tcPr>
          <w:p w14:paraId="6AF1F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360m/12m</w:t>
            </w:r>
          </w:p>
        </w:tc>
        <w:tc>
          <w:tcPr>
            <w:tcW w:w="1256" w:type="dxa"/>
            <w:vAlign w:val="center"/>
          </w:tcPr>
          <w:p w14:paraId="6F50F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3户</w:t>
            </w:r>
          </w:p>
        </w:tc>
        <w:tc>
          <w:tcPr>
            <w:tcW w:w="2111" w:type="dxa"/>
            <w:vMerge w:val="continue"/>
            <w:vAlign w:val="center"/>
          </w:tcPr>
          <w:p w14:paraId="04AD8B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FD27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2F9A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69C0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00BD7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NE</w:t>
            </w:r>
          </w:p>
        </w:tc>
        <w:tc>
          <w:tcPr>
            <w:tcW w:w="1329" w:type="dxa"/>
            <w:vAlign w:val="center"/>
          </w:tcPr>
          <w:p w14:paraId="15379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320m/15m</w:t>
            </w:r>
          </w:p>
        </w:tc>
        <w:tc>
          <w:tcPr>
            <w:tcW w:w="1256" w:type="dxa"/>
            <w:vAlign w:val="center"/>
          </w:tcPr>
          <w:p w14:paraId="48166E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3户</w:t>
            </w:r>
          </w:p>
        </w:tc>
        <w:tc>
          <w:tcPr>
            <w:tcW w:w="2111" w:type="dxa"/>
            <w:vMerge w:val="continue"/>
            <w:vAlign w:val="center"/>
          </w:tcPr>
          <w:p w14:paraId="09DE77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FA56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5FED6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5F875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094AF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240C4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520m/-2m</w:t>
            </w:r>
          </w:p>
        </w:tc>
        <w:tc>
          <w:tcPr>
            <w:tcW w:w="1256" w:type="dxa"/>
            <w:vAlign w:val="center"/>
          </w:tcPr>
          <w:p w14:paraId="6A94C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16户</w:t>
            </w:r>
          </w:p>
        </w:tc>
        <w:tc>
          <w:tcPr>
            <w:tcW w:w="2111" w:type="dxa"/>
            <w:vMerge w:val="continue"/>
            <w:vAlign w:val="center"/>
          </w:tcPr>
          <w:p w14:paraId="2AC58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9F3F1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E83C2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A527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30949D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66AF7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530m/-1m</w:t>
            </w:r>
          </w:p>
        </w:tc>
        <w:tc>
          <w:tcPr>
            <w:tcW w:w="1256" w:type="dxa"/>
            <w:vAlign w:val="center"/>
          </w:tcPr>
          <w:p w14:paraId="650A07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20户</w:t>
            </w:r>
          </w:p>
        </w:tc>
        <w:tc>
          <w:tcPr>
            <w:tcW w:w="2111" w:type="dxa"/>
            <w:vMerge w:val="continue"/>
            <w:vAlign w:val="center"/>
          </w:tcPr>
          <w:p w14:paraId="7F8FA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E1BE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8" w:type="dxa"/>
            <w:vMerge w:val="continue"/>
            <w:vAlign w:val="center"/>
          </w:tcPr>
          <w:p w14:paraId="4F8FA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0626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5A490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41E64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600m/1m</w:t>
            </w:r>
          </w:p>
        </w:tc>
        <w:tc>
          <w:tcPr>
            <w:tcW w:w="1256" w:type="dxa"/>
            <w:vAlign w:val="center"/>
          </w:tcPr>
          <w:p w14:paraId="7E32F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22户</w:t>
            </w:r>
          </w:p>
        </w:tc>
        <w:tc>
          <w:tcPr>
            <w:tcW w:w="2111" w:type="dxa"/>
            <w:vMerge w:val="continue"/>
            <w:vAlign w:val="center"/>
          </w:tcPr>
          <w:p w14:paraId="7433A5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4D93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BB1F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A078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鑫河村</w:t>
            </w:r>
          </w:p>
        </w:tc>
        <w:tc>
          <w:tcPr>
            <w:tcW w:w="707" w:type="dxa"/>
            <w:vAlign w:val="center"/>
          </w:tcPr>
          <w:p w14:paraId="292F4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05F32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900m/-9m</w:t>
            </w:r>
          </w:p>
        </w:tc>
        <w:tc>
          <w:tcPr>
            <w:tcW w:w="1256" w:type="dxa"/>
            <w:vAlign w:val="center"/>
          </w:tcPr>
          <w:p w14:paraId="003192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100户</w:t>
            </w:r>
          </w:p>
        </w:tc>
        <w:tc>
          <w:tcPr>
            <w:tcW w:w="2111" w:type="dxa"/>
            <w:vMerge w:val="continue"/>
            <w:vAlign w:val="center"/>
          </w:tcPr>
          <w:p w14:paraId="4E5C2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A3480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515F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420C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虎泉村</w:t>
            </w:r>
          </w:p>
        </w:tc>
        <w:tc>
          <w:tcPr>
            <w:tcW w:w="707" w:type="dxa"/>
            <w:vAlign w:val="center"/>
          </w:tcPr>
          <w:p w14:paraId="086206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23063E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1850m/-14m</w:t>
            </w:r>
          </w:p>
        </w:tc>
        <w:tc>
          <w:tcPr>
            <w:tcW w:w="1256" w:type="dxa"/>
            <w:vAlign w:val="center"/>
          </w:tcPr>
          <w:p w14:paraId="3CC06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150户</w:t>
            </w:r>
          </w:p>
        </w:tc>
        <w:tc>
          <w:tcPr>
            <w:tcW w:w="2111" w:type="dxa"/>
            <w:vMerge w:val="continue"/>
            <w:vAlign w:val="center"/>
          </w:tcPr>
          <w:p w14:paraId="23640D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398B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2B21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5E95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朝阳社区</w:t>
            </w:r>
          </w:p>
        </w:tc>
        <w:tc>
          <w:tcPr>
            <w:tcW w:w="707" w:type="dxa"/>
            <w:vAlign w:val="center"/>
          </w:tcPr>
          <w:p w14:paraId="12449C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0C785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lang w:val="en-US" w:eastAsia="zh-CN"/>
              </w:rPr>
              <w:t>1700m</w:t>
            </w:r>
            <w:r>
              <w:rPr>
                <w:rFonts w:hint="default" w:ascii="Times New Roman" w:hAnsi="Times New Roman" w:eastAsia="宋体" w:cs="Times New Roman"/>
                <w:b w:val="0"/>
                <w:bCs w:val="0"/>
                <w:color w:val="auto"/>
                <w:sz w:val="21"/>
                <w:szCs w:val="21"/>
                <w:highlight w:val="none"/>
                <w:vertAlign w:val="baseline"/>
                <w:lang w:val="en-US" w:eastAsia="zh-CN"/>
              </w:rPr>
              <w:t>/-14m</w:t>
            </w:r>
          </w:p>
        </w:tc>
        <w:tc>
          <w:tcPr>
            <w:tcW w:w="1256" w:type="dxa"/>
            <w:vAlign w:val="center"/>
          </w:tcPr>
          <w:p w14:paraId="64BD9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5000户</w:t>
            </w:r>
          </w:p>
        </w:tc>
        <w:tc>
          <w:tcPr>
            <w:tcW w:w="2111" w:type="dxa"/>
            <w:vMerge w:val="continue"/>
            <w:vAlign w:val="center"/>
          </w:tcPr>
          <w:p w14:paraId="6B4AD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C3AE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A21D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FB7B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青龙坡村委会</w:t>
            </w:r>
          </w:p>
        </w:tc>
        <w:tc>
          <w:tcPr>
            <w:tcW w:w="707" w:type="dxa"/>
            <w:vAlign w:val="center"/>
          </w:tcPr>
          <w:p w14:paraId="4790D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4157B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900m/-18m</w:t>
            </w:r>
          </w:p>
        </w:tc>
        <w:tc>
          <w:tcPr>
            <w:tcW w:w="1256" w:type="dxa"/>
            <w:vAlign w:val="center"/>
          </w:tcPr>
          <w:p w14:paraId="52663D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6000户</w:t>
            </w:r>
          </w:p>
        </w:tc>
        <w:tc>
          <w:tcPr>
            <w:tcW w:w="2111" w:type="dxa"/>
            <w:vMerge w:val="continue"/>
            <w:vAlign w:val="center"/>
          </w:tcPr>
          <w:p w14:paraId="1C9395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67CA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AA4F7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C0BD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水井村委会</w:t>
            </w:r>
          </w:p>
        </w:tc>
        <w:tc>
          <w:tcPr>
            <w:tcW w:w="707" w:type="dxa"/>
            <w:vAlign w:val="center"/>
          </w:tcPr>
          <w:p w14:paraId="75667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15B35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1430m/-17m</w:t>
            </w:r>
          </w:p>
        </w:tc>
        <w:tc>
          <w:tcPr>
            <w:tcW w:w="1256" w:type="dxa"/>
            <w:vAlign w:val="center"/>
          </w:tcPr>
          <w:p w14:paraId="5DBE0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3000户</w:t>
            </w:r>
          </w:p>
        </w:tc>
        <w:tc>
          <w:tcPr>
            <w:tcW w:w="2111" w:type="dxa"/>
            <w:vMerge w:val="continue"/>
            <w:vAlign w:val="center"/>
          </w:tcPr>
          <w:p w14:paraId="635DFD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20487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EF52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FDF3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火井村</w:t>
            </w:r>
          </w:p>
        </w:tc>
        <w:tc>
          <w:tcPr>
            <w:tcW w:w="707" w:type="dxa"/>
            <w:vAlign w:val="center"/>
          </w:tcPr>
          <w:p w14:paraId="7B43B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02374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1780m/-8m</w:t>
            </w:r>
          </w:p>
        </w:tc>
        <w:tc>
          <w:tcPr>
            <w:tcW w:w="1256" w:type="dxa"/>
            <w:vAlign w:val="center"/>
          </w:tcPr>
          <w:p w14:paraId="775655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1000户</w:t>
            </w:r>
          </w:p>
        </w:tc>
        <w:tc>
          <w:tcPr>
            <w:tcW w:w="2111" w:type="dxa"/>
            <w:vMerge w:val="continue"/>
            <w:vAlign w:val="center"/>
          </w:tcPr>
          <w:p w14:paraId="4DBC9B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A2B3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4BFAF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7A6EA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天星社区</w:t>
            </w:r>
          </w:p>
        </w:tc>
        <w:tc>
          <w:tcPr>
            <w:tcW w:w="707" w:type="dxa"/>
            <w:vAlign w:val="center"/>
          </w:tcPr>
          <w:p w14:paraId="46148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6BC02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2400m/-9m</w:t>
            </w:r>
          </w:p>
        </w:tc>
        <w:tc>
          <w:tcPr>
            <w:tcW w:w="1256" w:type="dxa"/>
            <w:vAlign w:val="center"/>
          </w:tcPr>
          <w:p w14:paraId="256D83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2000户</w:t>
            </w:r>
          </w:p>
        </w:tc>
        <w:tc>
          <w:tcPr>
            <w:tcW w:w="2111" w:type="dxa"/>
            <w:vMerge w:val="continue"/>
            <w:vAlign w:val="center"/>
          </w:tcPr>
          <w:p w14:paraId="15F28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AA578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8" w:type="dxa"/>
            <w:vMerge w:val="continue"/>
            <w:vAlign w:val="center"/>
          </w:tcPr>
          <w:p w14:paraId="0944C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5738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大英中学</w:t>
            </w:r>
          </w:p>
        </w:tc>
        <w:tc>
          <w:tcPr>
            <w:tcW w:w="707" w:type="dxa"/>
            <w:vAlign w:val="center"/>
          </w:tcPr>
          <w:p w14:paraId="57F0B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76E515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1730m/-11m</w:t>
            </w:r>
          </w:p>
        </w:tc>
        <w:tc>
          <w:tcPr>
            <w:tcW w:w="1256" w:type="dxa"/>
            <w:vAlign w:val="center"/>
          </w:tcPr>
          <w:p w14:paraId="27DFC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约7500人</w:t>
            </w:r>
          </w:p>
        </w:tc>
        <w:tc>
          <w:tcPr>
            <w:tcW w:w="2111" w:type="dxa"/>
            <w:vMerge w:val="continue"/>
            <w:vAlign w:val="center"/>
          </w:tcPr>
          <w:p w14:paraId="4BE29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9A3B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916B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51E32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大英县育才中学</w:t>
            </w:r>
          </w:p>
        </w:tc>
        <w:tc>
          <w:tcPr>
            <w:tcW w:w="707" w:type="dxa"/>
            <w:vAlign w:val="center"/>
          </w:tcPr>
          <w:p w14:paraId="45566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7AD94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1650m/-17m</w:t>
            </w:r>
          </w:p>
        </w:tc>
        <w:tc>
          <w:tcPr>
            <w:tcW w:w="1256" w:type="dxa"/>
            <w:vAlign w:val="center"/>
          </w:tcPr>
          <w:p w14:paraId="68322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约2250人</w:t>
            </w:r>
          </w:p>
        </w:tc>
        <w:tc>
          <w:tcPr>
            <w:tcW w:w="2111" w:type="dxa"/>
            <w:vMerge w:val="continue"/>
            <w:vAlign w:val="center"/>
          </w:tcPr>
          <w:p w14:paraId="3D594A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5EEAA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50E14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80AF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大英县实验学校</w:t>
            </w:r>
          </w:p>
        </w:tc>
        <w:tc>
          <w:tcPr>
            <w:tcW w:w="707" w:type="dxa"/>
            <w:vAlign w:val="center"/>
          </w:tcPr>
          <w:p w14:paraId="65C29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39A28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1810m/-16m</w:t>
            </w:r>
          </w:p>
        </w:tc>
        <w:tc>
          <w:tcPr>
            <w:tcW w:w="1256" w:type="dxa"/>
            <w:vAlign w:val="center"/>
          </w:tcPr>
          <w:p w14:paraId="6AE79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约1650人</w:t>
            </w:r>
          </w:p>
        </w:tc>
        <w:tc>
          <w:tcPr>
            <w:tcW w:w="2111" w:type="dxa"/>
            <w:vMerge w:val="continue"/>
            <w:vAlign w:val="center"/>
          </w:tcPr>
          <w:p w14:paraId="780AF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C0CC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C536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85FB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蓬莱镇人民政府</w:t>
            </w:r>
          </w:p>
        </w:tc>
        <w:tc>
          <w:tcPr>
            <w:tcW w:w="707" w:type="dxa"/>
            <w:vAlign w:val="center"/>
          </w:tcPr>
          <w:p w14:paraId="21CE0C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294B9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1720m/-13m</w:t>
            </w:r>
          </w:p>
        </w:tc>
        <w:tc>
          <w:tcPr>
            <w:tcW w:w="1256" w:type="dxa"/>
            <w:vAlign w:val="center"/>
          </w:tcPr>
          <w:p w14:paraId="044FF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69029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79480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55258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53788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大英县工业集中发展区</w:t>
            </w:r>
          </w:p>
        </w:tc>
        <w:tc>
          <w:tcPr>
            <w:tcW w:w="707" w:type="dxa"/>
            <w:vAlign w:val="center"/>
          </w:tcPr>
          <w:p w14:paraId="1C336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SE</w:t>
            </w:r>
          </w:p>
        </w:tc>
        <w:tc>
          <w:tcPr>
            <w:tcW w:w="1329" w:type="dxa"/>
            <w:vAlign w:val="center"/>
          </w:tcPr>
          <w:p w14:paraId="17DD7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1300m/-13m</w:t>
            </w:r>
          </w:p>
        </w:tc>
        <w:tc>
          <w:tcPr>
            <w:tcW w:w="1256" w:type="dxa"/>
            <w:vAlign w:val="center"/>
          </w:tcPr>
          <w:p w14:paraId="0F37B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5FBB9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8281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AC14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地表水</w:t>
            </w:r>
          </w:p>
        </w:tc>
        <w:tc>
          <w:tcPr>
            <w:tcW w:w="2325" w:type="dxa"/>
            <w:vAlign w:val="center"/>
          </w:tcPr>
          <w:p w14:paraId="08BD5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郪江</w:t>
            </w:r>
          </w:p>
        </w:tc>
        <w:tc>
          <w:tcPr>
            <w:tcW w:w="707" w:type="dxa"/>
            <w:vAlign w:val="center"/>
          </w:tcPr>
          <w:p w14:paraId="3320F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6BC11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370m/-31m</w:t>
            </w:r>
          </w:p>
        </w:tc>
        <w:tc>
          <w:tcPr>
            <w:tcW w:w="1256" w:type="dxa"/>
            <w:vAlign w:val="center"/>
          </w:tcPr>
          <w:p w14:paraId="5E4A1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4BDDA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highlight w:val="none"/>
              </w:rPr>
              <w:t>《地表水环境质量标准》（GB3838-2002）Ⅲ类</w:t>
            </w:r>
          </w:p>
        </w:tc>
      </w:tr>
      <w:tr w14:paraId="1DD8CC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restart"/>
            <w:vAlign w:val="center"/>
          </w:tcPr>
          <w:p w14:paraId="71FC330C">
            <w:pPr>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声环境</w:t>
            </w:r>
          </w:p>
        </w:tc>
        <w:tc>
          <w:tcPr>
            <w:tcW w:w="2325" w:type="dxa"/>
            <w:vAlign w:val="center"/>
          </w:tcPr>
          <w:p w14:paraId="7DDDE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和喜·公园里小区</w:t>
            </w:r>
          </w:p>
        </w:tc>
        <w:tc>
          <w:tcPr>
            <w:tcW w:w="707" w:type="dxa"/>
            <w:vAlign w:val="center"/>
          </w:tcPr>
          <w:p w14:paraId="4F8696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7FCE1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m/-7m</w:t>
            </w:r>
          </w:p>
        </w:tc>
        <w:tc>
          <w:tcPr>
            <w:tcW w:w="1256" w:type="dxa"/>
            <w:vAlign w:val="center"/>
          </w:tcPr>
          <w:p w14:paraId="44ABD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约900户</w:t>
            </w:r>
          </w:p>
        </w:tc>
        <w:tc>
          <w:tcPr>
            <w:tcW w:w="2111" w:type="dxa"/>
            <w:vMerge w:val="restart"/>
            <w:vAlign w:val="center"/>
          </w:tcPr>
          <w:p w14:paraId="20831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highlight w:val="none"/>
              </w:rPr>
              <w:t>《声环境质量标准》(GB3096-2008)2类</w:t>
            </w:r>
          </w:p>
        </w:tc>
      </w:tr>
      <w:tr w14:paraId="702DA9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381F8E3">
            <w:pPr>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c>
          <w:tcPr>
            <w:tcW w:w="2325" w:type="dxa"/>
            <w:vAlign w:val="center"/>
          </w:tcPr>
          <w:p w14:paraId="794AF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lang w:val="en-US" w:eastAsia="zh-CN"/>
              </w:rPr>
              <w:t>大英名门小区</w:t>
            </w:r>
          </w:p>
        </w:tc>
        <w:tc>
          <w:tcPr>
            <w:tcW w:w="707" w:type="dxa"/>
            <w:vAlign w:val="center"/>
          </w:tcPr>
          <w:p w14:paraId="1860C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00A5A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lang w:val="en-US" w:eastAsia="zh-CN"/>
              </w:rPr>
              <w:t>84</w:t>
            </w:r>
            <w:r>
              <w:rPr>
                <w:rFonts w:hint="default" w:ascii="Times New Roman" w:hAnsi="Times New Roman" w:eastAsia="宋体" w:cs="Times New Roman"/>
                <w:b w:val="0"/>
                <w:bCs w:val="0"/>
                <w:color w:val="auto"/>
                <w:sz w:val="21"/>
                <w:szCs w:val="21"/>
                <w:lang w:val="en-US" w:eastAsia="zh-CN"/>
              </w:rPr>
              <w:t>m/-12m</w:t>
            </w:r>
          </w:p>
        </w:tc>
        <w:tc>
          <w:tcPr>
            <w:tcW w:w="1256" w:type="dxa"/>
            <w:vAlign w:val="center"/>
          </w:tcPr>
          <w:p w14:paraId="53E3773A">
            <w:pPr>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Cs w:val="21"/>
                <w:highlight w:val="none"/>
                <w:lang w:val="en-US" w:eastAsia="zh-CN"/>
              </w:rPr>
              <w:t>400户</w:t>
            </w:r>
          </w:p>
        </w:tc>
        <w:tc>
          <w:tcPr>
            <w:tcW w:w="2111" w:type="dxa"/>
            <w:vMerge w:val="continue"/>
            <w:vAlign w:val="center"/>
          </w:tcPr>
          <w:p w14:paraId="21901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13AA3D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8" w:type="dxa"/>
            <w:vMerge w:val="continue"/>
            <w:vAlign w:val="center"/>
          </w:tcPr>
          <w:p w14:paraId="32C45160">
            <w:pPr>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c>
          <w:tcPr>
            <w:tcW w:w="2325" w:type="dxa"/>
            <w:vAlign w:val="center"/>
          </w:tcPr>
          <w:p w14:paraId="4EBE7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lang w:val="en-US" w:eastAsia="zh-CN"/>
              </w:rPr>
              <w:t>青龙坡安置房</w:t>
            </w:r>
          </w:p>
        </w:tc>
        <w:tc>
          <w:tcPr>
            <w:tcW w:w="707" w:type="dxa"/>
            <w:vAlign w:val="center"/>
          </w:tcPr>
          <w:p w14:paraId="58A67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7ABFB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223</w:t>
            </w:r>
            <w:r>
              <w:rPr>
                <w:rFonts w:hint="default" w:ascii="Times New Roman" w:hAnsi="Times New Roman" w:eastAsia="宋体" w:cs="Times New Roman"/>
                <w:b w:val="0"/>
                <w:bCs w:val="0"/>
                <w:color w:val="auto"/>
                <w:sz w:val="21"/>
                <w:szCs w:val="21"/>
                <w:highlight w:val="none"/>
                <w:vertAlign w:val="baseline"/>
                <w:lang w:val="en-US" w:eastAsia="zh-CN"/>
              </w:rPr>
              <w:t>m/14m</w:t>
            </w:r>
          </w:p>
        </w:tc>
        <w:tc>
          <w:tcPr>
            <w:tcW w:w="1256" w:type="dxa"/>
            <w:vAlign w:val="center"/>
          </w:tcPr>
          <w:p w14:paraId="20146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50户</w:t>
            </w:r>
          </w:p>
        </w:tc>
        <w:tc>
          <w:tcPr>
            <w:tcW w:w="2111" w:type="dxa"/>
            <w:vMerge w:val="continue"/>
            <w:vAlign w:val="center"/>
          </w:tcPr>
          <w:p w14:paraId="6265EA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6D93E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7AC8020">
            <w:pPr>
              <w:pStyle w:val="19"/>
              <w:ind w:left="137" w:leftChars="0"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地下水环境</w:t>
            </w:r>
          </w:p>
        </w:tc>
        <w:tc>
          <w:tcPr>
            <w:tcW w:w="2325" w:type="dxa"/>
            <w:vAlign w:val="center"/>
          </w:tcPr>
          <w:p w14:paraId="2A09E481">
            <w:pPr>
              <w:autoSpaceDE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区域地下水</w:t>
            </w:r>
          </w:p>
        </w:tc>
        <w:tc>
          <w:tcPr>
            <w:tcW w:w="707" w:type="dxa"/>
            <w:vAlign w:val="center"/>
          </w:tcPr>
          <w:p w14:paraId="77DD25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329" w:type="dxa"/>
            <w:vAlign w:val="center"/>
          </w:tcPr>
          <w:p w14:paraId="0FD87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56" w:type="dxa"/>
            <w:vAlign w:val="center"/>
          </w:tcPr>
          <w:p w14:paraId="248DE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72B97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rPr>
              <w:t>《地下水质量标准》（GB14848/T-2017）Ⅲ类</w:t>
            </w:r>
          </w:p>
        </w:tc>
      </w:tr>
      <w:tr w14:paraId="121BE4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D67353D">
            <w:pPr>
              <w:pStyle w:val="19"/>
              <w:ind w:left="137" w:leftChars="0"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土壤</w:t>
            </w:r>
          </w:p>
        </w:tc>
        <w:tc>
          <w:tcPr>
            <w:tcW w:w="2325" w:type="dxa"/>
            <w:vAlign w:val="center"/>
          </w:tcPr>
          <w:p w14:paraId="5879D61B">
            <w:pPr>
              <w:autoSpaceDE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区域土壤</w:t>
            </w:r>
          </w:p>
        </w:tc>
        <w:tc>
          <w:tcPr>
            <w:tcW w:w="707" w:type="dxa"/>
            <w:vAlign w:val="center"/>
          </w:tcPr>
          <w:p w14:paraId="48EC7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329" w:type="dxa"/>
            <w:vAlign w:val="center"/>
          </w:tcPr>
          <w:p w14:paraId="68BF0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56" w:type="dxa"/>
            <w:vAlign w:val="center"/>
          </w:tcPr>
          <w:p w14:paraId="1F70B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147E8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rPr>
              <w:t>《土壤环境质量 建设用地土壤风险值管控标准》（GB36600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-2018）表1、表2第二类用地筛选值标准</w:t>
            </w:r>
          </w:p>
        </w:tc>
      </w:tr>
      <w:bookmarkEnd w:id="109"/>
      <w:bookmarkEnd w:id="117"/>
      <w:bookmarkEnd w:id="118"/>
    </w:tbl>
    <w:p w14:paraId="78A62B3B">
      <w:pPr>
        <w:pStyle w:val="6"/>
        <w:bidi w:val="0"/>
        <w:rPr>
          <w:rFonts w:hint="default" w:ascii="Times New Roman" w:hAnsi="Times New Roman" w:eastAsia="宋体" w:cs="Times New Roman"/>
          <w:color w:val="auto"/>
        </w:rPr>
      </w:pPr>
      <w:bookmarkStart w:id="1053" w:name="_Toc4692"/>
      <w:bookmarkStart w:id="1054" w:name="_Toc32514"/>
      <w:bookmarkStart w:id="1055" w:name="_Toc28921"/>
      <w:r>
        <w:rPr>
          <w:rFonts w:hint="default" w:ascii="Times New Roman" w:hAnsi="Times New Roman" w:eastAsia="宋体" w:cs="Times New Roman"/>
          <w:color w:val="auto"/>
          <w:lang w:val="en-US" w:eastAsia="zh-CN"/>
        </w:rPr>
        <w:t>1.1</w:t>
      </w:r>
      <w:r>
        <w:rPr>
          <w:rFonts w:hint="eastAsia" w:ascii="Times New Roman" w:hAnsi="Times New Roman" w:cs="Times New Roman"/>
          <w:color w:val="auto"/>
          <w:lang w:val="en-US" w:eastAsia="zh-CN"/>
        </w:rPr>
        <w:t>0</w:t>
      </w:r>
      <w:r>
        <w:rPr>
          <w:rFonts w:hint="default" w:ascii="Times New Roman" w:hAnsi="Times New Roman" w:eastAsia="宋体" w:cs="Times New Roman"/>
          <w:color w:val="auto"/>
          <w:lang w:val="en-US" w:eastAsia="zh-CN"/>
        </w:rPr>
        <w:t xml:space="preserve"> 评价程序</w:t>
      </w:r>
      <w:bookmarkEnd w:id="1053"/>
      <w:bookmarkEnd w:id="1054"/>
      <w:bookmarkEnd w:id="1055"/>
      <w:r>
        <w:rPr>
          <w:rFonts w:hint="default" w:ascii="Times New Roman" w:hAnsi="Times New Roman" w:eastAsia="宋体" w:cs="Times New Roman"/>
          <w:color w:val="auto"/>
          <w:lang w:val="en-US" w:eastAsia="zh-CN"/>
        </w:rPr>
        <w:t xml:space="preserve"> </w:t>
      </w:r>
    </w:p>
    <w:p w14:paraId="0E0656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56" w:name="_Toc22413"/>
      <w:bookmarkStart w:id="1057" w:name="_Toc11328"/>
      <w:bookmarkStart w:id="1058" w:name="_Toc16033"/>
      <w:bookmarkStart w:id="1059" w:name="_Toc17034"/>
      <w:bookmarkStart w:id="1060" w:name="_Toc21441"/>
      <w:bookmarkStart w:id="1061" w:name="_Toc22245"/>
      <w:r>
        <w:rPr>
          <w:rFonts w:hint="default" w:ascii="Times New Roman" w:hAnsi="Times New Roman" w:eastAsia="宋体" w:cs="Times New Roman"/>
          <w:color w:val="auto"/>
          <w:sz w:val="24"/>
          <w:szCs w:val="24"/>
          <w:lang w:val="en-US" w:eastAsia="zh-CN"/>
        </w:rPr>
        <w:t>本评价工作程序主要分为以下四个部分：</w:t>
      </w:r>
      <w:bookmarkEnd w:id="1056"/>
      <w:bookmarkEnd w:id="1057"/>
      <w:bookmarkEnd w:id="1058"/>
      <w:bookmarkEnd w:id="1059"/>
      <w:bookmarkEnd w:id="1060"/>
      <w:bookmarkEnd w:id="1061"/>
    </w:p>
    <w:p w14:paraId="6A9548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62" w:name="_Toc10962"/>
      <w:bookmarkStart w:id="1063" w:name="_Toc28520"/>
      <w:bookmarkStart w:id="1064" w:name="_Toc30459"/>
      <w:bookmarkStart w:id="1065" w:name="_Toc5303"/>
      <w:bookmarkStart w:id="1066" w:name="_Toc28932"/>
      <w:bookmarkStart w:id="1067" w:name="_Toc1263"/>
      <w:r>
        <w:rPr>
          <w:rFonts w:hint="default" w:ascii="Times New Roman" w:hAnsi="Times New Roman" w:eastAsia="宋体" w:cs="Times New Roman"/>
          <w:color w:val="auto"/>
          <w:sz w:val="24"/>
          <w:szCs w:val="24"/>
          <w:lang w:val="en-US" w:eastAsia="zh-CN"/>
        </w:rPr>
        <w:t>①现场踏勘、资料收集；</w:t>
      </w:r>
      <w:bookmarkEnd w:id="1062"/>
      <w:bookmarkEnd w:id="1063"/>
      <w:bookmarkEnd w:id="1064"/>
      <w:bookmarkEnd w:id="1065"/>
      <w:bookmarkEnd w:id="1066"/>
      <w:bookmarkEnd w:id="1067"/>
    </w:p>
    <w:p w14:paraId="4E9667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68" w:name="_Toc815"/>
      <w:bookmarkStart w:id="1069" w:name="_Toc30664"/>
      <w:bookmarkStart w:id="1070" w:name="_Toc7004"/>
      <w:bookmarkStart w:id="1071" w:name="_Toc23188"/>
      <w:bookmarkStart w:id="1072" w:name="_Toc2889"/>
      <w:bookmarkStart w:id="1073" w:name="_Toc14447"/>
      <w:r>
        <w:rPr>
          <w:rFonts w:hint="default" w:ascii="Times New Roman" w:hAnsi="Times New Roman" w:eastAsia="宋体" w:cs="Times New Roman"/>
          <w:color w:val="auto"/>
          <w:sz w:val="24"/>
          <w:szCs w:val="24"/>
          <w:lang w:val="en-US" w:eastAsia="zh-CN"/>
        </w:rPr>
        <w:t>②现状监测资料收集整理及统计；</w:t>
      </w:r>
      <w:bookmarkEnd w:id="1068"/>
      <w:bookmarkEnd w:id="1069"/>
      <w:bookmarkEnd w:id="1070"/>
      <w:bookmarkEnd w:id="1071"/>
      <w:bookmarkEnd w:id="1072"/>
      <w:bookmarkEnd w:id="1073"/>
    </w:p>
    <w:p w14:paraId="46EA2F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74" w:name="_Toc31563"/>
      <w:bookmarkStart w:id="1075" w:name="_Toc26977"/>
      <w:bookmarkStart w:id="1076" w:name="_Toc27458"/>
      <w:bookmarkStart w:id="1077" w:name="_Toc16684"/>
      <w:bookmarkStart w:id="1078" w:name="_Toc3681"/>
      <w:bookmarkStart w:id="1079" w:name="_Toc30336"/>
      <w:r>
        <w:rPr>
          <w:rFonts w:hint="default" w:ascii="Times New Roman" w:hAnsi="Times New Roman" w:eastAsia="宋体" w:cs="Times New Roman"/>
          <w:color w:val="auto"/>
          <w:sz w:val="24"/>
          <w:szCs w:val="24"/>
          <w:lang w:val="en-US" w:eastAsia="zh-CN"/>
        </w:rPr>
        <w:t>③环境影响报告书编制；</w:t>
      </w:r>
      <w:bookmarkEnd w:id="1074"/>
      <w:bookmarkEnd w:id="1075"/>
      <w:bookmarkEnd w:id="1076"/>
      <w:bookmarkEnd w:id="1077"/>
      <w:bookmarkEnd w:id="1078"/>
      <w:bookmarkEnd w:id="1079"/>
    </w:p>
    <w:p w14:paraId="539AA5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sz w:val="24"/>
          <w:szCs w:val="24"/>
          <w:lang w:val="en-US" w:eastAsia="zh-CN"/>
        </w:rPr>
      </w:pPr>
      <w:bookmarkStart w:id="1080" w:name="_Toc21432"/>
      <w:bookmarkStart w:id="1081" w:name="_Toc29927"/>
      <w:bookmarkStart w:id="1082" w:name="_Toc22186"/>
      <w:bookmarkStart w:id="1083" w:name="_Toc17186"/>
      <w:bookmarkStart w:id="1084" w:name="_Toc17645"/>
      <w:bookmarkStart w:id="1085" w:name="_Toc13901"/>
      <w:r>
        <w:rPr>
          <w:rFonts w:hint="default" w:ascii="Times New Roman" w:hAnsi="Times New Roman" w:eastAsia="宋体" w:cs="Times New Roman"/>
          <w:color w:val="auto"/>
          <w:sz w:val="24"/>
          <w:szCs w:val="24"/>
          <w:lang w:val="en-US" w:eastAsia="zh-CN"/>
        </w:rPr>
        <w:t>④报生态环境局审查。</w:t>
      </w:r>
      <w:bookmarkEnd w:id="1080"/>
      <w:bookmarkEnd w:id="1081"/>
      <w:bookmarkEnd w:id="1082"/>
      <w:bookmarkEnd w:id="1083"/>
      <w:bookmarkEnd w:id="1084"/>
      <w:bookmarkEnd w:id="1085"/>
    </w:p>
    <w:p w14:paraId="4CAAE8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lang w:val="en-US" w:eastAsia="zh-CN"/>
        </w:rPr>
      </w:pPr>
      <w:bookmarkStart w:id="1086" w:name="_Toc10024"/>
      <w:bookmarkStart w:id="1087" w:name="_Toc22310"/>
      <w:bookmarkStart w:id="1088" w:name="_Toc15259"/>
      <w:bookmarkStart w:id="1089" w:name="_Toc5973"/>
      <w:bookmarkStart w:id="1090" w:name="_Toc2018"/>
      <w:bookmarkStart w:id="1091" w:name="_Toc31067"/>
      <w:r>
        <w:rPr>
          <w:rFonts w:hint="default" w:ascii="Times New Roman" w:hAnsi="Times New Roman" w:eastAsia="宋体" w:cs="Times New Roman"/>
          <w:color w:val="auto"/>
          <w:sz w:val="24"/>
          <w:szCs w:val="24"/>
          <w:lang w:val="en-US" w:eastAsia="zh-CN"/>
        </w:rPr>
        <w:t>其主要技术路线详见图 1.1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-1。</w:t>
      </w:r>
      <w:bookmarkEnd w:id="1086"/>
      <w:bookmarkEnd w:id="1087"/>
      <w:bookmarkEnd w:id="1088"/>
      <w:bookmarkEnd w:id="1089"/>
      <w:bookmarkEnd w:id="1090"/>
      <w:bookmarkEnd w:id="1091"/>
    </w:p>
    <w:p w14:paraId="39C899F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auto"/>
          <w:sz w:val="24"/>
          <w:szCs w:val="24"/>
        </w:rPr>
      </w:pPr>
      <w:bookmarkStart w:id="1092" w:name="_Toc14432"/>
      <w:bookmarkStart w:id="1093" w:name="_Toc19765"/>
      <w:bookmarkStart w:id="1094" w:name="_Toc9069"/>
      <w:r>
        <w:rPr>
          <w:rFonts w:hint="default" w:ascii="Times New Roman" w:hAnsi="Times New Roman" w:eastAsia="宋体" w:cs="Times New Roman"/>
          <w:color w:val="auto"/>
          <w:sz w:val="21"/>
          <w:szCs w:val="21"/>
          <w:lang w:val="en-US" w:eastAsia="zh-CN"/>
        </w:rPr>
        <w:drawing>
          <wp:inline distT="0" distB="0" distL="114300" distR="114300">
            <wp:extent cx="5247005" cy="5026660"/>
            <wp:effectExtent l="0" t="0" r="10795" b="2540"/>
            <wp:docPr id="11" name="图片 11" descr="图片1快红谷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快红谷滩"/>
                    <pic:cNvPicPr>
                      <a:picLocks noChangeAspect="1"/>
                    </pic:cNvPicPr>
                  </pic:nvPicPr>
                  <pic:blipFill>
                    <a:blip r:embed="rId14"/>
                    <a:stretch>
                      <a:fillRect/>
                    </a:stretch>
                  </pic:blipFill>
                  <pic:spPr>
                    <a:xfrm>
                      <a:off x="0" y="0"/>
                      <a:ext cx="5247005" cy="5026660"/>
                    </a:xfrm>
                    <a:prstGeom prst="rect">
                      <a:avLst/>
                    </a:prstGeom>
                  </pic:spPr>
                </pic:pic>
              </a:graphicData>
            </a:graphic>
          </wp:inline>
        </w:drawing>
      </w:r>
      <w:r>
        <w:rPr>
          <w:rFonts w:hint="default" w:ascii="Times New Roman" w:hAnsi="Times New Roman" w:eastAsia="宋体" w:cs="Times New Roman"/>
          <w:b/>
          <w:bCs/>
          <w:color w:val="auto"/>
          <w:sz w:val="21"/>
          <w:szCs w:val="21"/>
          <w:highlight w:val="none"/>
          <w:lang w:val="en-US" w:eastAsia="zh-CN"/>
        </w:rPr>
        <w:t>图1.1</w:t>
      </w:r>
      <w:r>
        <w:rPr>
          <w:rFonts w:hint="eastAsia" w:ascii="Times New Roman" w:hAnsi="Times New Roman" w:eastAsia="宋体" w:cs="Times New Roman"/>
          <w:b/>
          <w:bCs/>
          <w:color w:val="auto"/>
          <w:sz w:val="21"/>
          <w:szCs w:val="21"/>
          <w:highlight w:val="none"/>
          <w:lang w:val="en-US" w:eastAsia="zh-CN"/>
        </w:rPr>
        <w:t>0</w:t>
      </w:r>
      <w:r>
        <w:rPr>
          <w:rFonts w:hint="default" w:ascii="Times New Roman" w:hAnsi="Times New Roman" w:eastAsia="宋体" w:cs="Times New Roman"/>
          <w:b/>
          <w:bCs/>
          <w:color w:val="auto"/>
          <w:sz w:val="21"/>
          <w:szCs w:val="21"/>
          <w:highlight w:val="none"/>
          <w:lang w:val="en-US" w:eastAsia="zh-CN"/>
        </w:rPr>
        <w:t>-1 评价工作程序图</w:t>
      </w:r>
      <w:bookmarkEnd w:id="1092"/>
      <w:bookmarkEnd w:id="1093"/>
      <w:bookmarkEnd w:id="1094"/>
    </w:p>
    <w:p w14:paraId="74601558">
      <w:pPr>
        <w:pStyle w:val="5"/>
        <w:bidi w:val="0"/>
        <w:rPr>
          <w:rFonts w:hint="default" w:ascii="Times New Roman" w:hAnsi="Times New Roman" w:eastAsia="宋体" w:cs="Times New Roman"/>
          <w:color w:val="auto"/>
          <w:lang w:val="en-US" w:eastAsia="zh-CN"/>
        </w:rPr>
      </w:pPr>
      <w:bookmarkStart w:id="1095" w:name="_Toc188094032"/>
      <w:bookmarkEnd w:id="1095"/>
      <w:bookmarkStart w:id="1096" w:name="_Toc313923098"/>
      <w:bookmarkEnd w:id="1096"/>
      <w:bookmarkStart w:id="1097" w:name="_Toc188625917"/>
      <w:bookmarkEnd w:id="1097"/>
      <w:bookmarkStart w:id="1098" w:name="_Toc516909502"/>
      <w:bookmarkEnd w:id="1098"/>
      <w:bookmarkStart w:id="1099" w:name="_Toc12339"/>
      <w:bookmarkEnd w:id="1099"/>
      <w:bookmarkStart w:id="1100" w:name="_Toc516881836"/>
      <w:bookmarkEnd w:id="1100"/>
      <w:bookmarkStart w:id="1101" w:name="_Toc238871188"/>
      <w:bookmarkEnd w:id="1101"/>
      <w:bookmarkStart w:id="1102" w:name="_Toc1638"/>
      <w:bookmarkEnd w:id="1102"/>
      <w:bookmarkStart w:id="1103" w:name="_Toc22304"/>
      <w:bookmarkEnd w:id="1103"/>
      <w:bookmarkStart w:id="1104" w:name="_Toc112231589"/>
      <w:bookmarkEnd w:id="1104"/>
      <w:bookmarkStart w:id="1105" w:name="_Toc217692925"/>
      <w:bookmarkEnd w:id="1105"/>
      <w:bookmarkStart w:id="1106" w:name="_Toc27059"/>
      <w:bookmarkEnd w:id="1106"/>
      <w:bookmarkStart w:id="1107" w:name="_Toc164567045"/>
      <w:bookmarkEnd w:id="1107"/>
      <w:bookmarkStart w:id="1108" w:name="_Toc515070174"/>
      <w:bookmarkEnd w:id="1108"/>
      <w:bookmarkStart w:id="1109" w:name="_Toc7186"/>
      <w:bookmarkEnd w:id="1109"/>
      <w:bookmarkStart w:id="1110" w:name="_Toc27572"/>
      <w:bookmarkEnd w:id="1110"/>
      <w:bookmarkStart w:id="1111" w:name="_Toc533758302"/>
      <w:bookmarkEnd w:id="1111"/>
      <w:bookmarkStart w:id="1112" w:name="_Toc230233621"/>
      <w:bookmarkEnd w:id="1112"/>
      <w:bookmarkStart w:id="1113" w:name="_Toc151725020"/>
      <w:bookmarkEnd w:id="1113"/>
      <w:bookmarkStart w:id="1114" w:name="_Toc5928"/>
      <w:bookmarkEnd w:id="1114"/>
      <w:bookmarkStart w:id="1115" w:name="_Toc535577144"/>
      <w:bookmarkEnd w:id="1115"/>
      <w:bookmarkStart w:id="1116" w:name="_Toc112464912"/>
      <w:bookmarkEnd w:id="1116"/>
      <w:bookmarkStart w:id="1117" w:name="_Toc11485"/>
      <w:bookmarkEnd w:id="1117"/>
      <w:bookmarkStart w:id="1118" w:name="_Toc517497480"/>
      <w:bookmarkEnd w:id="1118"/>
      <w:bookmarkStart w:id="1119" w:name="_Toc112158469"/>
      <w:bookmarkEnd w:id="1119"/>
      <w:bookmarkStart w:id="1120" w:name="_Toc515021434"/>
      <w:bookmarkEnd w:id="1120"/>
      <w:bookmarkStart w:id="1121" w:name="_Toc205114907"/>
      <w:bookmarkEnd w:id="1121"/>
      <w:bookmarkStart w:id="1122" w:name="_Toc535577281"/>
      <w:bookmarkEnd w:id="1122"/>
      <w:bookmarkStart w:id="1123" w:name="_Toc17068"/>
      <w:bookmarkEnd w:id="1123"/>
      <w:bookmarkStart w:id="1124" w:name="_Toc517442762"/>
      <w:bookmarkEnd w:id="1124"/>
      <w:bookmarkStart w:id="1125" w:name="_Toc112466493"/>
      <w:bookmarkEnd w:id="1125"/>
      <w:bookmarkStart w:id="1126" w:name="_Toc112231404"/>
      <w:bookmarkEnd w:id="1126"/>
      <w:bookmarkStart w:id="1127" w:name="_Toc515021055"/>
      <w:bookmarkEnd w:id="1127"/>
      <w:bookmarkStart w:id="1128" w:name="_Toc516888853"/>
      <w:bookmarkEnd w:id="1128"/>
      <w:bookmarkStart w:id="1129" w:name="_Toc515020918"/>
      <w:bookmarkEnd w:id="1129"/>
      <w:bookmarkStart w:id="1130" w:name="_Toc187458649"/>
      <w:bookmarkEnd w:id="1130"/>
      <w:bookmarkStart w:id="1131" w:name="_Toc188626365"/>
      <w:bookmarkEnd w:id="1131"/>
      <w:bookmarkStart w:id="1132" w:name="_Toc112496806"/>
      <w:bookmarkEnd w:id="1132"/>
      <w:bookmarkStart w:id="1133" w:name="_Toc515524489"/>
      <w:bookmarkEnd w:id="1133"/>
      <w:bookmarkStart w:id="1134" w:name="_Toc27354"/>
      <w:bookmarkEnd w:id="1134"/>
      <w:bookmarkStart w:id="1135" w:name="_Toc1566"/>
      <w:bookmarkEnd w:id="1135"/>
      <w:bookmarkStart w:id="1136" w:name="_Toc22340"/>
      <w:bookmarkEnd w:id="1136"/>
      <w:bookmarkStart w:id="1137" w:name="_Toc515504059"/>
      <w:bookmarkEnd w:id="1137"/>
      <w:bookmarkStart w:id="1138" w:name="_Toc188626589"/>
      <w:bookmarkEnd w:id="1138"/>
      <w:bookmarkStart w:id="1139" w:name="_Toc4358"/>
      <w:bookmarkEnd w:id="1139"/>
      <w:bookmarkStart w:id="1140" w:name="_Toc18553"/>
      <w:bookmarkEnd w:id="1140"/>
      <w:bookmarkStart w:id="1141" w:name="_Toc139875134"/>
      <w:bookmarkEnd w:id="1141"/>
      <w:bookmarkStart w:id="1142" w:name="_Toc25192"/>
      <w:bookmarkEnd w:id="1142"/>
      <w:bookmarkStart w:id="1143" w:name="_Toc517084107"/>
      <w:bookmarkEnd w:id="1143"/>
      <w:bookmarkStart w:id="1144" w:name="_Toc205114725"/>
      <w:bookmarkEnd w:id="1144"/>
      <w:bookmarkStart w:id="1145" w:name="_Toc516654309"/>
      <w:bookmarkEnd w:id="1145"/>
      <w:bookmarkStart w:id="1146" w:name="_Toc517442584"/>
      <w:bookmarkEnd w:id="1146"/>
      <w:bookmarkStart w:id="1147" w:name="_Toc535578123"/>
      <w:bookmarkEnd w:id="1147"/>
      <w:bookmarkStart w:id="1148" w:name="_Toc187825895"/>
      <w:bookmarkEnd w:id="1148"/>
      <w:bookmarkStart w:id="1149" w:name="_Toc187483394"/>
      <w:bookmarkEnd w:id="1149"/>
      <w:bookmarkStart w:id="1150" w:name="_Toc313923171"/>
      <w:bookmarkEnd w:id="1150"/>
      <w:bookmarkStart w:id="1151" w:name="_Toc534965815"/>
      <w:bookmarkEnd w:id="1151"/>
      <w:bookmarkStart w:id="1152" w:name="_Toc11868"/>
      <w:bookmarkEnd w:id="1152"/>
      <w:bookmarkStart w:id="1153" w:name="_Toc188601559"/>
      <w:bookmarkEnd w:id="1153"/>
      <w:bookmarkStart w:id="1154" w:name="_Toc777062"/>
      <w:bookmarkEnd w:id="1154"/>
      <w:bookmarkStart w:id="1155" w:name="_Toc516044032"/>
      <w:bookmarkEnd w:id="1155"/>
      <w:bookmarkStart w:id="1156" w:name="_Toc97973622"/>
      <w:bookmarkEnd w:id="1156"/>
      <w:bookmarkStart w:id="1157" w:name="_Toc515015842"/>
      <w:bookmarkEnd w:id="1157"/>
      <w:bookmarkStart w:id="1158" w:name="_Toc30138"/>
      <w:bookmarkEnd w:id="1158"/>
      <w:bookmarkStart w:id="1159" w:name="_Toc7398"/>
      <w:bookmarkEnd w:id="1159"/>
      <w:bookmarkStart w:id="1160" w:name="_Toc187483112"/>
      <w:bookmarkEnd w:id="1160"/>
      <w:bookmarkStart w:id="1161" w:name="_Toc112290959"/>
      <w:bookmarkEnd w:id="1161"/>
      <w:bookmarkStart w:id="1162" w:name="_Toc515015998"/>
      <w:bookmarkEnd w:id="1162"/>
      <w:bookmarkStart w:id="1163" w:name="_Toc187483584"/>
      <w:bookmarkEnd w:id="1163"/>
      <w:bookmarkStart w:id="1164" w:name="_Toc517059377"/>
      <w:bookmarkEnd w:id="1164"/>
      <w:bookmarkStart w:id="1165" w:name="_Toc112289937"/>
      <w:bookmarkEnd w:id="1165"/>
      <w:bookmarkStart w:id="1166" w:name="_Toc395280515"/>
      <w:bookmarkEnd w:id="1166"/>
      <w:bookmarkStart w:id="1167" w:name="_Toc448"/>
      <w:bookmarkEnd w:id="1167"/>
      <w:bookmarkStart w:id="1168" w:name="_Toc22932"/>
      <w:bookmarkEnd w:id="1168"/>
      <w:bookmarkStart w:id="1169" w:name="_Toc2999"/>
      <w:bookmarkEnd w:id="1169"/>
      <w:bookmarkStart w:id="1170" w:name="_Toc112121641"/>
      <w:bookmarkEnd w:id="1170"/>
      <w:bookmarkStart w:id="1171" w:name="_Toc17481"/>
      <w:bookmarkEnd w:id="1171"/>
      <w:bookmarkStart w:id="1172" w:name="_Toc17088"/>
      <w:bookmarkStart w:id="1173" w:name="_TOC_250042"/>
      <w:bookmarkStart w:id="1174" w:name="_Toc22021"/>
      <w:bookmarkStart w:id="1175" w:name="_Toc188626813"/>
      <w:r>
        <w:rPr>
          <w:rFonts w:hint="default" w:ascii="Times New Roman" w:hAnsi="Times New Roman" w:eastAsia="宋体" w:cs="Times New Roman"/>
          <w:color w:val="auto"/>
        </w:rPr>
        <w:t>2</w:t>
      </w:r>
      <w:bookmarkEnd w:id="1172"/>
      <w:bookmarkEnd w:id="1173"/>
      <w:r>
        <w:rPr>
          <w:rFonts w:hint="default" w:ascii="Times New Roman" w:hAnsi="Times New Roman" w:eastAsia="宋体" w:cs="Times New Roman"/>
          <w:color w:val="auto"/>
          <w:lang w:val="en-US" w:eastAsia="zh-CN"/>
        </w:rPr>
        <w:t>工程概况</w:t>
      </w:r>
      <w:bookmarkEnd w:id="1174"/>
    </w:p>
    <w:p w14:paraId="7649E238">
      <w:pPr>
        <w:pStyle w:val="6"/>
        <w:bidi w:val="0"/>
        <w:rPr>
          <w:rFonts w:hint="default" w:ascii="Times New Roman" w:hAnsi="Times New Roman" w:eastAsia="宋体" w:cs="Times New Roman"/>
          <w:color w:val="auto"/>
          <w:lang w:val="en-US" w:eastAsia="zh-CN"/>
        </w:rPr>
      </w:pPr>
      <w:bookmarkStart w:id="1176" w:name="_Toc6804"/>
      <w:bookmarkStart w:id="1177" w:name="_Toc15051"/>
      <w:bookmarkStart w:id="1178" w:name="_Toc28686"/>
      <w:r>
        <w:rPr>
          <w:rFonts w:hint="default" w:ascii="Times New Roman" w:hAnsi="Times New Roman" w:eastAsia="宋体" w:cs="Times New Roman"/>
          <w:color w:val="auto"/>
        </w:rPr>
        <w:t>2.1</w:t>
      </w:r>
      <w:bookmarkEnd w:id="1176"/>
      <w:bookmarkEnd w:id="1177"/>
      <w:r>
        <w:rPr>
          <w:rFonts w:hint="default" w:ascii="Times New Roman" w:hAnsi="Times New Roman" w:eastAsia="宋体" w:cs="Times New Roman"/>
          <w:color w:val="auto"/>
          <w:lang w:val="en-US" w:eastAsia="zh-CN"/>
        </w:rPr>
        <w:t>建设项目概况</w:t>
      </w:r>
      <w:bookmarkEnd w:id="1178"/>
    </w:p>
    <w:bookmarkEnd w:id="1175"/>
    <w:p w14:paraId="677A6EF8">
      <w:pPr>
        <w:pStyle w:val="7"/>
        <w:bidi w:val="0"/>
        <w:rPr>
          <w:rFonts w:hint="default" w:ascii="Times New Roman" w:hAnsi="Times New Roman" w:eastAsia="宋体" w:cs="Times New Roman"/>
          <w:color w:val="auto"/>
        </w:rPr>
      </w:pPr>
      <w:bookmarkStart w:id="1179" w:name="_Toc395280518"/>
      <w:bookmarkEnd w:id="1179"/>
      <w:bookmarkStart w:id="1180" w:name="_Toc27995"/>
      <w:r>
        <w:rPr>
          <w:rFonts w:hint="default" w:ascii="Times New Roman" w:hAnsi="Times New Roman" w:eastAsia="宋体" w:cs="Times New Roman"/>
          <w:color w:val="auto"/>
          <w:lang w:val="en-US" w:eastAsia="zh-CN"/>
        </w:rPr>
        <w:t>2.1.1 项目名称、建设性质、投资总额</w:t>
      </w:r>
      <w:bookmarkEnd w:id="1180"/>
    </w:p>
    <w:p w14:paraId="601883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（1）项目名称：大英县医疗救治救援中心综合建设项目</w:t>
      </w:r>
    </w:p>
    <w:p w14:paraId="795CB5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（2）建设性质：新建</w:t>
      </w:r>
    </w:p>
    <w:p w14:paraId="7ED3D7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（3）建设单位：大英县禾鑫城市建设投资有限公司</w:t>
      </w:r>
    </w:p>
    <w:p w14:paraId="7B7820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（4）建设地点：遂宁市大英县文旅产业园区（E105.258213，N30.599787）</w:t>
      </w:r>
    </w:p>
    <w:p w14:paraId="1BE2EA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（5）建设投资：项目计划投资约87200万元。</w:t>
      </w:r>
    </w:p>
    <w:p w14:paraId="4C069C67">
      <w:pPr>
        <w:pStyle w:val="7"/>
        <w:bidi w:val="0"/>
        <w:rPr>
          <w:rFonts w:hint="default" w:ascii="Times New Roman" w:hAnsi="Times New Roman" w:eastAsia="宋体" w:cs="Times New Roman"/>
          <w:color w:val="auto"/>
          <w:lang w:val="en-US" w:eastAsia="zh-CN"/>
        </w:rPr>
      </w:pPr>
      <w:bookmarkStart w:id="1181" w:name="_Toc27178"/>
      <w:r>
        <w:rPr>
          <w:rFonts w:hint="default" w:ascii="Times New Roman" w:hAnsi="Times New Roman" w:eastAsia="宋体" w:cs="Times New Roman"/>
          <w:color w:val="auto"/>
          <w:lang w:val="en-US" w:eastAsia="zh-CN"/>
        </w:rPr>
        <w:t>2.1.2建设规模及内容</w:t>
      </w:r>
      <w:bookmarkEnd w:id="1181"/>
    </w:p>
    <w:p w14:paraId="7F11BB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（1）床位规模</w:t>
      </w:r>
    </w:p>
    <w:p w14:paraId="01886E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本项目设置床位数为1100张。</w:t>
      </w:r>
    </w:p>
    <w:p w14:paraId="6B68FD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（2）占地面积</w:t>
      </w:r>
    </w:p>
    <w:p w14:paraId="53CDB5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项目总占地面积70284.55平方米，建筑面积：219132.67平方米。</w:t>
      </w:r>
    </w:p>
    <w:p w14:paraId="3283E9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（3）建设内容</w:t>
      </w:r>
    </w:p>
    <w:p w14:paraId="156055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项目建设内容包括：项目</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总用地面积70284.55平方米，设置床位1100张。建设内容由1栋门急诊医技住院综合楼（1#楼）、1栋后勤楼（2#楼）、1栋感染楼（3#楼）和1栋发热楼（4#楼）组成。配套建设锅炉房，液氧站，污水处理站等辅助设施。设置机动车位1428个，非机动车位2921个。</w:t>
      </w:r>
    </w:p>
    <w:p w14:paraId="4884103B">
      <w:pPr>
        <w:pStyle w:val="7"/>
        <w:bidi w:val="0"/>
        <w:rPr>
          <w:rFonts w:hint="default" w:ascii="Times New Roman" w:hAnsi="Times New Roman" w:eastAsia="宋体" w:cs="Times New Roman"/>
          <w:color w:val="auto"/>
          <w:lang w:val="en-US" w:eastAsia="zh-CN"/>
        </w:rPr>
      </w:pPr>
      <w:bookmarkStart w:id="1182" w:name="_Toc20686"/>
      <w:r>
        <w:rPr>
          <w:rFonts w:hint="default" w:ascii="Times New Roman" w:hAnsi="Times New Roman" w:eastAsia="宋体" w:cs="Times New Roman"/>
          <w:color w:val="auto"/>
          <w:lang w:val="en-US" w:eastAsia="zh-CN"/>
        </w:rPr>
        <w:t>2.1.3生产制度</w:t>
      </w:r>
      <w:bookmarkEnd w:id="1182"/>
    </w:p>
    <w:p w14:paraId="160FA37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w:t>
      </w:r>
      <w:r>
        <w:rPr>
          <w:rFonts w:hint="default" w:ascii="Times New Roman" w:hAnsi="Times New Roman" w:eastAsia="宋体" w:cs="Times New Roman"/>
          <w:i w:val="0"/>
          <w:iCs w:val="0"/>
          <w:caps w:val="0"/>
          <w:color w:val="auto"/>
          <w:spacing w:val="0"/>
          <w:sz w:val="24"/>
          <w:szCs w:val="24"/>
          <w:shd w:val="clear" w:fill="FFFFFF"/>
        </w:rPr>
        <w:t>医护</w:t>
      </w:r>
      <w:r>
        <w:rPr>
          <w:rFonts w:hint="default" w:ascii="Times New Roman" w:hAnsi="Times New Roman" w:eastAsia="宋体" w:cs="Times New Roman"/>
          <w:i w:val="0"/>
          <w:iCs w:val="0"/>
          <w:caps w:val="0"/>
          <w:color w:val="auto"/>
          <w:spacing w:val="0"/>
          <w:sz w:val="24"/>
          <w:szCs w:val="24"/>
          <w:shd w:val="clear" w:fill="FFFFFF"/>
          <w:lang w:val="en-US" w:eastAsia="zh-CN"/>
        </w:rPr>
        <w:t>及行政办公</w:t>
      </w:r>
      <w:r>
        <w:rPr>
          <w:rFonts w:hint="default" w:ascii="Times New Roman" w:hAnsi="Times New Roman" w:eastAsia="宋体" w:cs="Times New Roman"/>
          <w:i w:val="0"/>
          <w:iCs w:val="0"/>
          <w:caps w:val="0"/>
          <w:color w:val="auto"/>
          <w:spacing w:val="0"/>
          <w:sz w:val="24"/>
          <w:szCs w:val="24"/>
          <w:shd w:val="clear" w:fill="FFFFFF"/>
        </w:rPr>
        <w:t>人员</w:t>
      </w:r>
      <w:r>
        <w:rPr>
          <w:rFonts w:hint="default" w:ascii="Times New Roman" w:hAnsi="Times New Roman" w:eastAsia="宋体" w:cs="Times New Roman"/>
          <w:i w:val="0"/>
          <w:iCs w:val="0"/>
          <w:caps w:val="0"/>
          <w:color w:val="auto"/>
          <w:spacing w:val="0"/>
          <w:sz w:val="24"/>
          <w:szCs w:val="24"/>
          <w:shd w:val="clear" w:fill="FFFFFF"/>
          <w:lang w:val="en-US" w:eastAsia="zh-CN"/>
        </w:rPr>
        <w:t>1760</w:t>
      </w:r>
      <w:r>
        <w:rPr>
          <w:rFonts w:hint="default" w:ascii="Times New Roman" w:hAnsi="Times New Roman" w:eastAsia="宋体" w:cs="Times New Roman"/>
          <w:i w:val="0"/>
          <w:iCs w:val="0"/>
          <w:caps w:val="0"/>
          <w:color w:val="auto"/>
          <w:spacing w:val="0"/>
          <w:sz w:val="24"/>
          <w:szCs w:val="24"/>
          <w:shd w:val="clear" w:fill="FFFFFF"/>
        </w:rPr>
        <w:t>人，24小时三班制，年工作天数3</w:t>
      </w:r>
      <w:r>
        <w:rPr>
          <w:rFonts w:hint="default" w:ascii="Times New Roman" w:hAnsi="Times New Roman" w:eastAsia="宋体" w:cs="Times New Roman"/>
          <w:i w:val="0"/>
          <w:iCs w:val="0"/>
          <w:caps w:val="0"/>
          <w:color w:val="auto"/>
          <w:spacing w:val="0"/>
          <w:sz w:val="24"/>
          <w:szCs w:val="24"/>
          <w:shd w:val="clear" w:fill="FFFFFF"/>
          <w:lang w:val="en-US" w:eastAsia="zh-CN"/>
        </w:rPr>
        <w:t>65</w:t>
      </w:r>
      <w:r>
        <w:rPr>
          <w:rFonts w:hint="default" w:ascii="Times New Roman" w:hAnsi="Times New Roman" w:eastAsia="宋体" w:cs="Times New Roman"/>
          <w:i w:val="0"/>
          <w:iCs w:val="0"/>
          <w:caps w:val="0"/>
          <w:color w:val="auto"/>
          <w:spacing w:val="0"/>
          <w:sz w:val="24"/>
          <w:szCs w:val="24"/>
          <w:shd w:val="clear" w:fill="FFFFFF"/>
        </w:rPr>
        <w:t>天。</w:t>
      </w:r>
    </w:p>
    <w:p w14:paraId="398D8EDD">
      <w:pPr>
        <w:pStyle w:val="7"/>
        <w:bidi w:val="0"/>
        <w:rPr>
          <w:rFonts w:hint="default" w:ascii="Times New Roman" w:hAnsi="Times New Roman" w:eastAsia="宋体" w:cs="Times New Roman"/>
          <w:color w:val="auto"/>
          <w:lang w:val="en-US" w:eastAsia="zh-CN"/>
        </w:rPr>
      </w:pPr>
      <w:bookmarkStart w:id="1183" w:name="_Toc5151"/>
      <w:r>
        <w:rPr>
          <w:rFonts w:hint="default" w:ascii="Times New Roman" w:hAnsi="Times New Roman" w:eastAsia="宋体" w:cs="Times New Roman"/>
          <w:color w:val="auto"/>
          <w:lang w:val="en-US" w:eastAsia="zh-CN"/>
        </w:rPr>
        <w:t>2.1.4建设内容</w:t>
      </w:r>
      <w:bookmarkEnd w:id="1183"/>
    </w:p>
    <w:p w14:paraId="031004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项目主要建筑物楼层功能区分布情况见下表。</w:t>
      </w:r>
    </w:p>
    <w:p w14:paraId="14972153">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表2.1-1 建筑分层布置情况</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874"/>
        <w:gridCol w:w="1037"/>
        <w:gridCol w:w="4681"/>
      </w:tblGrid>
      <w:tr w14:paraId="691F0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24" w:type="dxa"/>
            <w:shd w:val="clear" w:color="auto" w:fill="D7D7D7" w:themeFill="background1" w:themeFillShade="D8"/>
            <w:vAlign w:val="center"/>
          </w:tcPr>
          <w:p w14:paraId="12D606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楼号</w:t>
            </w:r>
          </w:p>
        </w:tc>
        <w:tc>
          <w:tcPr>
            <w:tcW w:w="1874" w:type="dxa"/>
            <w:shd w:val="clear" w:color="auto" w:fill="D7D7D7" w:themeFill="background1" w:themeFillShade="D8"/>
            <w:vAlign w:val="center"/>
          </w:tcPr>
          <w:p w14:paraId="76267B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功能区</w:t>
            </w:r>
          </w:p>
        </w:tc>
        <w:tc>
          <w:tcPr>
            <w:tcW w:w="1037" w:type="dxa"/>
            <w:shd w:val="clear" w:color="auto" w:fill="D7D7D7" w:themeFill="background1" w:themeFillShade="D8"/>
            <w:vAlign w:val="center"/>
          </w:tcPr>
          <w:p w14:paraId="0517F6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楼层</w:t>
            </w:r>
          </w:p>
        </w:tc>
        <w:tc>
          <w:tcPr>
            <w:tcW w:w="4681" w:type="dxa"/>
            <w:shd w:val="clear" w:color="auto" w:fill="D7D7D7" w:themeFill="background1" w:themeFillShade="D8"/>
            <w:vAlign w:val="center"/>
          </w:tcPr>
          <w:p w14:paraId="30E429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主要功能布置情况</w:t>
            </w:r>
          </w:p>
        </w:tc>
      </w:tr>
      <w:tr w14:paraId="0E9272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restart"/>
            <w:vAlign w:val="center"/>
          </w:tcPr>
          <w:p w14:paraId="1FB075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1#楼</w:t>
            </w:r>
          </w:p>
        </w:tc>
        <w:tc>
          <w:tcPr>
            <w:tcW w:w="1874" w:type="dxa"/>
            <w:vMerge w:val="restart"/>
            <w:vAlign w:val="center"/>
          </w:tcPr>
          <w:p w14:paraId="71F492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门急诊医技住院综合楼</w:t>
            </w:r>
          </w:p>
        </w:tc>
        <w:tc>
          <w:tcPr>
            <w:tcW w:w="1037" w:type="dxa"/>
            <w:vAlign w:val="center"/>
          </w:tcPr>
          <w:p w14:paraId="2A5EE0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-2F</w:t>
            </w:r>
          </w:p>
        </w:tc>
        <w:tc>
          <w:tcPr>
            <w:tcW w:w="4681" w:type="dxa"/>
            <w:vAlign w:val="center"/>
          </w:tcPr>
          <w:p w14:paraId="663A28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地下车库</w:t>
            </w:r>
          </w:p>
        </w:tc>
      </w:tr>
      <w:tr w14:paraId="5B10F9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A984C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57EAC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037" w:type="dxa"/>
            <w:vAlign w:val="center"/>
          </w:tcPr>
          <w:p w14:paraId="3D5A7F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35C013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地下车库</w:t>
            </w:r>
          </w:p>
        </w:tc>
      </w:tr>
      <w:tr w14:paraId="05935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52821E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605F3C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06C57F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5A76CA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门诊大厅、急诊科、外科门诊、体检中心、肾内科、血液透析、放射科</w:t>
            </w:r>
          </w:p>
        </w:tc>
      </w:tr>
      <w:tr w14:paraId="2AC5A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2AF1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11CF45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0B2F97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2F</w:t>
            </w:r>
          </w:p>
        </w:tc>
        <w:tc>
          <w:tcPr>
            <w:tcW w:w="4681" w:type="dxa"/>
            <w:vAlign w:val="center"/>
          </w:tcPr>
          <w:p w14:paraId="07797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血液透析、住院配套、消毒供应、体检中心、内科门诊、检验科、介入中心、康复医学、儿科</w:t>
            </w:r>
          </w:p>
        </w:tc>
      </w:tr>
      <w:tr w14:paraId="02C93B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6C5190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00EB44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15507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3F</w:t>
            </w:r>
          </w:p>
        </w:tc>
        <w:tc>
          <w:tcPr>
            <w:tcW w:w="4681" w:type="dxa"/>
            <w:vAlign w:val="center"/>
          </w:tcPr>
          <w:p w14:paraId="779FA4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ICU、口腔科、耳鼻喉科、妇科、产科、功能检查科、超声科、内镜中心、皮肤科、医学美容中心</w:t>
            </w:r>
          </w:p>
        </w:tc>
      </w:tr>
      <w:tr w14:paraId="22C2D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4FFD5D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1FA03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2D9E5F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4F</w:t>
            </w:r>
          </w:p>
        </w:tc>
        <w:tc>
          <w:tcPr>
            <w:tcW w:w="4681" w:type="dxa"/>
            <w:vAlign w:val="center"/>
          </w:tcPr>
          <w:p w14:paraId="667FCC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手术室、预留诊区、康复科、日间化疗、病理科</w:t>
            </w:r>
          </w:p>
        </w:tc>
      </w:tr>
      <w:tr w14:paraId="3F6A62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21FD17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28AB6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01587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5F</w:t>
            </w:r>
          </w:p>
        </w:tc>
        <w:tc>
          <w:tcPr>
            <w:tcW w:w="4681" w:type="dxa"/>
            <w:vAlign w:val="center"/>
          </w:tcPr>
          <w:p w14:paraId="078B4A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输血科、住院药房、静配中心、行政后勤</w:t>
            </w:r>
          </w:p>
        </w:tc>
      </w:tr>
      <w:tr w14:paraId="6D25B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DFBE2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DC05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493072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6F</w:t>
            </w:r>
          </w:p>
        </w:tc>
        <w:tc>
          <w:tcPr>
            <w:tcW w:w="4681" w:type="dxa"/>
            <w:vAlign w:val="center"/>
          </w:tcPr>
          <w:p w14:paraId="5AC1C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产房、产科</w:t>
            </w:r>
          </w:p>
        </w:tc>
      </w:tr>
      <w:tr w14:paraId="2A9726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2547B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274480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383BC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7F</w:t>
            </w:r>
          </w:p>
        </w:tc>
        <w:tc>
          <w:tcPr>
            <w:tcW w:w="4681" w:type="dxa"/>
            <w:vAlign w:val="center"/>
          </w:tcPr>
          <w:p w14:paraId="5389FC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新生儿科、妇科</w:t>
            </w:r>
          </w:p>
        </w:tc>
      </w:tr>
      <w:tr w14:paraId="2CFAD6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E7705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563C8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2D51E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8F</w:t>
            </w:r>
          </w:p>
        </w:tc>
        <w:tc>
          <w:tcPr>
            <w:tcW w:w="4681" w:type="dxa"/>
            <w:vAlign w:val="center"/>
          </w:tcPr>
          <w:p w14:paraId="5DF2D8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儿科</w:t>
            </w:r>
          </w:p>
        </w:tc>
      </w:tr>
      <w:tr w14:paraId="067EE1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2D177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CF19F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39A8D5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9F</w:t>
            </w:r>
          </w:p>
        </w:tc>
        <w:tc>
          <w:tcPr>
            <w:tcW w:w="4681" w:type="dxa"/>
            <w:vAlign w:val="center"/>
          </w:tcPr>
          <w:p w14:paraId="30B15C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肿瘤科</w:t>
            </w:r>
          </w:p>
        </w:tc>
      </w:tr>
      <w:tr w14:paraId="6A4A4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218170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A25E5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02D724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10F</w:t>
            </w:r>
          </w:p>
        </w:tc>
        <w:tc>
          <w:tcPr>
            <w:tcW w:w="4681" w:type="dxa"/>
            <w:vAlign w:val="center"/>
          </w:tcPr>
          <w:p w14:paraId="6A1DC6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神经中心</w:t>
            </w:r>
          </w:p>
        </w:tc>
      </w:tr>
      <w:tr w14:paraId="5BC858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Merge w:val="continue"/>
            <w:vAlign w:val="center"/>
          </w:tcPr>
          <w:p w14:paraId="47D137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58AFA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03A9AB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11F</w:t>
            </w:r>
          </w:p>
        </w:tc>
        <w:tc>
          <w:tcPr>
            <w:tcW w:w="4681" w:type="dxa"/>
            <w:vAlign w:val="center"/>
          </w:tcPr>
          <w:p w14:paraId="1FA54A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消化中心</w:t>
            </w:r>
          </w:p>
        </w:tc>
      </w:tr>
      <w:tr w14:paraId="4D3020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1AD88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0B82CD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15BD5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12F</w:t>
            </w:r>
          </w:p>
        </w:tc>
        <w:tc>
          <w:tcPr>
            <w:tcW w:w="4681" w:type="dxa"/>
            <w:vAlign w:val="center"/>
          </w:tcPr>
          <w:p w14:paraId="3D0D6B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内二科心脏内科</w:t>
            </w:r>
          </w:p>
        </w:tc>
      </w:tr>
      <w:tr w14:paraId="79582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662012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3D2F41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E716A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13-14F</w:t>
            </w:r>
          </w:p>
        </w:tc>
        <w:tc>
          <w:tcPr>
            <w:tcW w:w="4681" w:type="dxa"/>
            <w:vAlign w:val="center"/>
          </w:tcPr>
          <w:p w14:paraId="04DF99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呼吸内科、胸外科</w:t>
            </w:r>
          </w:p>
        </w:tc>
      </w:tr>
      <w:tr w14:paraId="1E57C8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28491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4182E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246250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15F</w:t>
            </w:r>
          </w:p>
        </w:tc>
        <w:tc>
          <w:tcPr>
            <w:tcW w:w="4681" w:type="dxa"/>
            <w:vAlign w:val="center"/>
          </w:tcPr>
          <w:p w14:paraId="51278F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肛肠科</w:t>
            </w:r>
          </w:p>
        </w:tc>
      </w:tr>
      <w:tr w14:paraId="179E6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497B1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90B3B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591900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16F</w:t>
            </w:r>
          </w:p>
        </w:tc>
        <w:tc>
          <w:tcPr>
            <w:tcW w:w="4681" w:type="dxa"/>
            <w:vAlign w:val="center"/>
          </w:tcPr>
          <w:p w14:paraId="52707E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外一科</w:t>
            </w:r>
          </w:p>
        </w:tc>
      </w:tr>
      <w:tr w14:paraId="108A7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38B29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8BDA3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499D7B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17F</w:t>
            </w:r>
          </w:p>
        </w:tc>
        <w:tc>
          <w:tcPr>
            <w:tcW w:w="4681" w:type="dxa"/>
            <w:vAlign w:val="center"/>
          </w:tcPr>
          <w:p w14:paraId="7C4FF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外二科</w:t>
            </w:r>
          </w:p>
        </w:tc>
      </w:tr>
      <w:tr w14:paraId="569C40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4C8E2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3CD754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377EBB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18F</w:t>
            </w:r>
          </w:p>
        </w:tc>
        <w:tc>
          <w:tcPr>
            <w:tcW w:w="4681" w:type="dxa"/>
            <w:vAlign w:val="center"/>
          </w:tcPr>
          <w:p w14:paraId="1392A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康复中心</w:t>
            </w:r>
          </w:p>
        </w:tc>
      </w:tr>
      <w:tr w14:paraId="649CAF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4CED21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E139A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302BE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19F</w:t>
            </w:r>
          </w:p>
        </w:tc>
        <w:tc>
          <w:tcPr>
            <w:tcW w:w="4681" w:type="dxa"/>
            <w:vAlign w:val="center"/>
          </w:tcPr>
          <w:p w14:paraId="291069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眼科、耳鼻喉科</w:t>
            </w:r>
          </w:p>
        </w:tc>
      </w:tr>
      <w:tr w14:paraId="14538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24" w:type="dxa"/>
            <w:vMerge w:val="restart"/>
            <w:vAlign w:val="center"/>
          </w:tcPr>
          <w:p w14:paraId="3CF1EF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2#楼</w:t>
            </w:r>
          </w:p>
        </w:tc>
        <w:tc>
          <w:tcPr>
            <w:tcW w:w="1874" w:type="dxa"/>
            <w:vMerge w:val="restart"/>
            <w:vAlign w:val="center"/>
          </w:tcPr>
          <w:p w14:paraId="70BC88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后勤楼</w:t>
            </w:r>
          </w:p>
        </w:tc>
        <w:tc>
          <w:tcPr>
            <w:tcW w:w="1037" w:type="dxa"/>
            <w:vAlign w:val="center"/>
          </w:tcPr>
          <w:p w14:paraId="14483A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6AF31B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地下车库、柴油发电机房、变配电所、医废暂存间</w:t>
            </w:r>
          </w:p>
        </w:tc>
      </w:tr>
      <w:tr w14:paraId="704EAF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2E7D1D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5EDA3E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022C1B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吊一层</w:t>
            </w:r>
          </w:p>
        </w:tc>
        <w:tc>
          <w:tcPr>
            <w:tcW w:w="4681" w:type="dxa"/>
            <w:vAlign w:val="center"/>
          </w:tcPr>
          <w:p w14:paraId="2C71D1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地下车库、生活垃圾存放处、库房</w:t>
            </w:r>
          </w:p>
        </w:tc>
      </w:tr>
      <w:tr w14:paraId="4DE2B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30C385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CA1B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D3413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7319BE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餐厅</w:t>
            </w:r>
          </w:p>
        </w:tc>
      </w:tr>
      <w:tr w14:paraId="02BB32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52B524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3946B2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529201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2F</w:t>
            </w:r>
          </w:p>
        </w:tc>
        <w:tc>
          <w:tcPr>
            <w:tcW w:w="4681" w:type="dxa"/>
            <w:vAlign w:val="center"/>
          </w:tcPr>
          <w:p w14:paraId="65355D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厨房</w:t>
            </w:r>
          </w:p>
        </w:tc>
      </w:tr>
      <w:tr w14:paraId="476CF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12163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8C3FA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83108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3F</w:t>
            </w:r>
          </w:p>
        </w:tc>
        <w:tc>
          <w:tcPr>
            <w:tcW w:w="4681" w:type="dxa"/>
            <w:vAlign w:val="center"/>
          </w:tcPr>
          <w:p w14:paraId="7C57C2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办公区</w:t>
            </w:r>
          </w:p>
        </w:tc>
      </w:tr>
      <w:tr w14:paraId="0F379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restart"/>
            <w:vAlign w:val="center"/>
          </w:tcPr>
          <w:p w14:paraId="7841B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3#楼</w:t>
            </w:r>
          </w:p>
        </w:tc>
        <w:tc>
          <w:tcPr>
            <w:tcW w:w="1874" w:type="dxa"/>
            <w:vMerge w:val="restart"/>
            <w:vAlign w:val="center"/>
          </w:tcPr>
          <w:p w14:paraId="49C169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感染楼</w:t>
            </w:r>
          </w:p>
        </w:tc>
        <w:tc>
          <w:tcPr>
            <w:tcW w:w="1037" w:type="dxa"/>
            <w:vAlign w:val="center"/>
          </w:tcPr>
          <w:p w14:paraId="231032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5CBCB9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地下车库、固体废物暂存间</w:t>
            </w:r>
          </w:p>
        </w:tc>
      </w:tr>
      <w:tr w14:paraId="23AD0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AD812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26A831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7EAA3D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230DF9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感染门诊</w:t>
            </w:r>
          </w:p>
        </w:tc>
      </w:tr>
      <w:tr w14:paraId="2F96A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7EB319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2F2D1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5A032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2F</w:t>
            </w:r>
          </w:p>
        </w:tc>
        <w:tc>
          <w:tcPr>
            <w:tcW w:w="4681" w:type="dxa"/>
            <w:vAlign w:val="center"/>
          </w:tcPr>
          <w:p w14:paraId="77B00A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手术室、ICU、检验科</w:t>
            </w:r>
          </w:p>
        </w:tc>
      </w:tr>
      <w:tr w14:paraId="57BD77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2EDB43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66A021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193059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3F</w:t>
            </w:r>
          </w:p>
        </w:tc>
        <w:tc>
          <w:tcPr>
            <w:tcW w:w="4681" w:type="dxa"/>
            <w:vAlign w:val="center"/>
          </w:tcPr>
          <w:p w14:paraId="34DD4C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病房</w:t>
            </w:r>
          </w:p>
        </w:tc>
      </w:tr>
      <w:tr w14:paraId="0F3B3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647133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78A008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2B981A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4F</w:t>
            </w:r>
          </w:p>
        </w:tc>
        <w:tc>
          <w:tcPr>
            <w:tcW w:w="4681" w:type="dxa"/>
            <w:vAlign w:val="center"/>
          </w:tcPr>
          <w:p w14:paraId="0B8AC8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病房</w:t>
            </w:r>
          </w:p>
        </w:tc>
      </w:tr>
      <w:tr w14:paraId="6ADC2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E4B4D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82266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3B2667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5F</w:t>
            </w:r>
          </w:p>
        </w:tc>
        <w:tc>
          <w:tcPr>
            <w:tcW w:w="4681" w:type="dxa"/>
            <w:vAlign w:val="center"/>
          </w:tcPr>
          <w:p w14:paraId="5253C1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病房</w:t>
            </w:r>
          </w:p>
        </w:tc>
      </w:tr>
      <w:tr w14:paraId="07EC2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restart"/>
            <w:vAlign w:val="center"/>
          </w:tcPr>
          <w:p w14:paraId="00B4F5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4#楼</w:t>
            </w:r>
          </w:p>
        </w:tc>
        <w:tc>
          <w:tcPr>
            <w:tcW w:w="1874" w:type="dxa"/>
            <w:vMerge w:val="restart"/>
            <w:vAlign w:val="center"/>
          </w:tcPr>
          <w:p w14:paraId="17C2D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发热楼</w:t>
            </w:r>
          </w:p>
        </w:tc>
        <w:tc>
          <w:tcPr>
            <w:tcW w:w="1037" w:type="dxa"/>
            <w:vAlign w:val="center"/>
          </w:tcPr>
          <w:p w14:paraId="1D7AE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1F</w:t>
            </w:r>
          </w:p>
        </w:tc>
        <w:tc>
          <w:tcPr>
            <w:tcW w:w="4681" w:type="dxa"/>
            <w:vAlign w:val="center"/>
          </w:tcPr>
          <w:p w14:paraId="36E588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发热门诊</w:t>
            </w:r>
          </w:p>
        </w:tc>
      </w:tr>
      <w:tr w14:paraId="22166D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00448E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1538CF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2789B0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2F</w:t>
            </w:r>
          </w:p>
        </w:tc>
        <w:tc>
          <w:tcPr>
            <w:tcW w:w="4681" w:type="dxa"/>
            <w:vAlign w:val="center"/>
          </w:tcPr>
          <w:p w14:paraId="53F863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留观病房</w:t>
            </w:r>
          </w:p>
        </w:tc>
      </w:tr>
      <w:tr w14:paraId="602009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4CDA96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03B11A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36AFE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3F</w:t>
            </w:r>
          </w:p>
        </w:tc>
        <w:tc>
          <w:tcPr>
            <w:tcW w:w="4681" w:type="dxa"/>
            <w:vAlign w:val="center"/>
          </w:tcPr>
          <w:p w14:paraId="28C155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留观病房</w:t>
            </w:r>
          </w:p>
        </w:tc>
      </w:tr>
      <w:tr w14:paraId="5AFD2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vAlign w:val="center"/>
          </w:tcPr>
          <w:p w14:paraId="4059C5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874" w:type="dxa"/>
            <w:vMerge w:val="continue"/>
            <w:vAlign w:val="center"/>
          </w:tcPr>
          <w:p w14:paraId="4082D7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037" w:type="dxa"/>
            <w:vAlign w:val="center"/>
          </w:tcPr>
          <w:p w14:paraId="6A4D15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4F</w:t>
            </w:r>
          </w:p>
        </w:tc>
        <w:tc>
          <w:tcPr>
            <w:tcW w:w="4681" w:type="dxa"/>
            <w:vAlign w:val="center"/>
          </w:tcPr>
          <w:p w14:paraId="12F1A9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留观病房</w:t>
            </w:r>
          </w:p>
        </w:tc>
      </w:tr>
    </w:tbl>
    <w:p w14:paraId="36EF44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u w:val="none"/>
          <w:shd w:val="clear" w:fill="FFFFFF"/>
          <w:lang w:val="en-US" w:eastAsia="zh-CN"/>
        </w:rPr>
        <w:t>建设项目的主要工程内容及主要环境问题见</w:t>
      </w:r>
      <w:r>
        <w:rPr>
          <w:rFonts w:hint="default" w:ascii="Times New Roman" w:hAnsi="Times New Roman" w:eastAsia="宋体" w:cs="Times New Roman"/>
          <w:i w:val="0"/>
          <w:iCs w:val="0"/>
          <w:caps w:val="0"/>
          <w:color w:val="auto"/>
          <w:spacing w:val="0"/>
          <w:sz w:val="24"/>
          <w:szCs w:val="24"/>
          <w:u w:val="none"/>
          <w:shd w:val="clear" w:fill="FFFFFF"/>
        </w:rPr>
        <w:t>表</w:t>
      </w:r>
      <w:r>
        <w:rPr>
          <w:rFonts w:hint="default" w:ascii="Times New Roman" w:hAnsi="Times New Roman" w:eastAsia="宋体" w:cs="Times New Roman"/>
          <w:i w:val="0"/>
          <w:iCs w:val="0"/>
          <w:caps w:val="0"/>
          <w:color w:val="auto"/>
          <w:spacing w:val="0"/>
          <w:sz w:val="24"/>
          <w:szCs w:val="24"/>
          <w:u w:val="none"/>
          <w:shd w:val="clear" w:fill="FFFFFF"/>
          <w:lang w:val="en-US" w:eastAsia="zh-CN"/>
        </w:rPr>
        <w:t>2.1-2</w:t>
      </w:r>
      <w:r>
        <w:rPr>
          <w:rFonts w:hint="default" w:ascii="Times New Roman" w:hAnsi="Times New Roman" w:eastAsia="宋体" w:cs="Times New Roman"/>
          <w:i w:val="0"/>
          <w:iCs w:val="0"/>
          <w:caps w:val="0"/>
          <w:color w:val="auto"/>
          <w:spacing w:val="0"/>
          <w:sz w:val="24"/>
          <w:szCs w:val="24"/>
          <w:u w:val="none"/>
          <w:shd w:val="clear" w:fill="FFFFFF"/>
        </w:rPr>
        <w:t>。</w:t>
      </w:r>
    </w:p>
    <w:p w14:paraId="396F9165">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表2.1-2建设项目组成表</w:t>
      </w:r>
    </w:p>
    <w:tbl>
      <w:tblPr>
        <w:tblStyle w:val="21"/>
        <w:tblW w:w="84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5"/>
        <w:gridCol w:w="3987"/>
        <w:gridCol w:w="873"/>
        <w:gridCol w:w="1237"/>
        <w:gridCol w:w="773"/>
      </w:tblGrid>
      <w:tr w14:paraId="777B5B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89" w:type="dxa"/>
            <w:gridSpan w:val="2"/>
            <w:vMerge w:val="restart"/>
            <w:noWrap w:val="0"/>
            <w:vAlign w:val="center"/>
          </w:tcPr>
          <w:p w14:paraId="0E1770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工程类别</w:t>
            </w:r>
          </w:p>
        </w:tc>
        <w:tc>
          <w:tcPr>
            <w:tcW w:w="3987" w:type="dxa"/>
            <w:vMerge w:val="restart"/>
            <w:noWrap w:val="0"/>
            <w:vAlign w:val="center"/>
          </w:tcPr>
          <w:p w14:paraId="762A64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建设内容及规模</w:t>
            </w:r>
          </w:p>
        </w:tc>
        <w:tc>
          <w:tcPr>
            <w:tcW w:w="2110" w:type="dxa"/>
            <w:gridSpan w:val="2"/>
            <w:noWrap w:val="0"/>
            <w:vAlign w:val="center"/>
          </w:tcPr>
          <w:p w14:paraId="04D6C2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rPr>
              <w:t>可能产生的环境问题</w:t>
            </w:r>
          </w:p>
        </w:tc>
        <w:tc>
          <w:tcPr>
            <w:tcW w:w="773" w:type="dxa"/>
            <w:vMerge w:val="restart"/>
            <w:noWrap w:val="0"/>
            <w:vAlign w:val="center"/>
          </w:tcPr>
          <w:p w14:paraId="572539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备注</w:t>
            </w:r>
          </w:p>
        </w:tc>
      </w:tr>
      <w:tr w14:paraId="22AC93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89" w:type="dxa"/>
            <w:gridSpan w:val="2"/>
            <w:vMerge w:val="continue"/>
            <w:noWrap w:val="0"/>
            <w:vAlign w:val="center"/>
          </w:tcPr>
          <w:p w14:paraId="75674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987" w:type="dxa"/>
            <w:vMerge w:val="continue"/>
            <w:noWrap w:val="0"/>
            <w:vAlign w:val="center"/>
          </w:tcPr>
          <w:p w14:paraId="7336F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73" w:type="dxa"/>
            <w:noWrap w:val="0"/>
            <w:vAlign w:val="center"/>
          </w:tcPr>
          <w:p w14:paraId="13073A1B">
            <w:pPr>
              <w:spacing w:line="240" w:lineRule="auto"/>
              <w:ind w:firstLine="0" w:firstLineChars="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color w:val="auto"/>
                <w:sz w:val="21"/>
                <w:szCs w:val="21"/>
                <w:lang w:val="en-GB"/>
              </w:rPr>
              <w:t>施工期</w:t>
            </w:r>
          </w:p>
        </w:tc>
        <w:tc>
          <w:tcPr>
            <w:tcW w:w="1237" w:type="dxa"/>
            <w:noWrap w:val="0"/>
            <w:vAlign w:val="center"/>
          </w:tcPr>
          <w:p w14:paraId="72085D13">
            <w:pPr>
              <w:spacing w:line="240" w:lineRule="auto"/>
              <w:ind w:firstLine="0" w:firstLineChars="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color w:val="auto"/>
                <w:sz w:val="21"/>
                <w:szCs w:val="21"/>
                <w:lang w:val="en-GB"/>
              </w:rPr>
              <w:t>营运期</w:t>
            </w:r>
          </w:p>
        </w:tc>
        <w:tc>
          <w:tcPr>
            <w:tcW w:w="773" w:type="dxa"/>
            <w:vMerge w:val="continue"/>
            <w:noWrap w:val="0"/>
            <w:vAlign w:val="center"/>
          </w:tcPr>
          <w:p w14:paraId="267C8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r>
      <w:tr w14:paraId="42423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794" w:type="dxa"/>
            <w:vMerge w:val="restart"/>
            <w:noWrap w:val="0"/>
            <w:vAlign w:val="center"/>
          </w:tcPr>
          <w:p w14:paraId="7A917D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主体工程</w:t>
            </w:r>
          </w:p>
        </w:tc>
        <w:tc>
          <w:tcPr>
            <w:tcW w:w="795" w:type="dxa"/>
            <w:noWrap w:val="0"/>
            <w:vAlign w:val="center"/>
          </w:tcPr>
          <w:p w14:paraId="173DF1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门急诊医技住院综合楼（</w:t>
            </w:r>
            <w:r>
              <w:rPr>
                <w:rFonts w:hint="default" w:ascii="Times New Roman" w:hAnsi="Times New Roman" w:eastAsia="宋体" w:cs="Times New Roman"/>
                <w:bCs/>
                <w:color w:val="auto"/>
                <w:sz w:val="21"/>
                <w:szCs w:val="21"/>
                <w:vertAlign w:val="baseline"/>
                <w:lang w:val="en-US" w:eastAsia="zh-CN"/>
              </w:rPr>
              <w:t>1#楼</w:t>
            </w:r>
            <w:r>
              <w:rPr>
                <w:rFonts w:hint="default" w:ascii="Times New Roman" w:hAnsi="Times New Roman" w:eastAsia="宋体" w:cs="Times New Roman"/>
                <w:color w:val="auto"/>
                <w:kern w:val="0"/>
                <w:sz w:val="21"/>
                <w:szCs w:val="21"/>
                <w:lang w:val="en-US" w:eastAsia="zh-CN" w:bidi="ar"/>
              </w:rPr>
              <w:t>）</w:t>
            </w:r>
          </w:p>
        </w:tc>
        <w:tc>
          <w:tcPr>
            <w:tcW w:w="3987" w:type="dxa"/>
            <w:noWrap w:val="0"/>
            <w:vAlign w:val="center"/>
          </w:tcPr>
          <w:p w14:paraId="770226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计容建筑面积121982.38m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，车库建筑面积40789.08m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，架空活建筑面积381.40m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lang w:val="en-US" w:eastAsia="zh-CN" w:bidi="ar"/>
              </w:rPr>
              <w:t>1栋共-2/19层，地下为车库，地上内设血液透析、肾内科病区、血液透析、住院配套用房、消毒供应中心、ICU、中心手术室、输血科、住院药房+静配中心、产房、产科病房、新生儿科、妇科、儿科、肿瘤科、神经内科、神经外科、消化内科、消化外科、心脏内科（糖尿病）、老年病科、呼吸内科、胸外科、呼吸内科、肛肠科、普外科、泌尿外科、骨科、康复中心、眼科、耳鼻喉科等科室。</w:t>
            </w:r>
          </w:p>
        </w:tc>
        <w:tc>
          <w:tcPr>
            <w:tcW w:w="873" w:type="dxa"/>
            <w:vMerge w:val="restart"/>
            <w:noWrap w:val="0"/>
            <w:vAlign w:val="center"/>
          </w:tcPr>
          <w:p w14:paraId="33AB70E4">
            <w:pPr>
              <w:bidi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施工废水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施工噪声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建筑废渣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施工扬尘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水土流失</w:t>
            </w:r>
          </w:p>
        </w:tc>
        <w:tc>
          <w:tcPr>
            <w:tcW w:w="1237" w:type="dxa"/>
            <w:noWrap w:val="0"/>
            <w:vAlign w:val="center"/>
          </w:tcPr>
          <w:p w14:paraId="53A4A1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生活垃圾、医疗废物、噪声、污水</w:t>
            </w:r>
          </w:p>
        </w:tc>
        <w:tc>
          <w:tcPr>
            <w:tcW w:w="773" w:type="dxa"/>
            <w:noWrap w:val="0"/>
            <w:vAlign w:val="center"/>
          </w:tcPr>
          <w:p w14:paraId="7D9270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C4C4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794" w:type="dxa"/>
            <w:vMerge w:val="continue"/>
            <w:noWrap w:val="0"/>
            <w:vAlign w:val="center"/>
          </w:tcPr>
          <w:p w14:paraId="2A4DC4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16293E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后勤楼（2#楼）</w:t>
            </w:r>
          </w:p>
        </w:tc>
        <w:tc>
          <w:tcPr>
            <w:tcW w:w="3987" w:type="dxa"/>
            <w:noWrap w:val="0"/>
            <w:vAlign w:val="center"/>
          </w:tcPr>
          <w:p w14:paraId="57D3AB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Cs/>
                <w:color w:val="auto"/>
                <w:sz w:val="21"/>
                <w:szCs w:val="21"/>
                <w:vertAlign w:val="baseline"/>
                <w:lang w:val="en-US" w:eastAsia="zh-CN"/>
              </w:rPr>
              <w:t>计容建筑面积7951.33</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，车库建筑面积23487.26m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，架空活建筑面积314.77m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lang w:val="en-US" w:eastAsia="zh-CN" w:bidi="ar"/>
              </w:rPr>
              <w:t>1栋共-1/3层，设食堂餐厅、浆洗房、地下车库、柴油发电机房、变配电所、医废暂存间、生活垃圾存放处、库房。</w:t>
            </w:r>
          </w:p>
        </w:tc>
        <w:tc>
          <w:tcPr>
            <w:tcW w:w="873" w:type="dxa"/>
            <w:vMerge w:val="continue"/>
            <w:noWrap w:val="0"/>
            <w:vAlign w:val="center"/>
          </w:tcPr>
          <w:p w14:paraId="7AD58E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237" w:type="dxa"/>
            <w:noWrap w:val="0"/>
            <w:vAlign w:val="center"/>
          </w:tcPr>
          <w:p w14:paraId="3903A8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餐厨废水、餐厨垃圾、噪声、食堂油烟</w:t>
            </w:r>
          </w:p>
        </w:tc>
        <w:tc>
          <w:tcPr>
            <w:tcW w:w="773" w:type="dxa"/>
            <w:noWrap w:val="0"/>
            <w:vAlign w:val="center"/>
          </w:tcPr>
          <w:p w14:paraId="116B7D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33C0B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794" w:type="dxa"/>
            <w:vMerge w:val="continue"/>
            <w:noWrap w:val="0"/>
            <w:vAlign w:val="center"/>
          </w:tcPr>
          <w:p w14:paraId="075AD1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2CA81C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感染楼（</w:t>
            </w:r>
            <w:r>
              <w:rPr>
                <w:rFonts w:hint="default" w:ascii="Times New Roman" w:hAnsi="Times New Roman" w:eastAsia="宋体" w:cs="Times New Roman"/>
                <w:bCs/>
                <w:color w:val="auto"/>
                <w:sz w:val="21"/>
                <w:szCs w:val="21"/>
                <w:vertAlign w:val="baseline"/>
                <w:lang w:val="en-US" w:eastAsia="zh-CN"/>
              </w:rPr>
              <w:t>3#楼</w:t>
            </w: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w:t>
            </w:r>
          </w:p>
        </w:tc>
        <w:tc>
          <w:tcPr>
            <w:tcW w:w="3987" w:type="dxa"/>
            <w:noWrap w:val="0"/>
            <w:vAlign w:val="center"/>
          </w:tcPr>
          <w:p w14:paraId="061D91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计容建筑面积9987.07</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，3#楼、4#楼地下建筑连通，总面积7794.28m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。1栋共</w:t>
            </w:r>
            <w:r>
              <w:rPr>
                <w:rFonts w:hint="default" w:ascii="Times New Roman" w:hAnsi="Times New Roman" w:eastAsia="宋体" w:cs="Times New Roman"/>
                <w:bCs/>
                <w:color w:val="auto"/>
                <w:sz w:val="21"/>
                <w:szCs w:val="21"/>
                <w:highlight w:val="none"/>
                <w:vertAlign w:val="baseline"/>
                <w:lang w:val="en-US" w:eastAsia="zh-CN"/>
              </w:rPr>
              <w:t>-1/5层，设地下车库、感染类医废暂存间、感染门诊、手术室、ICU、检验科。</w:t>
            </w:r>
          </w:p>
        </w:tc>
        <w:tc>
          <w:tcPr>
            <w:tcW w:w="873" w:type="dxa"/>
            <w:vMerge w:val="continue"/>
            <w:noWrap w:val="0"/>
            <w:vAlign w:val="center"/>
          </w:tcPr>
          <w:p w14:paraId="0F5BF5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237" w:type="dxa"/>
            <w:noWrap w:val="0"/>
            <w:vAlign w:val="center"/>
          </w:tcPr>
          <w:p w14:paraId="260361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生活垃圾、医疗废物、噪声、污水</w:t>
            </w:r>
          </w:p>
        </w:tc>
        <w:tc>
          <w:tcPr>
            <w:tcW w:w="773" w:type="dxa"/>
            <w:noWrap w:val="0"/>
            <w:vAlign w:val="center"/>
          </w:tcPr>
          <w:p w14:paraId="286CDF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2387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4" w:type="dxa"/>
            <w:vMerge w:val="continue"/>
            <w:noWrap w:val="0"/>
            <w:vAlign w:val="center"/>
          </w:tcPr>
          <w:p w14:paraId="7AD42D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597D1F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发热楼（4#楼）</w:t>
            </w:r>
          </w:p>
        </w:tc>
        <w:tc>
          <w:tcPr>
            <w:tcW w:w="3987" w:type="dxa"/>
            <w:noWrap w:val="0"/>
            <w:vAlign w:val="center"/>
          </w:tcPr>
          <w:p w14:paraId="446C7F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计容建筑面积5947.67</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，1栋共-1/4层，设发热门诊、留观病房。</w:t>
            </w:r>
          </w:p>
        </w:tc>
        <w:tc>
          <w:tcPr>
            <w:tcW w:w="873" w:type="dxa"/>
            <w:vMerge w:val="continue"/>
            <w:noWrap w:val="0"/>
            <w:vAlign w:val="center"/>
          </w:tcPr>
          <w:p w14:paraId="11B5C4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500FE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生活垃圾、医疗废物、噪声、污水</w:t>
            </w:r>
          </w:p>
        </w:tc>
        <w:tc>
          <w:tcPr>
            <w:tcW w:w="773" w:type="dxa"/>
            <w:noWrap w:val="0"/>
            <w:vAlign w:val="center"/>
          </w:tcPr>
          <w:p w14:paraId="066EA6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4836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restart"/>
            <w:noWrap w:val="0"/>
            <w:vAlign w:val="center"/>
          </w:tcPr>
          <w:p w14:paraId="195BB8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公用工程</w:t>
            </w:r>
          </w:p>
        </w:tc>
        <w:tc>
          <w:tcPr>
            <w:tcW w:w="795" w:type="dxa"/>
            <w:vMerge w:val="restart"/>
            <w:noWrap w:val="0"/>
            <w:vAlign w:val="center"/>
          </w:tcPr>
          <w:p w14:paraId="4A1214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供水系统</w:t>
            </w:r>
          </w:p>
        </w:tc>
        <w:tc>
          <w:tcPr>
            <w:tcW w:w="3987" w:type="dxa"/>
            <w:noWrap w:val="0"/>
            <w:vAlign w:val="center"/>
          </w:tcPr>
          <w:p w14:paraId="58191C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给水：本工程水源为市政管网，在西北侧市政道路上有一根DN400市政给水管网可供本项目使用。市政管网上引入1根DN300给水管至区内，分别经生活、绿化、消防水表后形成各自的管网，市政供水压力为0.35MPa。</w:t>
            </w:r>
          </w:p>
        </w:tc>
        <w:tc>
          <w:tcPr>
            <w:tcW w:w="873" w:type="dxa"/>
            <w:vMerge w:val="continue"/>
            <w:noWrap w:val="0"/>
            <w:vAlign w:val="center"/>
          </w:tcPr>
          <w:p w14:paraId="184BB1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AD9F3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40DA44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r>
      <w:tr w14:paraId="25272E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762F0B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vMerge w:val="continue"/>
            <w:noWrap w:val="0"/>
            <w:vAlign w:val="center"/>
          </w:tcPr>
          <w:p w14:paraId="11A0F1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3987" w:type="dxa"/>
            <w:noWrap w:val="0"/>
            <w:vAlign w:val="center"/>
          </w:tcPr>
          <w:p w14:paraId="3476BC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热水系统：本工程手术室，医技楼，门诊楼设集中供热水系统，热水系统为机械全循环闭式系统，热源采用电热水锅炉，热水水质符合国家标准《生活饮用水卫生标准》（GB5749-2006）的要求，热水系统不分区，热水系统采用集中集热集中贮水的强制循环直接加热系统（单贮水装置），热水给水系统分区同冷水给水系统，冷热水支管压力超过0.2Mpa时设支管减压阀保证冷热水压平衡。</w:t>
            </w:r>
          </w:p>
        </w:tc>
        <w:tc>
          <w:tcPr>
            <w:tcW w:w="873" w:type="dxa"/>
            <w:vMerge w:val="continue"/>
            <w:noWrap w:val="0"/>
            <w:vAlign w:val="center"/>
          </w:tcPr>
          <w:p w14:paraId="7436DA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7E16E3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28E592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3A0DA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518F42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57F058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排水系统</w:t>
            </w:r>
          </w:p>
        </w:tc>
        <w:tc>
          <w:tcPr>
            <w:tcW w:w="3987" w:type="dxa"/>
            <w:noWrap w:val="0"/>
            <w:vAlign w:val="center"/>
          </w:tcPr>
          <w:p w14:paraId="5B861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本工程西南侧市政道路上有 DN500污水管可供本工程接入。</w:t>
            </w:r>
          </w:p>
          <w:p w14:paraId="574E61E5">
            <w:pPr>
              <w:pStyle w:val="2"/>
              <w:keepNext w:val="0"/>
              <w:keepLines w:val="0"/>
              <w:pageBreakBefore w:val="0"/>
              <w:widowControl w:val="0"/>
              <w:kinsoku/>
              <w:wordWrap/>
              <w:overflowPunct/>
              <w:topLinePunct w:val="0"/>
              <w:autoSpaceDE/>
              <w:autoSpaceDN/>
              <w:bidi w:val="0"/>
              <w:adjustRightInd w:val="0"/>
              <w:spacing w:after="0" w:line="240" w:lineRule="auto"/>
              <w:ind w:left="0" w:leftChars="0" w:firstLine="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1.排水采用雨、污分流体制。2.多层生活污水采用伸顶通气。3.本工程重力流雨水系统经管网收集后就近排入市政雨水管网。污水收集后进入污水处理站处理达标后排入市政污水管网。4.</w:t>
            </w:r>
            <w:r>
              <w:rPr>
                <w:rFonts w:hint="eastAsia" w:eastAsia="宋体" w:cs="Times New Roman"/>
                <w:color w:val="auto"/>
                <w:sz w:val="21"/>
                <w:szCs w:val="21"/>
                <w:lang w:val="en-US" w:eastAsia="zh-CN"/>
              </w:rPr>
              <w:t>门急诊、住院、医务人员废水经化粪池预处理后排入污水处理站</w:t>
            </w:r>
            <w:r>
              <w:rPr>
                <w:rFonts w:hint="default" w:ascii="Times New Roman" w:hAnsi="Times New Roman" w:eastAsia="宋体" w:cs="Times New Roman"/>
                <w:color w:val="auto"/>
                <w:sz w:val="21"/>
                <w:szCs w:val="21"/>
                <w:lang w:val="en-US" w:eastAsia="zh-CN"/>
              </w:rPr>
              <w:t>。5.食堂废水经隔油沉淀后排入污水处理站处理。6.感染楼和发热楼废水经预消毒处理后排入化粪池再进入污水处理站处理。</w:t>
            </w:r>
          </w:p>
        </w:tc>
        <w:tc>
          <w:tcPr>
            <w:tcW w:w="873" w:type="dxa"/>
            <w:vMerge w:val="continue"/>
            <w:noWrap w:val="0"/>
            <w:vAlign w:val="center"/>
          </w:tcPr>
          <w:p w14:paraId="4F0832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7FBDB2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28428B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3A6A2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37DB42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4D7C35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供电系统</w:t>
            </w:r>
          </w:p>
        </w:tc>
        <w:tc>
          <w:tcPr>
            <w:tcW w:w="3987" w:type="dxa"/>
            <w:noWrap w:val="0"/>
            <w:vAlign w:val="center"/>
          </w:tcPr>
          <w:p w14:paraId="70CE83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本工程拟引入2路10kV电源；在本工程地下室内设开闭所和变电所。本工程应急电源采用自备柴油发电机组，安装在地下室内。</w:t>
            </w:r>
          </w:p>
        </w:tc>
        <w:tc>
          <w:tcPr>
            <w:tcW w:w="873" w:type="dxa"/>
            <w:vMerge w:val="continue"/>
            <w:noWrap w:val="0"/>
            <w:vAlign w:val="center"/>
          </w:tcPr>
          <w:p w14:paraId="51F7DC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688FB27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494A91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623EB0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35C35A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39BAF4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消防系统</w:t>
            </w:r>
          </w:p>
        </w:tc>
        <w:tc>
          <w:tcPr>
            <w:tcW w:w="3987" w:type="dxa"/>
            <w:noWrap w:val="0"/>
            <w:vAlign w:val="center"/>
          </w:tcPr>
          <w:p w14:paraId="610E84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本项目设计2座消防水池。1号消防水池提供室内消防用水量，消防水池位于1#楼负二层地下车库，储存有1118m³的消防水池，水池分两格（585m³+533m³），每格水池设两根DN100自来水补水管。2号消防水池提供室外消防用水量，消防水池位于锅炉房-1F，有效容积432m³。</w:t>
            </w:r>
          </w:p>
        </w:tc>
        <w:tc>
          <w:tcPr>
            <w:tcW w:w="873" w:type="dxa"/>
            <w:vMerge w:val="continue"/>
            <w:noWrap w:val="0"/>
            <w:vAlign w:val="center"/>
          </w:tcPr>
          <w:p w14:paraId="0EDDC7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75FB1A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16CF8A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4ACAD3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94" w:type="dxa"/>
            <w:vMerge w:val="restart"/>
            <w:noWrap w:val="0"/>
            <w:vAlign w:val="center"/>
          </w:tcPr>
          <w:p w14:paraId="5A13EF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辅助工程</w:t>
            </w:r>
          </w:p>
        </w:tc>
        <w:tc>
          <w:tcPr>
            <w:tcW w:w="795" w:type="dxa"/>
            <w:noWrap w:val="0"/>
            <w:vAlign w:val="center"/>
          </w:tcPr>
          <w:p w14:paraId="62E29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锅炉房</w:t>
            </w:r>
          </w:p>
        </w:tc>
        <w:tc>
          <w:tcPr>
            <w:tcW w:w="3987" w:type="dxa"/>
            <w:noWrap w:val="0"/>
            <w:vAlign w:val="center"/>
          </w:tcPr>
          <w:p w14:paraId="003774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锅炉房内共设置10台锅炉，包括4台700kw电热水锅炉，4台1400kw电供暖锅炉，1台500kw电供暖锅炉和1台700kw电供暖锅炉</w:t>
            </w:r>
          </w:p>
        </w:tc>
        <w:tc>
          <w:tcPr>
            <w:tcW w:w="873" w:type="dxa"/>
            <w:vMerge w:val="continue"/>
            <w:noWrap w:val="0"/>
            <w:vAlign w:val="center"/>
          </w:tcPr>
          <w:p w14:paraId="41CEE4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6EA671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1A9748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18C1B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4" w:type="dxa"/>
            <w:vMerge w:val="continue"/>
            <w:noWrap w:val="0"/>
            <w:vAlign w:val="center"/>
          </w:tcPr>
          <w:p w14:paraId="42815D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0DA1FA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浆洗房</w:t>
            </w:r>
          </w:p>
        </w:tc>
        <w:tc>
          <w:tcPr>
            <w:tcW w:w="3987" w:type="dxa"/>
            <w:noWrap w:val="0"/>
            <w:vAlign w:val="center"/>
          </w:tcPr>
          <w:p w14:paraId="6BEE7D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位于后勤楼二层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面积1000m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tc>
        <w:tc>
          <w:tcPr>
            <w:tcW w:w="873" w:type="dxa"/>
            <w:vMerge w:val="continue"/>
            <w:noWrap w:val="0"/>
            <w:vAlign w:val="center"/>
          </w:tcPr>
          <w:p w14:paraId="2F0D26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46A5F9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w:t>
            </w:r>
          </w:p>
        </w:tc>
        <w:tc>
          <w:tcPr>
            <w:tcW w:w="773" w:type="dxa"/>
            <w:noWrap w:val="0"/>
            <w:vAlign w:val="center"/>
          </w:tcPr>
          <w:p w14:paraId="240FCF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1FBF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94" w:type="dxa"/>
            <w:vMerge w:val="continue"/>
            <w:noWrap w:val="0"/>
            <w:vAlign w:val="center"/>
          </w:tcPr>
          <w:p w14:paraId="3A7A73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52032E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备用电源</w:t>
            </w:r>
          </w:p>
        </w:tc>
        <w:tc>
          <w:tcPr>
            <w:tcW w:w="3987" w:type="dxa"/>
            <w:noWrap w:val="0"/>
            <w:vAlign w:val="center"/>
          </w:tcPr>
          <w:p w14:paraId="2F7FB6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在2#楼-1F设置备用发电机房，配备一台1200kw备用柴油发电机。</w:t>
            </w:r>
          </w:p>
        </w:tc>
        <w:tc>
          <w:tcPr>
            <w:tcW w:w="873" w:type="dxa"/>
            <w:vMerge w:val="continue"/>
            <w:noWrap w:val="0"/>
            <w:vAlign w:val="center"/>
          </w:tcPr>
          <w:p w14:paraId="69F5F4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5BAC63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废气、噪声</w:t>
            </w:r>
          </w:p>
        </w:tc>
        <w:tc>
          <w:tcPr>
            <w:tcW w:w="773" w:type="dxa"/>
            <w:noWrap w:val="0"/>
            <w:vAlign w:val="center"/>
          </w:tcPr>
          <w:p w14:paraId="28495C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703C1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794" w:type="dxa"/>
            <w:vMerge w:val="continue"/>
            <w:noWrap w:val="0"/>
            <w:vAlign w:val="center"/>
          </w:tcPr>
          <w:p w14:paraId="4A0562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060AAB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空调系统</w:t>
            </w:r>
          </w:p>
        </w:tc>
        <w:tc>
          <w:tcPr>
            <w:tcW w:w="3987" w:type="dxa"/>
            <w:noWrap w:val="0"/>
            <w:vAlign w:val="center"/>
          </w:tcPr>
          <w:p w14:paraId="336D79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中央空调配备冷却塔，位于1#楼裙楼楼顶。</w:t>
            </w:r>
          </w:p>
          <w:p w14:paraId="2FD122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综合楼：DR、CT影像科及附属用房，根据功能布局设置独立的多联机空调系统。MRI设置单独的恒温恒湿空调。手术部、消毒供应中心、检验科等预留冷热源接入平时空调系统,手术部、消毒供应中心预留多功能风冷热泵专用冷热源安装位置及负荷。</w:t>
            </w:r>
          </w:p>
          <w:p w14:paraId="7207A8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2#后勤楼办公部分空调设置独立的多联机空调系统。</w:t>
            </w:r>
          </w:p>
          <w:p w14:paraId="7EB600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消防控制室、配电房、开闭所、电梯机房设置分体空调。</w:t>
            </w:r>
          </w:p>
        </w:tc>
        <w:tc>
          <w:tcPr>
            <w:tcW w:w="873" w:type="dxa"/>
            <w:vMerge w:val="continue"/>
            <w:noWrap w:val="0"/>
            <w:vAlign w:val="center"/>
          </w:tcPr>
          <w:p w14:paraId="1512C0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4CDFA4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废气、废水、噪声</w:t>
            </w:r>
          </w:p>
        </w:tc>
        <w:tc>
          <w:tcPr>
            <w:tcW w:w="773" w:type="dxa"/>
            <w:noWrap w:val="0"/>
            <w:vAlign w:val="center"/>
          </w:tcPr>
          <w:p w14:paraId="05B6F0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76649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794" w:type="dxa"/>
            <w:vMerge w:val="continue"/>
            <w:noWrap w:val="0"/>
            <w:vAlign w:val="center"/>
          </w:tcPr>
          <w:p w14:paraId="3985A0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2A3243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新、排风系统</w:t>
            </w:r>
          </w:p>
        </w:tc>
        <w:tc>
          <w:tcPr>
            <w:tcW w:w="3987" w:type="dxa"/>
            <w:noWrap w:val="0"/>
            <w:vAlign w:val="center"/>
          </w:tcPr>
          <w:p w14:paraId="04FBE5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新风系统由新风机组从室外引入，经新风机组处理后由风管分送至各用户区内。门诊、检查室等小空间均设置室内排风口，由排风机抽至室外。公共区域通过卫生间的换气扇将余风抽至室外。</w:t>
            </w:r>
          </w:p>
          <w:p w14:paraId="455F44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大空间通过连接室外的门、窗及公共卫生间将余风压至室外。</w:t>
            </w:r>
          </w:p>
          <w:p w14:paraId="4819BF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急诊科手术室、抢救室等净化区域采用医院专用空气净化器。</w:t>
            </w:r>
          </w:p>
          <w:p w14:paraId="553ECC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无菌室、化验室新、排风口需采用末端空气净化杀菌装置。</w:t>
            </w:r>
          </w:p>
          <w:p w14:paraId="2A9534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微生物室、PCR室、检验室排风支管上设风道式纳米光催化空气处理装置。</w:t>
            </w:r>
          </w:p>
        </w:tc>
        <w:tc>
          <w:tcPr>
            <w:tcW w:w="873" w:type="dxa"/>
            <w:vMerge w:val="continue"/>
            <w:noWrap w:val="0"/>
            <w:vAlign w:val="center"/>
          </w:tcPr>
          <w:p w14:paraId="5EB55D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4C1083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废气、噪声</w:t>
            </w:r>
          </w:p>
        </w:tc>
        <w:tc>
          <w:tcPr>
            <w:tcW w:w="773" w:type="dxa"/>
            <w:noWrap w:val="0"/>
            <w:vAlign w:val="center"/>
          </w:tcPr>
          <w:p w14:paraId="4B78F4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047DBF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94" w:type="dxa"/>
            <w:vMerge w:val="continue"/>
            <w:noWrap w:val="0"/>
            <w:vAlign w:val="center"/>
          </w:tcPr>
          <w:p w14:paraId="0E1C2C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6AC54B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停车场</w:t>
            </w:r>
          </w:p>
        </w:tc>
        <w:tc>
          <w:tcPr>
            <w:tcW w:w="3987" w:type="dxa"/>
            <w:noWrap w:val="0"/>
            <w:vAlign w:val="center"/>
          </w:tcPr>
          <w:p w14:paraId="3BEB0E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设置地下机动车位1428个，设置非机动车位2921个。</w:t>
            </w:r>
          </w:p>
        </w:tc>
        <w:tc>
          <w:tcPr>
            <w:tcW w:w="873" w:type="dxa"/>
            <w:vMerge w:val="continue"/>
            <w:noWrap w:val="0"/>
            <w:vAlign w:val="center"/>
          </w:tcPr>
          <w:p w14:paraId="45A299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7EA4C0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20EA47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66F3E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94" w:type="dxa"/>
            <w:vMerge w:val="continue"/>
            <w:noWrap w:val="0"/>
            <w:vAlign w:val="center"/>
          </w:tcPr>
          <w:p w14:paraId="15CDEB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746CEE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绿化</w:t>
            </w:r>
          </w:p>
        </w:tc>
        <w:tc>
          <w:tcPr>
            <w:tcW w:w="3987" w:type="dxa"/>
            <w:noWrap w:val="0"/>
            <w:vAlign w:val="center"/>
          </w:tcPr>
          <w:p w14:paraId="5551E4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绿化面积</w:t>
            </w:r>
            <w:r>
              <w:rPr>
                <w:rFonts w:hint="eastAsia" w:ascii="Times New Roman" w:hAnsi="Times New Roman" w:eastAsia="宋体" w:cs="Times New Roman"/>
                <w:bCs/>
                <w:color w:val="auto"/>
                <w:sz w:val="21"/>
                <w:szCs w:val="21"/>
                <w:vertAlign w:val="baseline"/>
                <w:lang w:val="en-US" w:eastAsia="zh-CN"/>
              </w:rPr>
              <w:t>24606.6</w:t>
            </w:r>
            <w:r>
              <w:rPr>
                <w:rFonts w:hint="default" w:ascii="Times New Roman" w:hAnsi="Times New Roman" w:eastAsia="宋体" w:cs="Times New Roman"/>
                <w:bCs/>
                <w:color w:val="auto"/>
                <w:sz w:val="21"/>
                <w:szCs w:val="21"/>
                <w:vertAlign w:val="baseline"/>
                <w:lang w:val="en-US" w:eastAsia="zh-CN"/>
              </w:rPr>
              <w:t>m</w:t>
            </w:r>
            <w:r>
              <w:rPr>
                <w:rFonts w:hint="default" w:ascii="Times New Roman" w:hAnsi="Times New Roman" w:eastAsia="宋体" w:cs="Times New Roman"/>
                <w:bCs/>
                <w:color w:val="auto"/>
                <w:sz w:val="21"/>
                <w:szCs w:val="21"/>
                <w:vertAlign w:val="superscript"/>
                <w:lang w:val="en-US" w:eastAsia="zh-CN"/>
              </w:rPr>
              <w:t>2</w:t>
            </w:r>
          </w:p>
        </w:tc>
        <w:tc>
          <w:tcPr>
            <w:tcW w:w="873" w:type="dxa"/>
            <w:vMerge w:val="continue"/>
            <w:noWrap w:val="0"/>
            <w:vAlign w:val="center"/>
          </w:tcPr>
          <w:p w14:paraId="73E550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56BFF3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3D105B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5EA7E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4" w:type="dxa"/>
            <w:vMerge w:val="restart"/>
            <w:noWrap w:val="0"/>
            <w:vAlign w:val="center"/>
          </w:tcPr>
          <w:p w14:paraId="4C85E4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办公及生活设施</w:t>
            </w:r>
          </w:p>
        </w:tc>
        <w:tc>
          <w:tcPr>
            <w:tcW w:w="795" w:type="dxa"/>
            <w:noWrap w:val="0"/>
            <w:vAlign w:val="center"/>
          </w:tcPr>
          <w:p w14:paraId="7D6A5C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办公室</w:t>
            </w:r>
          </w:p>
        </w:tc>
        <w:tc>
          <w:tcPr>
            <w:tcW w:w="3987" w:type="dxa"/>
            <w:noWrap w:val="0"/>
            <w:vAlign w:val="center"/>
          </w:tcPr>
          <w:p w14:paraId="0C450F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位于1#楼5F</w:t>
            </w:r>
          </w:p>
        </w:tc>
        <w:tc>
          <w:tcPr>
            <w:tcW w:w="873" w:type="dxa"/>
            <w:vMerge w:val="continue"/>
            <w:noWrap w:val="0"/>
            <w:vAlign w:val="center"/>
          </w:tcPr>
          <w:p w14:paraId="1448F2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37CE64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生活污水、生活垃圾</w:t>
            </w:r>
          </w:p>
        </w:tc>
        <w:tc>
          <w:tcPr>
            <w:tcW w:w="773" w:type="dxa"/>
            <w:noWrap w:val="0"/>
            <w:vAlign w:val="center"/>
          </w:tcPr>
          <w:p w14:paraId="5A6E16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35F5F0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794" w:type="dxa"/>
            <w:vMerge w:val="continue"/>
            <w:noWrap w:val="0"/>
            <w:vAlign w:val="center"/>
          </w:tcPr>
          <w:p w14:paraId="097EA3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65D930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食堂</w:t>
            </w:r>
          </w:p>
        </w:tc>
        <w:tc>
          <w:tcPr>
            <w:tcW w:w="3987" w:type="dxa"/>
            <w:noWrap w:val="0"/>
            <w:vAlign w:val="center"/>
          </w:tcPr>
          <w:p w14:paraId="38B976B4">
            <w:pPr>
              <w:pStyle w:val="2"/>
              <w:keepNext w:val="0"/>
              <w:keepLines w:val="0"/>
              <w:pageBreakBefore w:val="0"/>
              <w:widowControl w:val="0"/>
              <w:kinsoku/>
              <w:wordWrap/>
              <w:overflowPunct/>
              <w:topLinePunct w:val="0"/>
              <w:autoSpaceDE/>
              <w:autoSpaceDN/>
              <w:bidi w:val="0"/>
              <w:adjustRightInd w:val="0"/>
              <w:spacing w:after="0" w:line="240" w:lineRule="auto"/>
              <w:ind w:left="0" w:leftChars="0" w:firstLine="0"/>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位于2#楼，食堂+厨房面积：1858.75㎡。</w:t>
            </w:r>
          </w:p>
        </w:tc>
        <w:tc>
          <w:tcPr>
            <w:tcW w:w="873" w:type="dxa"/>
            <w:vMerge w:val="continue"/>
            <w:noWrap w:val="0"/>
            <w:vAlign w:val="center"/>
          </w:tcPr>
          <w:p w14:paraId="047A53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916A4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废水、废气、固废、噪声</w:t>
            </w:r>
          </w:p>
        </w:tc>
        <w:tc>
          <w:tcPr>
            <w:tcW w:w="773" w:type="dxa"/>
            <w:noWrap w:val="0"/>
            <w:vAlign w:val="center"/>
          </w:tcPr>
          <w:p w14:paraId="58D6D4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5E61F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restart"/>
            <w:noWrap w:val="0"/>
            <w:vAlign w:val="center"/>
          </w:tcPr>
          <w:p w14:paraId="74A1A4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环保工程</w:t>
            </w:r>
          </w:p>
        </w:tc>
        <w:tc>
          <w:tcPr>
            <w:tcW w:w="795" w:type="dxa"/>
            <w:noWrap w:val="0"/>
            <w:vAlign w:val="center"/>
          </w:tcPr>
          <w:p w14:paraId="7597E3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w:t>
            </w:r>
          </w:p>
        </w:tc>
        <w:tc>
          <w:tcPr>
            <w:tcW w:w="3987" w:type="dxa"/>
            <w:noWrap w:val="0"/>
            <w:vAlign w:val="center"/>
          </w:tcPr>
          <w:p w14:paraId="6D8569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本工程西南侧市政道路上有 DN500污水管可供本工程接入。1.排水采用雨、污分流制。2.本工程重力流雨水系统经管网收集后就近排入市政雨水管网。污水收集后进入污水处理站处理达标后排入市政污水管网。3.</w:t>
            </w:r>
            <w:r>
              <w:rPr>
                <w:rFonts w:hint="eastAsia" w:eastAsia="宋体" w:cs="Times New Roman"/>
                <w:color w:val="auto"/>
                <w:sz w:val="21"/>
                <w:szCs w:val="21"/>
                <w:lang w:val="en-US" w:eastAsia="zh-CN"/>
              </w:rPr>
              <w:t>门急诊、住院、医务人员废水经化粪池预处理后排入污水处理站</w:t>
            </w:r>
            <w:r>
              <w:rPr>
                <w:rFonts w:hint="default" w:ascii="Times New Roman" w:hAnsi="Times New Roman" w:eastAsia="宋体" w:cs="Times New Roman"/>
                <w:color w:val="auto"/>
                <w:sz w:val="21"/>
                <w:szCs w:val="21"/>
                <w:lang w:val="en-US" w:eastAsia="zh-CN"/>
              </w:rPr>
              <w:t>。4.食堂废水经隔油沉淀后排入污水处理站处理。5.感染楼和发热楼废水经预消毒处理后排入化粪池再进入污水处理站处理。</w:t>
            </w:r>
          </w:p>
        </w:tc>
        <w:tc>
          <w:tcPr>
            <w:tcW w:w="873" w:type="dxa"/>
            <w:vMerge w:val="continue"/>
            <w:noWrap w:val="0"/>
            <w:vAlign w:val="center"/>
          </w:tcPr>
          <w:p w14:paraId="2981AE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0DA2E1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废水、污泥、恶臭</w:t>
            </w:r>
          </w:p>
        </w:tc>
        <w:tc>
          <w:tcPr>
            <w:tcW w:w="773" w:type="dxa"/>
            <w:noWrap w:val="0"/>
            <w:vAlign w:val="center"/>
          </w:tcPr>
          <w:p w14:paraId="1EDC23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1B97F1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7DD2C3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vMerge w:val="restart"/>
            <w:noWrap w:val="0"/>
            <w:vAlign w:val="center"/>
          </w:tcPr>
          <w:p w14:paraId="6E56662E">
            <w:pPr>
              <w:bidi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废气</w:t>
            </w:r>
          </w:p>
        </w:tc>
        <w:tc>
          <w:tcPr>
            <w:tcW w:w="3987" w:type="dxa"/>
            <w:noWrap w:val="0"/>
            <w:vAlign w:val="center"/>
          </w:tcPr>
          <w:p w14:paraId="2159943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食堂油烟经</w:t>
            </w:r>
            <w:r>
              <w:rPr>
                <w:rFonts w:hint="default" w:ascii="Times New Roman" w:hAnsi="Times New Roman" w:eastAsia="宋体" w:cs="Times New Roman"/>
                <w:color w:val="auto"/>
                <w:kern w:val="0"/>
                <w:sz w:val="21"/>
                <w:szCs w:val="21"/>
                <w:lang w:val="en-US" w:eastAsia="zh-CN" w:bidi="ar"/>
              </w:rPr>
              <w:t>油烟净化器（75%净化效率）处理后由后勤综合楼升顶排放</w:t>
            </w:r>
          </w:p>
        </w:tc>
        <w:tc>
          <w:tcPr>
            <w:tcW w:w="873" w:type="dxa"/>
            <w:vMerge w:val="continue"/>
            <w:noWrap w:val="0"/>
            <w:vAlign w:val="center"/>
          </w:tcPr>
          <w:p w14:paraId="01EEF9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EE96A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w:t>
            </w:r>
          </w:p>
        </w:tc>
        <w:tc>
          <w:tcPr>
            <w:tcW w:w="773" w:type="dxa"/>
            <w:noWrap w:val="0"/>
            <w:vAlign w:val="center"/>
          </w:tcPr>
          <w:p w14:paraId="215C88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61BB0C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94" w:type="dxa"/>
            <w:vMerge w:val="continue"/>
            <w:noWrap w:val="0"/>
            <w:vAlign w:val="center"/>
          </w:tcPr>
          <w:p w14:paraId="4402EC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vMerge w:val="continue"/>
            <w:noWrap w:val="0"/>
            <w:vAlign w:val="center"/>
          </w:tcPr>
          <w:p w14:paraId="139617EB">
            <w:pPr>
              <w:bidi w:val="0"/>
              <w:jc w:val="center"/>
              <w:rPr>
                <w:rFonts w:hint="default" w:ascii="Times New Roman" w:hAnsi="Times New Roman" w:eastAsia="宋体" w:cs="Times New Roman"/>
                <w:bCs/>
                <w:color w:val="auto"/>
                <w:sz w:val="21"/>
                <w:szCs w:val="21"/>
                <w:vertAlign w:val="baseline"/>
                <w:lang w:val="en-US" w:eastAsia="zh-CN"/>
              </w:rPr>
            </w:pPr>
          </w:p>
        </w:tc>
        <w:tc>
          <w:tcPr>
            <w:tcW w:w="3987" w:type="dxa"/>
            <w:noWrap w:val="0"/>
            <w:vAlign w:val="center"/>
          </w:tcPr>
          <w:p w14:paraId="0FD7B816">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医废暂存间异味采用</w:t>
            </w:r>
            <w:r>
              <w:rPr>
                <w:rFonts w:hint="default" w:ascii="Times New Roman" w:hAnsi="Times New Roman" w:eastAsia="宋体" w:cs="Times New Roman"/>
                <w:color w:val="auto"/>
                <w:kern w:val="0"/>
                <w:sz w:val="21"/>
                <w:szCs w:val="21"/>
                <w:lang w:val="en-US" w:eastAsia="zh-CN" w:bidi="ar"/>
              </w:rPr>
              <w:t>专用容器及防漏胶袋密封、加强管理、定期消毒</w:t>
            </w:r>
          </w:p>
        </w:tc>
        <w:tc>
          <w:tcPr>
            <w:tcW w:w="873" w:type="dxa"/>
            <w:vMerge w:val="continue"/>
            <w:noWrap w:val="0"/>
            <w:vAlign w:val="center"/>
          </w:tcPr>
          <w:p w14:paraId="26EC86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37BF42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w:t>
            </w:r>
          </w:p>
        </w:tc>
        <w:tc>
          <w:tcPr>
            <w:tcW w:w="773" w:type="dxa"/>
            <w:noWrap w:val="0"/>
            <w:vAlign w:val="center"/>
          </w:tcPr>
          <w:p w14:paraId="467752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2C3FD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94" w:type="dxa"/>
            <w:vMerge w:val="continue"/>
            <w:noWrap w:val="0"/>
            <w:vAlign w:val="center"/>
          </w:tcPr>
          <w:p w14:paraId="4F53D1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vMerge w:val="continue"/>
            <w:noWrap w:val="0"/>
            <w:vAlign w:val="center"/>
          </w:tcPr>
          <w:p w14:paraId="5A1E34E2">
            <w:pPr>
              <w:bidi w:val="0"/>
              <w:jc w:val="center"/>
              <w:rPr>
                <w:rFonts w:hint="default" w:ascii="Times New Roman" w:hAnsi="Times New Roman" w:eastAsia="宋体" w:cs="Times New Roman"/>
                <w:bCs/>
                <w:color w:val="auto"/>
                <w:sz w:val="21"/>
                <w:szCs w:val="21"/>
                <w:vertAlign w:val="baseline"/>
                <w:lang w:val="en-US" w:eastAsia="zh-CN"/>
              </w:rPr>
            </w:pPr>
          </w:p>
        </w:tc>
        <w:tc>
          <w:tcPr>
            <w:tcW w:w="3987" w:type="dxa"/>
            <w:noWrap w:val="0"/>
            <w:vAlign w:val="center"/>
          </w:tcPr>
          <w:p w14:paraId="3A177149">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备用柴油发电机废气自带消烟除尘系统处理后排放</w:t>
            </w:r>
          </w:p>
        </w:tc>
        <w:tc>
          <w:tcPr>
            <w:tcW w:w="873" w:type="dxa"/>
            <w:vMerge w:val="continue"/>
            <w:noWrap w:val="0"/>
            <w:vAlign w:val="center"/>
          </w:tcPr>
          <w:p w14:paraId="4B724A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57A6C4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废气、噪声、固废</w:t>
            </w:r>
          </w:p>
        </w:tc>
        <w:tc>
          <w:tcPr>
            <w:tcW w:w="773" w:type="dxa"/>
            <w:noWrap w:val="0"/>
            <w:vAlign w:val="center"/>
          </w:tcPr>
          <w:p w14:paraId="792FAF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1FBB5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13BE70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vMerge w:val="continue"/>
            <w:noWrap w:val="0"/>
            <w:vAlign w:val="center"/>
          </w:tcPr>
          <w:p w14:paraId="6C8477CF">
            <w:pPr>
              <w:bidi w:val="0"/>
              <w:jc w:val="center"/>
              <w:rPr>
                <w:rFonts w:hint="default" w:ascii="Times New Roman" w:hAnsi="Times New Roman" w:eastAsia="宋体" w:cs="Times New Roman"/>
                <w:bCs/>
                <w:color w:val="auto"/>
                <w:sz w:val="21"/>
                <w:szCs w:val="21"/>
                <w:vertAlign w:val="baseline"/>
                <w:lang w:val="en-US" w:eastAsia="zh-CN"/>
              </w:rPr>
            </w:pPr>
          </w:p>
        </w:tc>
        <w:tc>
          <w:tcPr>
            <w:tcW w:w="3987" w:type="dxa"/>
            <w:noWrap w:val="0"/>
            <w:vAlign w:val="center"/>
          </w:tcPr>
          <w:p w14:paraId="1F4A3B6B">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污水处理站废气经紫外消毒+</w:t>
            </w:r>
            <w:r>
              <w:rPr>
                <w:rFonts w:hint="default" w:ascii="Times New Roman" w:hAnsi="Times New Roman" w:eastAsia="宋体" w:cs="Times New Roman"/>
                <w:color w:val="auto"/>
                <w:kern w:val="0"/>
                <w:sz w:val="21"/>
                <w:szCs w:val="21"/>
                <w:lang w:val="en-US" w:eastAsia="zh-CN" w:bidi="ar"/>
              </w:rPr>
              <w:t>活性炭吸附处理后引至1#楼裙楼楼顶排放，排气筒（DA001）25m。</w:t>
            </w:r>
          </w:p>
        </w:tc>
        <w:tc>
          <w:tcPr>
            <w:tcW w:w="873" w:type="dxa"/>
            <w:vMerge w:val="continue"/>
            <w:noWrap w:val="0"/>
            <w:vAlign w:val="center"/>
          </w:tcPr>
          <w:p w14:paraId="1EA8E3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34904B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废气、固废</w:t>
            </w:r>
          </w:p>
        </w:tc>
        <w:tc>
          <w:tcPr>
            <w:tcW w:w="773" w:type="dxa"/>
            <w:noWrap w:val="0"/>
            <w:vAlign w:val="center"/>
          </w:tcPr>
          <w:p w14:paraId="183479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206CD1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6FDA73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3873C6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Cs/>
                <w:color w:val="auto"/>
                <w:sz w:val="21"/>
                <w:szCs w:val="21"/>
                <w:vertAlign w:val="baseline"/>
                <w:lang w:val="en-US" w:eastAsia="zh-CN"/>
              </w:rPr>
              <w:t>噪声</w:t>
            </w:r>
          </w:p>
        </w:tc>
        <w:tc>
          <w:tcPr>
            <w:tcW w:w="3987" w:type="dxa"/>
            <w:noWrap w:val="0"/>
            <w:vAlign w:val="center"/>
          </w:tcPr>
          <w:p w14:paraId="64FD770B">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选用低噪声设备、合理布局、基础减振、绿化、禁止大声喧哗及禁止鸣笛警示牌</w:t>
            </w:r>
          </w:p>
        </w:tc>
        <w:tc>
          <w:tcPr>
            <w:tcW w:w="873" w:type="dxa"/>
            <w:vMerge w:val="continue"/>
            <w:noWrap w:val="0"/>
            <w:vAlign w:val="center"/>
          </w:tcPr>
          <w:p w14:paraId="46CF3A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E0665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噪声</w:t>
            </w:r>
          </w:p>
        </w:tc>
        <w:tc>
          <w:tcPr>
            <w:tcW w:w="773" w:type="dxa"/>
            <w:noWrap w:val="0"/>
            <w:vAlign w:val="center"/>
          </w:tcPr>
          <w:p w14:paraId="555043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69000F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noWrap w:val="0"/>
            <w:vAlign w:val="center"/>
          </w:tcPr>
          <w:p w14:paraId="4D3208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0367BBBD">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固废</w:t>
            </w:r>
          </w:p>
        </w:tc>
        <w:tc>
          <w:tcPr>
            <w:tcW w:w="3987" w:type="dxa"/>
            <w:noWrap w:val="0"/>
            <w:vAlign w:val="center"/>
          </w:tcPr>
          <w:p w14:paraId="13D316E4">
            <w:pPr>
              <w:keepNext w:val="0"/>
              <w:keepLines w:val="0"/>
              <w:widowControl/>
              <w:suppressLineNumbers w:val="0"/>
              <w:jc w:val="left"/>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一般固废：</w:t>
            </w:r>
            <w:r>
              <w:rPr>
                <w:rFonts w:hint="default" w:ascii="Times New Roman" w:hAnsi="Times New Roman" w:eastAsia="宋体" w:cs="Times New Roman"/>
                <w:bCs/>
                <w:color w:val="auto"/>
                <w:sz w:val="21"/>
                <w:szCs w:val="21"/>
                <w:highlight w:val="none"/>
                <w:vertAlign w:val="baseline"/>
                <w:lang w:val="en-US" w:eastAsia="zh-CN"/>
              </w:rPr>
              <w:t>在各楼层设有垃圾收集桶，在2#楼吊一层（191.3m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）、3、4#楼-1F（20m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）设置生活垃圾暂存点，定期交环卫部门处置。</w:t>
            </w:r>
          </w:p>
          <w:p w14:paraId="336EB287">
            <w:pPr>
              <w:keepNext w:val="0"/>
              <w:keepLines w:val="0"/>
              <w:widowControl/>
              <w:suppressLineNumbers w:val="0"/>
              <w:jc w:val="left"/>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医疗废物：在2#楼-1F（195.15m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）、3、4#楼（10.69m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）-1F设置医疗废物暂存间，医疗废物分类收集暂存，定期（不超过2天）交有资质单位处置。</w:t>
            </w:r>
          </w:p>
          <w:p w14:paraId="02B4604A">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危险废物：在2#楼-1F（50m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）设置危险废物暂存间，污水处理站污泥、废活性炭、</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废弃紫外线灯管及</w:t>
            </w:r>
            <w:r>
              <w:rPr>
                <w:rFonts w:hint="default" w:ascii="Times New Roman" w:hAnsi="Times New Roman" w:eastAsia="宋体" w:cs="Times New Roman"/>
                <w:b w:val="0"/>
                <w:bCs w:val="0"/>
                <w:color w:val="auto"/>
                <w:sz w:val="21"/>
                <w:szCs w:val="21"/>
                <w:highlight w:val="none"/>
                <w:lang w:val="en-US" w:eastAsia="zh-CN"/>
              </w:rPr>
              <w:t>排风系</w:t>
            </w:r>
            <w:r>
              <w:rPr>
                <w:rFonts w:hint="default" w:ascii="Times New Roman" w:hAnsi="Times New Roman" w:eastAsia="宋体" w:cs="Times New Roman"/>
                <w:color w:val="auto"/>
                <w:sz w:val="21"/>
                <w:szCs w:val="21"/>
                <w:highlight w:val="none"/>
                <w:lang w:val="en-US" w:eastAsia="zh-CN"/>
              </w:rPr>
              <w:t>统更换的滤芯</w:t>
            </w:r>
            <w:r>
              <w:rPr>
                <w:rFonts w:hint="default" w:ascii="Times New Roman" w:hAnsi="Times New Roman" w:eastAsia="宋体" w:cs="Times New Roman"/>
                <w:bCs/>
                <w:color w:val="auto"/>
                <w:sz w:val="21"/>
                <w:szCs w:val="21"/>
                <w:highlight w:val="none"/>
                <w:vertAlign w:val="baseline"/>
                <w:lang w:val="en-US" w:eastAsia="zh-CN"/>
              </w:rPr>
              <w:t>分类收集暂存，定期交有资质单位处置。</w:t>
            </w:r>
          </w:p>
        </w:tc>
        <w:tc>
          <w:tcPr>
            <w:tcW w:w="873" w:type="dxa"/>
            <w:vMerge w:val="continue"/>
            <w:noWrap w:val="0"/>
            <w:vAlign w:val="center"/>
          </w:tcPr>
          <w:p w14:paraId="7810C9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2FF96C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废气、固废</w:t>
            </w:r>
          </w:p>
        </w:tc>
        <w:tc>
          <w:tcPr>
            <w:tcW w:w="773" w:type="dxa"/>
            <w:noWrap w:val="0"/>
            <w:vAlign w:val="center"/>
          </w:tcPr>
          <w:p w14:paraId="2DD78A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r w14:paraId="69EA0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794" w:type="dxa"/>
            <w:vMerge w:val="continue"/>
            <w:noWrap w:val="0"/>
            <w:vAlign w:val="center"/>
          </w:tcPr>
          <w:p w14:paraId="2072D3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795" w:type="dxa"/>
            <w:noWrap w:val="0"/>
            <w:vAlign w:val="center"/>
          </w:tcPr>
          <w:p w14:paraId="28B1648D">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环境风险</w:t>
            </w:r>
          </w:p>
        </w:tc>
        <w:tc>
          <w:tcPr>
            <w:tcW w:w="3987" w:type="dxa"/>
            <w:noWrap w:val="0"/>
            <w:vAlign w:val="center"/>
          </w:tcPr>
          <w:p w14:paraId="76DF5AB5">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污水处理设施、应急事故池、消防水池、医废暂存间和危废暂存间作重点防渗；建设1个300m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的事故应急池及一个32m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的感染废水预处理事故池。；配备灭火器等消防设施，设置2座消防水池，有效容积1550m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w:t>
            </w:r>
          </w:p>
        </w:tc>
        <w:tc>
          <w:tcPr>
            <w:tcW w:w="873" w:type="dxa"/>
            <w:vMerge w:val="continue"/>
            <w:noWrap w:val="0"/>
            <w:vAlign w:val="center"/>
          </w:tcPr>
          <w:p w14:paraId="7EB373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237" w:type="dxa"/>
            <w:noWrap w:val="0"/>
            <w:vAlign w:val="center"/>
          </w:tcPr>
          <w:p w14:paraId="188A70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773" w:type="dxa"/>
            <w:noWrap w:val="0"/>
            <w:vAlign w:val="center"/>
          </w:tcPr>
          <w:p w14:paraId="6AFEEE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新建</w:t>
            </w:r>
          </w:p>
        </w:tc>
      </w:tr>
    </w:tbl>
    <w:p w14:paraId="47D9D5A3">
      <w:pPr>
        <w:keepNext w:val="0"/>
        <w:keepLines w:val="0"/>
        <w:pageBreakBefore w:val="0"/>
        <w:widowControl/>
        <w:suppressLineNumbers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备注：</w:t>
      </w:r>
    </w:p>
    <w:p w14:paraId="330A5D2D">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（1）</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本项目氧源为外购，本项目不制氧。</w:t>
      </w:r>
    </w:p>
    <w:p w14:paraId="0BA21A66">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（2）</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项目设置放射科，照片采用激光打印，无洗印废水产生。</w:t>
      </w:r>
    </w:p>
    <w:p w14:paraId="1947AB3A">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（3）</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口腔科采用无汞材料，不涉及含汞废水。</w:t>
      </w:r>
    </w:p>
    <w:p w14:paraId="12FDB9F7">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（4）</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医院检验科血液、血清的化学检查和病理、血液化验均使用外购的成品检测试剂，不会自配检测试剂，未使用氰化物试剂和含重金属试剂，因此不会产生含氰废水、重金属废水和酸碱废水</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p>
    <w:p w14:paraId="278BEA8B">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leftChars="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（5）</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项目</w:t>
      </w: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设有医学影像科，含有辐射装置，</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主要有各型医用X光机、CT、DR等，辐射装置主要分布于门急诊医技住院综合楼，房间墙壁及门板内嵌铅版，可以有效阻隔电离辐射污染外环境。医院严格按照《电离辐射防护和辐射源安全基本标准》（GB18871-2002），做好辐射防护工作（如采用防X光辐射的轻质墙、铅制门窗等防护措施）。电离辐射防护和辐射源安全专业性强，建设单位需委托有资质的专业单位进行辐射防护专项评价，并通过审批后开展相关的工作。</w:t>
      </w:r>
    </w:p>
    <w:p w14:paraId="0AD325D7">
      <w:pPr>
        <w:pStyle w:val="7"/>
        <w:bidi w:val="0"/>
        <w:rPr>
          <w:rFonts w:hint="default" w:ascii="Times New Roman" w:hAnsi="Times New Roman" w:eastAsia="宋体" w:cs="Times New Roman"/>
          <w:color w:val="auto"/>
          <w:lang w:val="en-US" w:eastAsia="zh-CN"/>
        </w:rPr>
      </w:pPr>
      <w:bookmarkStart w:id="1184" w:name="_Toc31010"/>
      <w:bookmarkStart w:id="1185" w:name="_Toc29513"/>
      <w:r>
        <w:rPr>
          <w:rFonts w:hint="default" w:ascii="Times New Roman" w:hAnsi="Times New Roman" w:eastAsia="宋体" w:cs="Times New Roman"/>
          <w:color w:val="auto"/>
          <w:lang w:val="en-US" w:eastAsia="zh-CN"/>
        </w:rPr>
        <w:t>2.1.5项目原辅材料及能源消耗</w:t>
      </w:r>
      <w:bookmarkEnd w:id="1184"/>
      <w:r>
        <w:rPr>
          <w:rFonts w:hint="default" w:ascii="Times New Roman" w:hAnsi="Times New Roman" w:eastAsia="宋体" w:cs="Times New Roman"/>
          <w:color w:val="auto"/>
          <w:lang w:val="en-US" w:eastAsia="zh-CN"/>
        </w:rPr>
        <w:t xml:space="preserve"> </w:t>
      </w:r>
    </w:p>
    <w:p w14:paraId="5A994A5C">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卫生机构主要的材料是药品及其医疗器具，药品一般是一次性使用的物品，并且有时间性，不能重复使用和使用过期的药品；医疗器具主要有纱布、注射器具等，一般为一次性使用。药品以及一次用品均有纸盒包装，保证其通风、干燥。本项目所涉及的主要原辅材料种类、数量及项目能耗情况见下表。</w:t>
      </w:r>
    </w:p>
    <w:p w14:paraId="60FFC1FB">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表2.1-3 项目原辅材料消耗情况统计表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858"/>
        <w:gridCol w:w="1922"/>
        <w:gridCol w:w="2323"/>
      </w:tblGrid>
      <w:tr w14:paraId="05547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7D7D7" w:themeFill="background1" w:themeFillShade="D8"/>
            <w:vAlign w:val="center"/>
          </w:tcPr>
          <w:p w14:paraId="2F153458">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类别</w:t>
            </w:r>
          </w:p>
        </w:tc>
        <w:tc>
          <w:tcPr>
            <w:tcW w:w="2858" w:type="dxa"/>
            <w:shd w:val="clear" w:color="auto" w:fill="D7D7D7" w:themeFill="background1" w:themeFillShade="D8"/>
            <w:vAlign w:val="center"/>
          </w:tcPr>
          <w:p w14:paraId="79B2DEA6">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名称</w:t>
            </w:r>
          </w:p>
        </w:tc>
        <w:tc>
          <w:tcPr>
            <w:tcW w:w="1922" w:type="dxa"/>
            <w:shd w:val="clear" w:color="auto" w:fill="D7D7D7" w:themeFill="background1" w:themeFillShade="D8"/>
            <w:vAlign w:val="center"/>
          </w:tcPr>
          <w:p w14:paraId="184B78B9">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单位</w:t>
            </w:r>
          </w:p>
        </w:tc>
        <w:tc>
          <w:tcPr>
            <w:tcW w:w="2323" w:type="dxa"/>
            <w:shd w:val="clear" w:color="auto" w:fill="D7D7D7" w:themeFill="background1" w:themeFillShade="D8"/>
            <w:vAlign w:val="center"/>
          </w:tcPr>
          <w:p w14:paraId="14CB9F11">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预计年耗量</w:t>
            </w:r>
          </w:p>
        </w:tc>
      </w:tr>
      <w:tr w14:paraId="7583F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14:paraId="6206D1B7">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医疗用品耗材</w:t>
            </w:r>
          </w:p>
        </w:tc>
        <w:tc>
          <w:tcPr>
            <w:tcW w:w="2858" w:type="dxa"/>
            <w:vAlign w:val="center"/>
          </w:tcPr>
          <w:p w14:paraId="18E5F78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一次性注射器</w:t>
            </w:r>
          </w:p>
        </w:tc>
        <w:tc>
          <w:tcPr>
            <w:tcW w:w="1922" w:type="dxa"/>
            <w:vAlign w:val="center"/>
          </w:tcPr>
          <w:p w14:paraId="3793E829">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万套</w:t>
            </w:r>
          </w:p>
        </w:tc>
        <w:tc>
          <w:tcPr>
            <w:tcW w:w="2323" w:type="dxa"/>
            <w:vAlign w:val="center"/>
          </w:tcPr>
          <w:p w14:paraId="22C9F9C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7C87B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1F6E9A09">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7BE5AA36">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一次性输液器</w:t>
            </w:r>
          </w:p>
        </w:tc>
        <w:tc>
          <w:tcPr>
            <w:tcW w:w="1922" w:type="dxa"/>
            <w:vAlign w:val="center"/>
          </w:tcPr>
          <w:p w14:paraId="4317BA27">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万套</w:t>
            </w:r>
          </w:p>
        </w:tc>
        <w:tc>
          <w:tcPr>
            <w:tcW w:w="2323" w:type="dxa"/>
            <w:vAlign w:val="center"/>
          </w:tcPr>
          <w:p w14:paraId="77FDD43F">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78ADE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4DFBEF2F">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412A0FD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一次性床单</w:t>
            </w:r>
          </w:p>
        </w:tc>
        <w:tc>
          <w:tcPr>
            <w:tcW w:w="1922" w:type="dxa"/>
            <w:vAlign w:val="center"/>
          </w:tcPr>
          <w:p w14:paraId="3D10650F">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万张</w:t>
            </w:r>
          </w:p>
        </w:tc>
        <w:tc>
          <w:tcPr>
            <w:tcW w:w="2323" w:type="dxa"/>
            <w:vAlign w:val="center"/>
          </w:tcPr>
          <w:p w14:paraId="74DC225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1.5</w:t>
            </w:r>
          </w:p>
        </w:tc>
      </w:tr>
      <w:tr w14:paraId="260AB8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65C2312C">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188A3DE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一次性手套</w:t>
            </w:r>
          </w:p>
        </w:tc>
        <w:tc>
          <w:tcPr>
            <w:tcW w:w="1922" w:type="dxa"/>
            <w:vAlign w:val="center"/>
          </w:tcPr>
          <w:p w14:paraId="531C2755">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万双</w:t>
            </w:r>
          </w:p>
        </w:tc>
        <w:tc>
          <w:tcPr>
            <w:tcW w:w="2323" w:type="dxa"/>
            <w:vAlign w:val="center"/>
          </w:tcPr>
          <w:p w14:paraId="491EC65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6C742A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3202F4A">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653CFAD7">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一次性尿袋、尿管</w:t>
            </w:r>
          </w:p>
        </w:tc>
        <w:tc>
          <w:tcPr>
            <w:tcW w:w="1922" w:type="dxa"/>
            <w:vAlign w:val="center"/>
          </w:tcPr>
          <w:p w14:paraId="1BA4091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万套</w:t>
            </w:r>
          </w:p>
        </w:tc>
        <w:tc>
          <w:tcPr>
            <w:tcW w:w="2323" w:type="dxa"/>
            <w:vAlign w:val="center"/>
          </w:tcPr>
          <w:p w14:paraId="3C36E8C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0.5</w:t>
            </w:r>
          </w:p>
        </w:tc>
      </w:tr>
      <w:tr w14:paraId="3B8AE7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0DDD8387">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20F07C6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医用棉球、纱布、绷带</w:t>
            </w:r>
          </w:p>
        </w:tc>
        <w:tc>
          <w:tcPr>
            <w:tcW w:w="1922" w:type="dxa"/>
            <w:vAlign w:val="center"/>
          </w:tcPr>
          <w:p w14:paraId="787599B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万包</w:t>
            </w:r>
          </w:p>
        </w:tc>
        <w:tc>
          <w:tcPr>
            <w:tcW w:w="2323" w:type="dxa"/>
            <w:vAlign w:val="center"/>
          </w:tcPr>
          <w:p w14:paraId="1562205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635E39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4889F55">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04324755">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医用胶布</w:t>
            </w:r>
          </w:p>
        </w:tc>
        <w:tc>
          <w:tcPr>
            <w:tcW w:w="1922" w:type="dxa"/>
            <w:vAlign w:val="center"/>
          </w:tcPr>
          <w:p w14:paraId="26978E25">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3EC7FE6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0DFD5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E2CBED8">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2A6174A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手术丝线</w:t>
            </w:r>
          </w:p>
        </w:tc>
        <w:tc>
          <w:tcPr>
            <w:tcW w:w="1922" w:type="dxa"/>
            <w:vAlign w:val="center"/>
          </w:tcPr>
          <w:p w14:paraId="2FBEE64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万卷</w:t>
            </w:r>
          </w:p>
        </w:tc>
        <w:tc>
          <w:tcPr>
            <w:tcW w:w="2323" w:type="dxa"/>
            <w:vAlign w:val="center"/>
          </w:tcPr>
          <w:p w14:paraId="219D4E4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2432D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142C4E9F">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1E56B95D">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医用缝针</w:t>
            </w:r>
          </w:p>
        </w:tc>
        <w:tc>
          <w:tcPr>
            <w:tcW w:w="1922" w:type="dxa"/>
            <w:vAlign w:val="center"/>
          </w:tcPr>
          <w:p w14:paraId="22BB81B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万包</w:t>
            </w:r>
          </w:p>
        </w:tc>
        <w:tc>
          <w:tcPr>
            <w:tcW w:w="2323" w:type="dxa"/>
            <w:vAlign w:val="center"/>
          </w:tcPr>
          <w:p w14:paraId="3912A5E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0.2</w:t>
            </w:r>
          </w:p>
        </w:tc>
      </w:tr>
      <w:tr w14:paraId="34B649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18CF523F">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2238418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手术刀片</w:t>
            </w:r>
          </w:p>
        </w:tc>
        <w:tc>
          <w:tcPr>
            <w:tcW w:w="1922" w:type="dxa"/>
            <w:vAlign w:val="center"/>
          </w:tcPr>
          <w:p w14:paraId="3E2444F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万包</w:t>
            </w:r>
          </w:p>
        </w:tc>
        <w:tc>
          <w:tcPr>
            <w:tcW w:w="2323" w:type="dxa"/>
            <w:vAlign w:val="center"/>
          </w:tcPr>
          <w:p w14:paraId="6A4DEB2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0.2</w:t>
            </w:r>
          </w:p>
        </w:tc>
      </w:tr>
      <w:tr w14:paraId="1EB29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14:paraId="05CA37B4">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医疗用品</w:t>
            </w:r>
          </w:p>
        </w:tc>
        <w:tc>
          <w:tcPr>
            <w:tcW w:w="2858" w:type="dxa"/>
            <w:vAlign w:val="center"/>
          </w:tcPr>
          <w:p w14:paraId="2EF38905">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医用酒精</w:t>
            </w:r>
          </w:p>
        </w:tc>
        <w:tc>
          <w:tcPr>
            <w:tcW w:w="1922" w:type="dxa"/>
            <w:vAlign w:val="center"/>
          </w:tcPr>
          <w:p w14:paraId="6D8432F4">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万瓶</w:t>
            </w:r>
          </w:p>
        </w:tc>
        <w:tc>
          <w:tcPr>
            <w:tcW w:w="2323" w:type="dxa"/>
            <w:vAlign w:val="center"/>
          </w:tcPr>
          <w:p w14:paraId="3CC1508D">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06461E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7A13B800">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6DFB330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青霉素针液</w:t>
            </w:r>
          </w:p>
        </w:tc>
        <w:tc>
          <w:tcPr>
            <w:tcW w:w="1922" w:type="dxa"/>
            <w:vAlign w:val="center"/>
          </w:tcPr>
          <w:p w14:paraId="4DF46310">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万支</w:t>
            </w:r>
          </w:p>
        </w:tc>
        <w:tc>
          <w:tcPr>
            <w:tcW w:w="2323" w:type="dxa"/>
            <w:vAlign w:val="center"/>
          </w:tcPr>
          <w:p w14:paraId="632E4060">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46788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6677DDC8">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5A4407F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头孢曲松钠</w:t>
            </w:r>
          </w:p>
        </w:tc>
        <w:tc>
          <w:tcPr>
            <w:tcW w:w="1922" w:type="dxa"/>
            <w:vAlign w:val="center"/>
          </w:tcPr>
          <w:p w14:paraId="6A80102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万支</w:t>
            </w:r>
          </w:p>
        </w:tc>
        <w:tc>
          <w:tcPr>
            <w:tcW w:w="2323" w:type="dxa"/>
            <w:vAlign w:val="center"/>
          </w:tcPr>
          <w:p w14:paraId="371F813F">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5AD33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EA6B1FC">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0BF1C1D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注射头孢他啶</w:t>
            </w:r>
          </w:p>
        </w:tc>
        <w:tc>
          <w:tcPr>
            <w:tcW w:w="1922" w:type="dxa"/>
            <w:vAlign w:val="center"/>
          </w:tcPr>
          <w:p w14:paraId="1FDA6D3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万支</w:t>
            </w:r>
          </w:p>
        </w:tc>
        <w:tc>
          <w:tcPr>
            <w:tcW w:w="2323" w:type="dxa"/>
            <w:vAlign w:val="center"/>
          </w:tcPr>
          <w:p w14:paraId="1E6030A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481F5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1E2DA48B">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6E0C72D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注射用乳糖酸阿奇霉素</w:t>
            </w:r>
          </w:p>
        </w:tc>
        <w:tc>
          <w:tcPr>
            <w:tcW w:w="1922" w:type="dxa"/>
            <w:vAlign w:val="center"/>
          </w:tcPr>
          <w:p w14:paraId="417C33B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万支</w:t>
            </w:r>
          </w:p>
        </w:tc>
        <w:tc>
          <w:tcPr>
            <w:tcW w:w="2323" w:type="dxa"/>
            <w:vAlign w:val="center"/>
          </w:tcPr>
          <w:p w14:paraId="757BEBC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0.3</w:t>
            </w:r>
          </w:p>
        </w:tc>
      </w:tr>
      <w:tr w14:paraId="52A3E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B4795B4">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2752DA8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阿莫西林</w:t>
            </w:r>
          </w:p>
        </w:tc>
        <w:tc>
          <w:tcPr>
            <w:tcW w:w="1922" w:type="dxa"/>
            <w:vAlign w:val="center"/>
          </w:tcPr>
          <w:p w14:paraId="7115DC3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07BEF49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12CD03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673E8725">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5816A27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林可霉素</w:t>
            </w:r>
          </w:p>
        </w:tc>
        <w:tc>
          <w:tcPr>
            <w:tcW w:w="1922" w:type="dxa"/>
            <w:vAlign w:val="center"/>
          </w:tcPr>
          <w:p w14:paraId="7607A816">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681816B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0.2</w:t>
            </w:r>
          </w:p>
        </w:tc>
      </w:tr>
      <w:tr w14:paraId="232D31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6A94DAFE">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1FF9369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葡萄糖注射液</w:t>
            </w:r>
          </w:p>
        </w:tc>
        <w:tc>
          <w:tcPr>
            <w:tcW w:w="1922" w:type="dxa"/>
            <w:vAlign w:val="center"/>
          </w:tcPr>
          <w:p w14:paraId="603B017D">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412BBEF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2F975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4F219304">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7E57A31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维生素注射液</w:t>
            </w:r>
          </w:p>
        </w:tc>
        <w:tc>
          <w:tcPr>
            <w:tcW w:w="1922" w:type="dxa"/>
            <w:vAlign w:val="center"/>
          </w:tcPr>
          <w:p w14:paraId="5F6BC58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1CAEAAA9">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0.5</w:t>
            </w:r>
          </w:p>
        </w:tc>
      </w:tr>
      <w:tr w14:paraId="09CFB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03939C0F">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6F05B71F">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肾上腺素注射液</w:t>
            </w:r>
          </w:p>
        </w:tc>
        <w:tc>
          <w:tcPr>
            <w:tcW w:w="1922" w:type="dxa"/>
            <w:vAlign w:val="center"/>
          </w:tcPr>
          <w:p w14:paraId="17D3DF55">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7F44B55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0.5</w:t>
            </w:r>
          </w:p>
        </w:tc>
      </w:tr>
      <w:tr w14:paraId="0DB7A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22D9BB09">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49F53199">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碘伏</w:t>
            </w:r>
          </w:p>
        </w:tc>
        <w:tc>
          <w:tcPr>
            <w:tcW w:w="1922" w:type="dxa"/>
            <w:vAlign w:val="center"/>
          </w:tcPr>
          <w:p w14:paraId="78CB579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万瓶</w:t>
            </w:r>
          </w:p>
        </w:tc>
        <w:tc>
          <w:tcPr>
            <w:tcW w:w="2323" w:type="dxa"/>
            <w:vAlign w:val="center"/>
          </w:tcPr>
          <w:p w14:paraId="2AF057E6">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0.5</w:t>
            </w:r>
          </w:p>
        </w:tc>
      </w:tr>
      <w:tr w14:paraId="2E861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14:paraId="4F2FC8C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医疗检验耗材</w:t>
            </w:r>
          </w:p>
        </w:tc>
        <w:tc>
          <w:tcPr>
            <w:tcW w:w="2858" w:type="dxa"/>
            <w:vAlign w:val="center"/>
          </w:tcPr>
          <w:p w14:paraId="66F2C446">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药敏试纸</w:t>
            </w:r>
          </w:p>
        </w:tc>
        <w:tc>
          <w:tcPr>
            <w:tcW w:w="1922" w:type="dxa"/>
            <w:vAlign w:val="center"/>
          </w:tcPr>
          <w:p w14:paraId="3719DFA3">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0F1C575A">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1.0</w:t>
            </w:r>
          </w:p>
        </w:tc>
      </w:tr>
      <w:tr w14:paraId="40B4CF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78D26C9B">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320FB850">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HCG试纸</w:t>
            </w:r>
          </w:p>
        </w:tc>
        <w:tc>
          <w:tcPr>
            <w:tcW w:w="1922" w:type="dxa"/>
            <w:vAlign w:val="center"/>
          </w:tcPr>
          <w:p w14:paraId="15F04C27">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3F615EEF">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0.1</w:t>
            </w:r>
          </w:p>
        </w:tc>
      </w:tr>
      <w:tr w14:paraId="174164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14:paraId="131A5A54">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7EBD3BEB">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检测试剂盒</w:t>
            </w:r>
          </w:p>
        </w:tc>
        <w:tc>
          <w:tcPr>
            <w:tcW w:w="1922" w:type="dxa"/>
            <w:vAlign w:val="center"/>
          </w:tcPr>
          <w:p w14:paraId="0FA35754">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万盒</w:t>
            </w:r>
          </w:p>
        </w:tc>
        <w:tc>
          <w:tcPr>
            <w:tcW w:w="2323" w:type="dxa"/>
            <w:vAlign w:val="center"/>
          </w:tcPr>
          <w:p w14:paraId="3FB45317">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r>
      <w:tr w14:paraId="298BC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14:paraId="65B5E054">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消毒剂</w:t>
            </w:r>
          </w:p>
        </w:tc>
        <w:tc>
          <w:tcPr>
            <w:tcW w:w="2858" w:type="dxa"/>
            <w:vAlign w:val="center"/>
          </w:tcPr>
          <w:p w14:paraId="3F91278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84消毒液</w:t>
            </w:r>
          </w:p>
        </w:tc>
        <w:tc>
          <w:tcPr>
            <w:tcW w:w="1922" w:type="dxa"/>
            <w:vAlign w:val="center"/>
          </w:tcPr>
          <w:p w14:paraId="48F1E0C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万瓶</w:t>
            </w:r>
          </w:p>
        </w:tc>
        <w:tc>
          <w:tcPr>
            <w:tcW w:w="2323" w:type="dxa"/>
            <w:vAlign w:val="center"/>
          </w:tcPr>
          <w:p w14:paraId="5359F05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0.3</w:t>
            </w:r>
          </w:p>
        </w:tc>
      </w:tr>
      <w:tr w14:paraId="55E67A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413" w:type="dxa"/>
            <w:vMerge w:val="continue"/>
            <w:vAlign w:val="center"/>
          </w:tcPr>
          <w:p w14:paraId="44A0CED9">
            <w:pPr>
              <w:jc w:val="center"/>
              <w:rPr>
                <w:rFonts w:hint="default" w:ascii="Times New Roman" w:hAnsi="Times New Roman" w:eastAsia="宋体" w:cs="Times New Roman"/>
                <w:color w:val="auto"/>
                <w:vertAlign w:val="baseline"/>
                <w:lang w:val="en-US" w:eastAsia="zh-CN"/>
              </w:rPr>
            </w:pPr>
          </w:p>
        </w:tc>
        <w:tc>
          <w:tcPr>
            <w:tcW w:w="2858" w:type="dxa"/>
            <w:vAlign w:val="center"/>
          </w:tcPr>
          <w:p w14:paraId="78FC881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二氧化氯消毒剂A、B剂</w:t>
            </w:r>
          </w:p>
        </w:tc>
        <w:tc>
          <w:tcPr>
            <w:tcW w:w="1922" w:type="dxa"/>
            <w:vAlign w:val="center"/>
          </w:tcPr>
          <w:p w14:paraId="5E113D51">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t</w:t>
            </w:r>
          </w:p>
        </w:tc>
        <w:tc>
          <w:tcPr>
            <w:tcW w:w="2323" w:type="dxa"/>
            <w:vAlign w:val="center"/>
          </w:tcPr>
          <w:p w14:paraId="01C0E1A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w:t>
            </w:r>
          </w:p>
        </w:tc>
      </w:tr>
      <w:tr w14:paraId="3EA5F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13" w:type="dxa"/>
            <w:vMerge w:val="restart"/>
            <w:vAlign w:val="center"/>
          </w:tcPr>
          <w:p w14:paraId="4AC71962">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kern w:val="0"/>
                <w:sz w:val="20"/>
                <w:szCs w:val="20"/>
                <w:vertAlign w:val="baseline"/>
                <w:lang w:val="en-US" w:eastAsia="zh-CN" w:bidi="ar"/>
              </w:rPr>
              <w:t>能耗</w:t>
            </w:r>
          </w:p>
        </w:tc>
        <w:tc>
          <w:tcPr>
            <w:tcW w:w="2858" w:type="dxa"/>
            <w:vAlign w:val="top"/>
          </w:tcPr>
          <w:p w14:paraId="7F0A8800">
            <w:pPr>
              <w:keepNext w:val="0"/>
              <w:keepLines w:val="0"/>
              <w:widowControl/>
              <w:suppressLineNumbers w:val="0"/>
              <w:jc w:val="center"/>
              <w:rPr>
                <w:rFonts w:hint="default" w:ascii="Times New Roman" w:hAnsi="Times New Roman" w:eastAsia="宋体" w:cs="Times New Roman"/>
                <w:color w:val="auto"/>
                <w:kern w:val="0"/>
                <w:sz w:val="20"/>
                <w:szCs w:val="20"/>
                <w:vertAlign w:val="baseline"/>
                <w:lang w:val="en-US" w:eastAsia="zh-CN" w:bidi="ar"/>
              </w:rPr>
            </w:pPr>
            <w:r>
              <w:rPr>
                <w:rFonts w:hint="default" w:ascii="Times New Roman" w:hAnsi="Times New Roman" w:eastAsia="宋体" w:cs="Times New Roman"/>
                <w:color w:val="auto"/>
                <w:kern w:val="0"/>
                <w:sz w:val="20"/>
                <w:szCs w:val="20"/>
                <w:vertAlign w:val="baseline"/>
                <w:lang w:val="en-US" w:eastAsia="zh-CN" w:bidi="ar"/>
              </w:rPr>
              <w:t>电</w:t>
            </w:r>
          </w:p>
        </w:tc>
        <w:tc>
          <w:tcPr>
            <w:tcW w:w="1922" w:type="dxa"/>
            <w:vAlign w:val="center"/>
          </w:tcPr>
          <w:p w14:paraId="6F319A9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kern w:val="0"/>
                <w:sz w:val="20"/>
                <w:szCs w:val="20"/>
                <w:vertAlign w:val="baseline"/>
                <w:lang w:val="en-US" w:eastAsia="zh-CN" w:bidi="ar"/>
              </w:rPr>
              <w:t>万kw·h</w:t>
            </w:r>
          </w:p>
        </w:tc>
        <w:tc>
          <w:tcPr>
            <w:tcW w:w="2323" w:type="dxa"/>
            <w:vAlign w:val="center"/>
          </w:tcPr>
          <w:p w14:paraId="6D91BC3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2500</w:t>
            </w:r>
          </w:p>
        </w:tc>
      </w:tr>
      <w:tr w14:paraId="37EBD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13" w:type="dxa"/>
            <w:vMerge w:val="continue"/>
            <w:vAlign w:val="center"/>
          </w:tcPr>
          <w:p w14:paraId="3412A83C">
            <w:pPr>
              <w:jc w:val="center"/>
              <w:rPr>
                <w:rFonts w:hint="default" w:ascii="Times New Roman" w:hAnsi="Times New Roman" w:eastAsia="宋体" w:cs="Times New Roman"/>
                <w:color w:val="auto"/>
                <w:vertAlign w:val="baseline"/>
                <w:lang w:val="en-US" w:eastAsia="zh-CN"/>
              </w:rPr>
            </w:pPr>
          </w:p>
        </w:tc>
        <w:tc>
          <w:tcPr>
            <w:tcW w:w="2858" w:type="dxa"/>
            <w:vAlign w:val="top"/>
          </w:tcPr>
          <w:p w14:paraId="01E6ECAB">
            <w:pPr>
              <w:keepNext w:val="0"/>
              <w:keepLines w:val="0"/>
              <w:widowControl/>
              <w:suppressLineNumbers w:val="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kern w:val="0"/>
                <w:sz w:val="20"/>
                <w:szCs w:val="20"/>
                <w:vertAlign w:val="baseline"/>
                <w:lang w:val="en-US" w:eastAsia="zh-CN" w:bidi="ar"/>
              </w:rPr>
              <w:t>自来水</w:t>
            </w:r>
          </w:p>
        </w:tc>
        <w:tc>
          <w:tcPr>
            <w:tcW w:w="1922" w:type="dxa"/>
            <w:vAlign w:val="center"/>
          </w:tcPr>
          <w:p w14:paraId="224DE138">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m</w:t>
            </w:r>
            <w:r>
              <w:rPr>
                <w:rFonts w:hint="default" w:ascii="Times New Roman" w:hAnsi="Times New Roman" w:eastAsia="宋体" w:cs="Times New Roman"/>
                <w:color w:val="auto"/>
                <w:vertAlign w:val="superscript"/>
                <w:lang w:val="en-US" w:eastAsia="zh-CN"/>
              </w:rPr>
              <w:t>3</w:t>
            </w:r>
          </w:p>
        </w:tc>
        <w:tc>
          <w:tcPr>
            <w:tcW w:w="2323" w:type="dxa"/>
            <w:vAlign w:val="center"/>
          </w:tcPr>
          <w:p w14:paraId="1AA1F024">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710472</w:t>
            </w:r>
          </w:p>
        </w:tc>
      </w:tr>
      <w:tr w14:paraId="038BE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413" w:type="dxa"/>
            <w:vMerge w:val="continue"/>
            <w:vAlign w:val="center"/>
          </w:tcPr>
          <w:p w14:paraId="0EB0721A">
            <w:pPr>
              <w:jc w:val="center"/>
              <w:rPr>
                <w:rFonts w:hint="default" w:ascii="Times New Roman" w:hAnsi="Times New Roman" w:eastAsia="宋体" w:cs="Times New Roman"/>
                <w:color w:val="auto"/>
                <w:kern w:val="0"/>
                <w:sz w:val="20"/>
                <w:szCs w:val="20"/>
                <w:vertAlign w:val="baseline"/>
                <w:lang w:val="en-US" w:eastAsia="zh-CN" w:bidi="ar"/>
              </w:rPr>
            </w:pPr>
          </w:p>
        </w:tc>
        <w:tc>
          <w:tcPr>
            <w:tcW w:w="2858" w:type="dxa"/>
            <w:vAlign w:val="top"/>
          </w:tcPr>
          <w:p w14:paraId="4AA2BB69">
            <w:pPr>
              <w:keepNext w:val="0"/>
              <w:keepLines w:val="0"/>
              <w:widowControl/>
              <w:suppressLineNumbers w:val="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kern w:val="0"/>
                <w:sz w:val="20"/>
                <w:szCs w:val="20"/>
                <w:vertAlign w:val="baseline"/>
                <w:lang w:val="en-US" w:eastAsia="zh-CN" w:bidi="ar"/>
              </w:rPr>
              <w:t>柴油</w:t>
            </w:r>
          </w:p>
        </w:tc>
        <w:tc>
          <w:tcPr>
            <w:tcW w:w="1922" w:type="dxa"/>
            <w:vAlign w:val="center"/>
          </w:tcPr>
          <w:p w14:paraId="27086FDE">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t</w:t>
            </w:r>
          </w:p>
        </w:tc>
        <w:tc>
          <w:tcPr>
            <w:tcW w:w="2323" w:type="dxa"/>
            <w:vAlign w:val="center"/>
          </w:tcPr>
          <w:p w14:paraId="2CB76DAC">
            <w:p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12.67</w:t>
            </w:r>
          </w:p>
        </w:tc>
      </w:tr>
    </w:tbl>
    <w:p w14:paraId="264E7CB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br w:type="page"/>
      </w:r>
    </w:p>
    <w:p w14:paraId="6E2DD9E0">
      <w:pPr>
        <w:pStyle w:val="7"/>
        <w:bidi w:val="0"/>
        <w:rPr>
          <w:rFonts w:hint="default" w:ascii="Times New Roman" w:hAnsi="Times New Roman" w:eastAsia="宋体" w:cs="Times New Roman"/>
          <w:color w:val="auto"/>
          <w:lang w:val="en-US" w:eastAsia="zh-CN"/>
        </w:rPr>
      </w:pPr>
      <w:bookmarkStart w:id="1186" w:name="_Toc16161"/>
      <w:r>
        <w:rPr>
          <w:rFonts w:hint="default" w:ascii="Times New Roman" w:hAnsi="Times New Roman" w:eastAsia="宋体" w:cs="Times New Roman"/>
          <w:color w:val="auto"/>
          <w:lang w:val="en-US" w:eastAsia="zh-CN"/>
        </w:rPr>
        <w:t>2.1.6项目主要设备</w:t>
      </w:r>
      <w:bookmarkEnd w:id="1186"/>
    </w:p>
    <w:p w14:paraId="0B56A7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t>项目主要设备见下表。</w:t>
      </w:r>
    </w:p>
    <w:p w14:paraId="2B66A843">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表2.1-4 项目</w:t>
      </w:r>
      <w:r>
        <w:rPr>
          <w:rFonts w:hint="eastAsia" w:ascii="Times New Roman" w:hAnsi="Times New Roman" w:eastAsia="宋体" w:cs="Times New Roman"/>
          <w:b/>
          <w:bCs/>
          <w:color w:val="auto"/>
          <w:sz w:val="21"/>
          <w:szCs w:val="21"/>
          <w:highlight w:val="none"/>
          <w:lang w:val="en-US" w:eastAsia="zh-CN"/>
        </w:rPr>
        <w:t>主要医疗设备一览</w:t>
      </w:r>
      <w:r>
        <w:rPr>
          <w:rFonts w:hint="default" w:ascii="Times New Roman" w:hAnsi="Times New Roman" w:eastAsia="宋体" w:cs="Times New Roman"/>
          <w:b/>
          <w:bCs/>
          <w:color w:val="auto"/>
          <w:sz w:val="21"/>
          <w:szCs w:val="21"/>
          <w:highlight w:val="none"/>
          <w:lang w:val="en-US" w:eastAsia="zh-CN"/>
        </w:rPr>
        <w:t>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688"/>
        <w:gridCol w:w="3212"/>
        <w:gridCol w:w="912"/>
        <w:gridCol w:w="990"/>
      </w:tblGrid>
      <w:tr w14:paraId="445DD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shd w:val="clear" w:color="auto" w:fill="D7D7D7" w:themeFill="background1" w:themeFillShade="D8"/>
            <w:vAlign w:val="center"/>
          </w:tcPr>
          <w:p w14:paraId="3853A37D">
            <w:pPr>
              <w:bidi w:val="0"/>
              <w:jc w:val="center"/>
              <w:rPr>
                <w:rFonts w:hint="default"/>
                <w:b/>
                <w:bCs/>
                <w:sz w:val="21"/>
                <w:szCs w:val="21"/>
                <w:lang w:val="en-US" w:eastAsia="zh-CN"/>
              </w:rPr>
            </w:pPr>
            <w:r>
              <w:rPr>
                <w:rFonts w:hint="eastAsia"/>
                <w:b/>
                <w:bCs/>
                <w:sz w:val="21"/>
                <w:szCs w:val="21"/>
                <w:lang w:val="en-US" w:eastAsia="zh-CN"/>
              </w:rPr>
              <w:t>序号</w:t>
            </w:r>
          </w:p>
        </w:tc>
        <w:tc>
          <w:tcPr>
            <w:tcW w:w="2688" w:type="dxa"/>
            <w:shd w:val="clear" w:color="auto" w:fill="D7D7D7" w:themeFill="background1" w:themeFillShade="D8"/>
            <w:vAlign w:val="center"/>
          </w:tcPr>
          <w:p w14:paraId="4C8270FD">
            <w:pPr>
              <w:bidi w:val="0"/>
              <w:jc w:val="center"/>
              <w:rPr>
                <w:rFonts w:hint="default"/>
                <w:b/>
                <w:bCs/>
                <w:sz w:val="21"/>
                <w:szCs w:val="21"/>
                <w:lang w:val="en-US" w:eastAsia="zh-CN"/>
              </w:rPr>
            </w:pPr>
            <w:r>
              <w:rPr>
                <w:rFonts w:hint="eastAsia"/>
                <w:b/>
                <w:bCs/>
                <w:sz w:val="21"/>
                <w:szCs w:val="21"/>
                <w:lang w:val="en-US" w:eastAsia="zh-CN"/>
              </w:rPr>
              <w:t>设备分类</w:t>
            </w:r>
          </w:p>
        </w:tc>
        <w:tc>
          <w:tcPr>
            <w:tcW w:w="3212" w:type="dxa"/>
            <w:shd w:val="clear" w:color="auto" w:fill="D7D7D7" w:themeFill="background1" w:themeFillShade="D8"/>
            <w:vAlign w:val="center"/>
          </w:tcPr>
          <w:p w14:paraId="40726100">
            <w:pPr>
              <w:bidi w:val="0"/>
              <w:jc w:val="center"/>
              <w:rPr>
                <w:rFonts w:hint="default"/>
                <w:b/>
                <w:bCs/>
                <w:sz w:val="21"/>
                <w:szCs w:val="21"/>
                <w:lang w:val="en-US" w:eastAsia="zh-CN"/>
              </w:rPr>
            </w:pPr>
            <w:r>
              <w:rPr>
                <w:rFonts w:hint="eastAsia"/>
                <w:b/>
                <w:bCs/>
                <w:sz w:val="21"/>
                <w:szCs w:val="21"/>
                <w:lang w:val="en-US" w:eastAsia="zh-CN"/>
              </w:rPr>
              <w:t>设备名称</w:t>
            </w:r>
          </w:p>
        </w:tc>
        <w:tc>
          <w:tcPr>
            <w:tcW w:w="912" w:type="dxa"/>
            <w:shd w:val="clear" w:color="auto" w:fill="D7D7D7" w:themeFill="background1" w:themeFillShade="D8"/>
            <w:vAlign w:val="center"/>
          </w:tcPr>
          <w:p w14:paraId="032E0EC5">
            <w:pPr>
              <w:bidi w:val="0"/>
              <w:jc w:val="center"/>
              <w:rPr>
                <w:rFonts w:hint="default"/>
                <w:b/>
                <w:bCs/>
                <w:sz w:val="21"/>
                <w:szCs w:val="21"/>
                <w:lang w:val="en-US" w:eastAsia="zh-CN"/>
              </w:rPr>
            </w:pPr>
            <w:r>
              <w:rPr>
                <w:rFonts w:hint="eastAsia"/>
                <w:b/>
                <w:bCs/>
                <w:sz w:val="21"/>
                <w:szCs w:val="21"/>
                <w:lang w:val="en-US" w:eastAsia="zh-CN"/>
              </w:rPr>
              <w:t>数量</w:t>
            </w:r>
          </w:p>
        </w:tc>
        <w:tc>
          <w:tcPr>
            <w:tcW w:w="990" w:type="dxa"/>
            <w:shd w:val="clear" w:color="auto" w:fill="D7D7D7" w:themeFill="background1" w:themeFillShade="D8"/>
            <w:vAlign w:val="center"/>
          </w:tcPr>
          <w:p w14:paraId="4111BF4B">
            <w:pPr>
              <w:bidi w:val="0"/>
              <w:jc w:val="center"/>
              <w:rPr>
                <w:rFonts w:hint="default"/>
                <w:b/>
                <w:bCs/>
                <w:sz w:val="21"/>
                <w:szCs w:val="21"/>
                <w:lang w:val="en-US" w:eastAsia="zh-CN"/>
              </w:rPr>
            </w:pPr>
            <w:r>
              <w:rPr>
                <w:rFonts w:hint="eastAsia"/>
                <w:b/>
                <w:bCs/>
                <w:sz w:val="21"/>
                <w:szCs w:val="21"/>
                <w:lang w:val="en-US" w:eastAsia="zh-CN"/>
              </w:rPr>
              <w:t>单位</w:t>
            </w:r>
          </w:p>
        </w:tc>
      </w:tr>
      <w:tr w14:paraId="5BA709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14A311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688" w:type="dxa"/>
            <w:vMerge w:val="restart"/>
            <w:vAlign w:val="center"/>
          </w:tcPr>
          <w:p w14:paraId="1254A6A0">
            <w:pPr>
              <w:bidi w:val="0"/>
              <w:jc w:val="center"/>
              <w:rPr>
                <w:rFonts w:hint="eastAsia"/>
                <w:sz w:val="21"/>
                <w:szCs w:val="21"/>
                <w:lang w:val="en-US" w:eastAsia="zh-CN"/>
              </w:rPr>
            </w:pPr>
            <w:r>
              <w:rPr>
                <w:rFonts w:hint="eastAsia"/>
                <w:sz w:val="21"/>
                <w:szCs w:val="21"/>
                <w:lang w:val="en-US" w:eastAsia="zh-CN"/>
              </w:rPr>
              <w:t>放射设备</w:t>
            </w:r>
          </w:p>
          <w:p w14:paraId="14478041">
            <w:pPr>
              <w:bidi w:val="0"/>
              <w:jc w:val="center"/>
              <w:rPr>
                <w:rFonts w:hint="default"/>
                <w:sz w:val="21"/>
                <w:szCs w:val="21"/>
                <w:lang w:val="en-US" w:eastAsia="zh-CN"/>
              </w:rPr>
            </w:pPr>
            <w:r>
              <w:rPr>
                <w:rFonts w:hint="eastAsia"/>
                <w:sz w:val="21"/>
                <w:szCs w:val="21"/>
                <w:lang w:val="en-US" w:eastAsia="zh-CN"/>
              </w:rPr>
              <w:t>（非本次评价范围）</w:t>
            </w:r>
          </w:p>
        </w:tc>
        <w:tc>
          <w:tcPr>
            <w:tcW w:w="3212" w:type="dxa"/>
            <w:vAlign w:val="center"/>
          </w:tcPr>
          <w:p w14:paraId="66AAABE9">
            <w:pPr>
              <w:bidi w:val="0"/>
              <w:jc w:val="center"/>
              <w:rPr>
                <w:rFonts w:hint="default"/>
                <w:sz w:val="21"/>
                <w:szCs w:val="21"/>
                <w:lang w:val="en-US" w:eastAsia="zh-CN"/>
              </w:rPr>
            </w:pPr>
            <w:r>
              <w:rPr>
                <w:rFonts w:hint="eastAsia"/>
                <w:sz w:val="21"/>
                <w:szCs w:val="21"/>
              </w:rPr>
              <w:t>DR</w:t>
            </w:r>
          </w:p>
        </w:tc>
        <w:tc>
          <w:tcPr>
            <w:tcW w:w="912" w:type="dxa"/>
            <w:vAlign w:val="center"/>
          </w:tcPr>
          <w:p w14:paraId="194B1F3E">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082C0A9">
            <w:pPr>
              <w:bidi w:val="0"/>
              <w:jc w:val="center"/>
              <w:rPr>
                <w:rFonts w:hint="default"/>
                <w:sz w:val="21"/>
                <w:szCs w:val="21"/>
                <w:lang w:val="en-US" w:eastAsia="zh-CN"/>
              </w:rPr>
            </w:pPr>
            <w:r>
              <w:rPr>
                <w:rFonts w:hint="eastAsia"/>
                <w:sz w:val="21"/>
                <w:szCs w:val="21"/>
                <w:lang w:val="en-US" w:eastAsia="zh-CN"/>
              </w:rPr>
              <w:t>台</w:t>
            </w:r>
          </w:p>
        </w:tc>
      </w:tr>
      <w:tr w14:paraId="428FDB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288712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2688" w:type="dxa"/>
            <w:vMerge w:val="continue"/>
            <w:vAlign w:val="center"/>
          </w:tcPr>
          <w:p w14:paraId="5EAFA87C">
            <w:pPr>
              <w:bidi w:val="0"/>
              <w:jc w:val="center"/>
              <w:rPr>
                <w:rFonts w:hint="default"/>
                <w:sz w:val="21"/>
                <w:szCs w:val="21"/>
                <w:lang w:val="en-US" w:eastAsia="zh-CN"/>
              </w:rPr>
            </w:pPr>
          </w:p>
        </w:tc>
        <w:tc>
          <w:tcPr>
            <w:tcW w:w="3212" w:type="dxa"/>
            <w:vAlign w:val="center"/>
          </w:tcPr>
          <w:p w14:paraId="4798C9DC">
            <w:pPr>
              <w:bidi w:val="0"/>
              <w:jc w:val="center"/>
              <w:rPr>
                <w:rFonts w:hint="default"/>
                <w:sz w:val="21"/>
                <w:szCs w:val="21"/>
                <w:lang w:val="en-US" w:eastAsia="zh-CN"/>
              </w:rPr>
            </w:pPr>
            <w:r>
              <w:rPr>
                <w:rFonts w:hint="eastAsia"/>
                <w:sz w:val="21"/>
                <w:szCs w:val="21"/>
              </w:rPr>
              <w:t>数字胃肠X光机</w:t>
            </w:r>
          </w:p>
        </w:tc>
        <w:tc>
          <w:tcPr>
            <w:tcW w:w="912" w:type="dxa"/>
            <w:vAlign w:val="center"/>
          </w:tcPr>
          <w:p w14:paraId="32089168">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012C07B1">
            <w:pPr>
              <w:bidi w:val="0"/>
              <w:jc w:val="center"/>
              <w:rPr>
                <w:rFonts w:hint="default"/>
                <w:sz w:val="21"/>
                <w:szCs w:val="21"/>
                <w:lang w:val="en-US" w:eastAsia="zh-CN"/>
              </w:rPr>
            </w:pPr>
            <w:r>
              <w:rPr>
                <w:rFonts w:hint="eastAsia"/>
                <w:sz w:val="21"/>
                <w:szCs w:val="21"/>
                <w:lang w:val="en-US" w:eastAsia="zh-CN"/>
              </w:rPr>
              <w:t>台</w:t>
            </w:r>
          </w:p>
        </w:tc>
      </w:tr>
      <w:tr w14:paraId="78094D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Align w:val="center"/>
          </w:tcPr>
          <w:p w14:paraId="1A8DDE8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688" w:type="dxa"/>
            <w:vMerge w:val="continue"/>
            <w:vAlign w:val="center"/>
          </w:tcPr>
          <w:p w14:paraId="7999C2E2">
            <w:pPr>
              <w:bidi w:val="0"/>
              <w:jc w:val="center"/>
              <w:rPr>
                <w:rFonts w:hint="default"/>
                <w:sz w:val="21"/>
                <w:szCs w:val="21"/>
                <w:lang w:val="en-US" w:eastAsia="zh-CN"/>
              </w:rPr>
            </w:pPr>
          </w:p>
        </w:tc>
        <w:tc>
          <w:tcPr>
            <w:tcW w:w="3212" w:type="dxa"/>
            <w:vAlign w:val="center"/>
          </w:tcPr>
          <w:p w14:paraId="537C936A">
            <w:pPr>
              <w:bidi w:val="0"/>
              <w:jc w:val="center"/>
              <w:rPr>
                <w:rFonts w:hint="default"/>
                <w:sz w:val="21"/>
                <w:szCs w:val="21"/>
                <w:lang w:val="en-US" w:eastAsia="zh-CN"/>
              </w:rPr>
            </w:pPr>
            <w:r>
              <w:rPr>
                <w:rFonts w:hint="eastAsia"/>
                <w:sz w:val="21"/>
                <w:szCs w:val="21"/>
              </w:rPr>
              <w:t>CT</w:t>
            </w:r>
          </w:p>
        </w:tc>
        <w:tc>
          <w:tcPr>
            <w:tcW w:w="912" w:type="dxa"/>
            <w:vAlign w:val="center"/>
          </w:tcPr>
          <w:p w14:paraId="07F6AC9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9C39881">
            <w:pPr>
              <w:bidi w:val="0"/>
              <w:jc w:val="center"/>
              <w:rPr>
                <w:rFonts w:hint="default"/>
                <w:sz w:val="21"/>
                <w:szCs w:val="21"/>
                <w:lang w:val="en-US" w:eastAsia="zh-CN"/>
              </w:rPr>
            </w:pPr>
            <w:r>
              <w:rPr>
                <w:rFonts w:hint="eastAsia"/>
                <w:sz w:val="21"/>
                <w:szCs w:val="21"/>
                <w:lang w:val="en-US" w:eastAsia="zh-CN"/>
              </w:rPr>
              <w:t>台</w:t>
            </w:r>
          </w:p>
        </w:tc>
      </w:tr>
      <w:tr w14:paraId="6EA87E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16B399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2688" w:type="dxa"/>
            <w:vMerge w:val="continue"/>
            <w:vAlign w:val="center"/>
          </w:tcPr>
          <w:p w14:paraId="6A0CC459">
            <w:pPr>
              <w:bidi w:val="0"/>
              <w:jc w:val="center"/>
              <w:rPr>
                <w:rFonts w:hint="default"/>
                <w:sz w:val="21"/>
                <w:szCs w:val="21"/>
                <w:lang w:val="en-US" w:eastAsia="zh-CN"/>
              </w:rPr>
            </w:pPr>
          </w:p>
        </w:tc>
        <w:tc>
          <w:tcPr>
            <w:tcW w:w="3212" w:type="dxa"/>
            <w:vAlign w:val="center"/>
          </w:tcPr>
          <w:p w14:paraId="3CB4626B">
            <w:pPr>
              <w:bidi w:val="0"/>
              <w:jc w:val="center"/>
              <w:rPr>
                <w:rFonts w:hint="default"/>
                <w:sz w:val="21"/>
                <w:szCs w:val="21"/>
                <w:lang w:val="en-US" w:eastAsia="zh-CN"/>
              </w:rPr>
            </w:pPr>
            <w:r>
              <w:rPr>
                <w:rFonts w:hint="eastAsia"/>
                <w:sz w:val="21"/>
                <w:szCs w:val="21"/>
              </w:rPr>
              <w:t>移动CT</w:t>
            </w:r>
          </w:p>
        </w:tc>
        <w:tc>
          <w:tcPr>
            <w:tcW w:w="912" w:type="dxa"/>
            <w:vAlign w:val="center"/>
          </w:tcPr>
          <w:p w14:paraId="2B7006B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40027F1">
            <w:pPr>
              <w:bidi w:val="0"/>
              <w:jc w:val="center"/>
              <w:rPr>
                <w:rFonts w:hint="default"/>
                <w:sz w:val="21"/>
                <w:szCs w:val="21"/>
                <w:lang w:val="en-US" w:eastAsia="zh-CN"/>
              </w:rPr>
            </w:pPr>
            <w:r>
              <w:rPr>
                <w:rFonts w:hint="eastAsia"/>
                <w:sz w:val="21"/>
                <w:szCs w:val="21"/>
                <w:lang w:val="en-US" w:eastAsia="zh-CN"/>
              </w:rPr>
              <w:t>台</w:t>
            </w:r>
          </w:p>
        </w:tc>
      </w:tr>
      <w:tr w14:paraId="63FA22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DDE495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2688" w:type="dxa"/>
            <w:vMerge w:val="continue"/>
            <w:vAlign w:val="center"/>
          </w:tcPr>
          <w:p w14:paraId="5E1AC530">
            <w:pPr>
              <w:bidi w:val="0"/>
              <w:jc w:val="center"/>
              <w:rPr>
                <w:rFonts w:hint="default"/>
                <w:sz w:val="21"/>
                <w:szCs w:val="21"/>
                <w:lang w:val="en-US" w:eastAsia="zh-CN"/>
              </w:rPr>
            </w:pPr>
          </w:p>
        </w:tc>
        <w:tc>
          <w:tcPr>
            <w:tcW w:w="3212" w:type="dxa"/>
            <w:vAlign w:val="center"/>
          </w:tcPr>
          <w:p w14:paraId="1E56E9A6">
            <w:pPr>
              <w:bidi w:val="0"/>
              <w:jc w:val="center"/>
              <w:rPr>
                <w:rFonts w:hint="default"/>
                <w:sz w:val="21"/>
                <w:szCs w:val="21"/>
                <w:lang w:val="en-US" w:eastAsia="zh-CN"/>
              </w:rPr>
            </w:pPr>
            <w:r>
              <w:rPr>
                <w:rFonts w:hint="eastAsia"/>
                <w:sz w:val="21"/>
                <w:szCs w:val="21"/>
              </w:rPr>
              <w:t>MRI</w:t>
            </w:r>
          </w:p>
        </w:tc>
        <w:tc>
          <w:tcPr>
            <w:tcW w:w="912" w:type="dxa"/>
            <w:vAlign w:val="center"/>
          </w:tcPr>
          <w:p w14:paraId="2720D35A">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1771F574">
            <w:pPr>
              <w:bidi w:val="0"/>
              <w:jc w:val="center"/>
              <w:rPr>
                <w:rFonts w:hint="default"/>
                <w:sz w:val="21"/>
                <w:szCs w:val="21"/>
                <w:lang w:val="en-US" w:eastAsia="zh-CN"/>
              </w:rPr>
            </w:pPr>
            <w:r>
              <w:rPr>
                <w:rFonts w:hint="eastAsia"/>
                <w:sz w:val="21"/>
                <w:szCs w:val="21"/>
                <w:lang w:val="en-US" w:eastAsia="zh-CN"/>
              </w:rPr>
              <w:t>台</w:t>
            </w:r>
          </w:p>
        </w:tc>
      </w:tr>
      <w:tr w14:paraId="288A0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05535C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2688" w:type="dxa"/>
            <w:vMerge w:val="continue"/>
            <w:vAlign w:val="center"/>
          </w:tcPr>
          <w:p w14:paraId="1B8677E7">
            <w:pPr>
              <w:bidi w:val="0"/>
              <w:jc w:val="center"/>
              <w:rPr>
                <w:rFonts w:hint="default"/>
                <w:sz w:val="21"/>
                <w:szCs w:val="21"/>
                <w:lang w:val="en-US" w:eastAsia="zh-CN"/>
              </w:rPr>
            </w:pPr>
          </w:p>
        </w:tc>
        <w:tc>
          <w:tcPr>
            <w:tcW w:w="3212" w:type="dxa"/>
            <w:vAlign w:val="center"/>
          </w:tcPr>
          <w:p w14:paraId="1F9313DB">
            <w:pPr>
              <w:bidi w:val="0"/>
              <w:jc w:val="center"/>
              <w:rPr>
                <w:rFonts w:hint="default"/>
                <w:sz w:val="21"/>
                <w:szCs w:val="21"/>
                <w:lang w:val="en-US" w:eastAsia="zh-CN"/>
              </w:rPr>
            </w:pPr>
            <w:r>
              <w:rPr>
                <w:rFonts w:hint="eastAsia"/>
                <w:sz w:val="21"/>
                <w:szCs w:val="21"/>
              </w:rPr>
              <w:t>钼靶乳腺机</w:t>
            </w:r>
          </w:p>
        </w:tc>
        <w:tc>
          <w:tcPr>
            <w:tcW w:w="912" w:type="dxa"/>
            <w:vAlign w:val="center"/>
          </w:tcPr>
          <w:p w14:paraId="60DA684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BEF48E8">
            <w:pPr>
              <w:bidi w:val="0"/>
              <w:jc w:val="center"/>
              <w:rPr>
                <w:rFonts w:hint="default"/>
                <w:sz w:val="21"/>
                <w:szCs w:val="21"/>
                <w:lang w:val="en-US" w:eastAsia="zh-CN"/>
              </w:rPr>
            </w:pPr>
            <w:r>
              <w:rPr>
                <w:rFonts w:hint="eastAsia"/>
                <w:sz w:val="21"/>
                <w:szCs w:val="21"/>
                <w:lang w:val="en-US" w:eastAsia="zh-CN"/>
              </w:rPr>
              <w:t>台</w:t>
            </w:r>
          </w:p>
        </w:tc>
      </w:tr>
      <w:tr w14:paraId="394040B0">
        <w:tblPrEx>
          <w:tblCellMar>
            <w:top w:w="0" w:type="dxa"/>
            <w:left w:w="108" w:type="dxa"/>
            <w:bottom w:w="0" w:type="dxa"/>
            <w:right w:w="108" w:type="dxa"/>
          </w:tblCellMar>
        </w:tblPrEx>
        <w:tc>
          <w:tcPr>
            <w:tcW w:w="720" w:type="dxa"/>
            <w:vAlign w:val="center"/>
          </w:tcPr>
          <w:p w14:paraId="1DE1B81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2688" w:type="dxa"/>
            <w:vMerge w:val="continue"/>
            <w:vAlign w:val="center"/>
          </w:tcPr>
          <w:p w14:paraId="7A18993D">
            <w:pPr>
              <w:bidi w:val="0"/>
              <w:jc w:val="center"/>
              <w:rPr>
                <w:rFonts w:hint="default"/>
                <w:sz w:val="21"/>
                <w:szCs w:val="21"/>
                <w:lang w:val="en-US" w:eastAsia="zh-CN"/>
              </w:rPr>
            </w:pPr>
          </w:p>
        </w:tc>
        <w:tc>
          <w:tcPr>
            <w:tcW w:w="3212" w:type="dxa"/>
            <w:vAlign w:val="center"/>
          </w:tcPr>
          <w:p w14:paraId="278C5D3E">
            <w:pPr>
              <w:bidi w:val="0"/>
              <w:jc w:val="center"/>
              <w:rPr>
                <w:rFonts w:hint="default"/>
                <w:sz w:val="21"/>
                <w:szCs w:val="21"/>
                <w:lang w:val="en-US" w:eastAsia="zh-CN"/>
              </w:rPr>
            </w:pPr>
            <w:r>
              <w:rPr>
                <w:rFonts w:hint="eastAsia"/>
                <w:sz w:val="21"/>
                <w:szCs w:val="21"/>
              </w:rPr>
              <w:t>C臂X光机</w:t>
            </w:r>
          </w:p>
        </w:tc>
        <w:tc>
          <w:tcPr>
            <w:tcW w:w="912" w:type="dxa"/>
            <w:vAlign w:val="center"/>
          </w:tcPr>
          <w:p w14:paraId="524FCE1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CE4B595">
            <w:pPr>
              <w:bidi w:val="0"/>
              <w:jc w:val="center"/>
              <w:rPr>
                <w:rFonts w:hint="default"/>
                <w:sz w:val="21"/>
                <w:szCs w:val="21"/>
                <w:lang w:val="en-US" w:eastAsia="zh-CN"/>
              </w:rPr>
            </w:pPr>
            <w:r>
              <w:rPr>
                <w:rFonts w:hint="eastAsia"/>
                <w:sz w:val="21"/>
                <w:szCs w:val="21"/>
                <w:lang w:val="en-US" w:eastAsia="zh-CN"/>
              </w:rPr>
              <w:t>台</w:t>
            </w:r>
          </w:p>
        </w:tc>
      </w:tr>
      <w:tr w14:paraId="1692C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074CCE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2688" w:type="dxa"/>
            <w:vMerge w:val="continue"/>
            <w:vAlign w:val="center"/>
          </w:tcPr>
          <w:p w14:paraId="3BB883C6">
            <w:pPr>
              <w:bidi w:val="0"/>
              <w:jc w:val="center"/>
              <w:rPr>
                <w:rFonts w:hint="default"/>
                <w:sz w:val="21"/>
                <w:szCs w:val="21"/>
                <w:lang w:val="en-US" w:eastAsia="zh-CN"/>
              </w:rPr>
            </w:pPr>
          </w:p>
        </w:tc>
        <w:tc>
          <w:tcPr>
            <w:tcW w:w="3212" w:type="dxa"/>
            <w:vAlign w:val="center"/>
          </w:tcPr>
          <w:p w14:paraId="3D0F41B0">
            <w:pPr>
              <w:bidi w:val="0"/>
              <w:jc w:val="center"/>
              <w:rPr>
                <w:rFonts w:hint="default"/>
                <w:sz w:val="21"/>
                <w:szCs w:val="21"/>
                <w:lang w:val="en-US" w:eastAsia="zh-CN"/>
              </w:rPr>
            </w:pPr>
            <w:r>
              <w:rPr>
                <w:rFonts w:hint="eastAsia"/>
                <w:sz w:val="21"/>
                <w:szCs w:val="21"/>
              </w:rPr>
              <w:t>口腔x线机(牙片机)</w:t>
            </w:r>
          </w:p>
        </w:tc>
        <w:tc>
          <w:tcPr>
            <w:tcW w:w="912" w:type="dxa"/>
            <w:vAlign w:val="center"/>
          </w:tcPr>
          <w:p w14:paraId="4CAD2E0F">
            <w:pPr>
              <w:bidi w:val="0"/>
              <w:jc w:val="center"/>
              <w:rPr>
                <w:rFonts w:hint="default"/>
                <w:sz w:val="21"/>
                <w:szCs w:val="21"/>
                <w:lang w:val="en-US" w:eastAsia="zh-CN"/>
              </w:rPr>
            </w:pPr>
            <w:r>
              <w:rPr>
                <w:rFonts w:hint="eastAsia"/>
                <w:sz w:val="21"/>
                <w:szCs w:val="21"/>
                <w:lang w:val="en-US" w:eastAsia="zh-CN"/>
              </w:rPr>
              <w:t>8</w:t>
            </w:r>
          </w:p>
        </w:tc>
        <w:tc>
          <w:tcPr>
            <w:tcW w:w="990" w:type="dxa"/>
            <w:vAlign w:val="center"/>
          </w:tcPr>
          <w:p w14:paraId="281E1B29">
            <w:pPr>
              <w:bidi w:val="0"/>
              <w:jc w:val="center"/>
              <w:rPr>
                <w:rFonts w:hint="default"/>
                <w:sz w:val="21"/>
                <w:szCs w:val="21"/>
                <w:lang w:val="en-US" w:eastAsia="zh-CN"/>
              </w:rPr>
            </w:pPr>
            <w:r>
              <w:rPr>
                <w:rFonts w:hint="eastAsia"/>
                <w:sz w:val="21"/>
                <w:szCs w:val="21"/>
                <w:lang w:val="en-US" w:eastAsia="zh-CN"/>
              </w:rPr>
              <w:t>台</w:t>
            </w:r>
          </w:p>
        </w:tc>
      </w:tr>
      <w:tr w14:paraId="21ED1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DAECCA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2688" w:type="dxa"/>
            <w:vMerge w:val="continue"/>
            <w:vAlign w:val="center"/>
          </w:tcPr>
          <w:p w14:paraId="4D80197F">
            <w:pPr>
              <w:bidi w:val="0"/>
              <w:jc w:val="center"/>
              <w:rPr>
                <w:rFonts w:hint="default"/>
                <w:sz w:val="21"/>
                <w:szCs w:val="21"/>
                <w:lang w:val="en-US" w:eastAsia="zh-CN"/>
              </w:rPr>
            </w:pPr>
          </w:p>
        </w:tc>
        <w:tc>
          <w:tcPr>
            <w:tcW w:w="3212" w:type="dxa"/>
            <w:vAlign w:val="center"/>
          </w:tcPr>
          <w:p w14:paraId="5D5E7BA6">
            <w:pPr>
              <w:bidi w:val="0"/>
              <w:jc w:val="center"/>
              <w:rPr>
                <w:rFonts w:hint="default"/>
                <w:sz w:val="21"/>
                <w:szCs w:val="21"/>
                <w:lang w:val="en-US" w:eastAsia="zh-CN"/>
              </w:rPr>
            </w:pPr>
            <w:r>
              <w:rPr>
                <w:rFonts w:hint="eastAsia"/>
                <w:sz w:val="21"/>
                <w:szCs w:val="21"/>
              </w:rPr>
              <w:t>口腔全景X线机</w:t>
            </w:r>
          </w:p>
        </w:tc>
        <w:tc>
          <w:tcPr>
            <w:tcW w:w="912" w:type="dxa"/>
            <w:vAlign w:val="center"/>
          </w:tcPr>
          <w:p w14:paraId="27A6C64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A634743">
            <w:pPr>
              <w:bidi w:val="0"/>
              <w:jc w:val="center"/>
              <w:rPr>
                <w:rFonts w:hint="default"/>
                <w:sz w:val="21"/>
                <w:szCs w:val="21"/>
                <w:lang w:val="en-US" w:eastAsia="zh-CN"/>
              </w:rPr>
            </w:pPr>
            <w:r>
              <w:rPr>
                <w:rFonts w:hint="eastAsia"/>
                <w:sz w:val="21"/>
                <w:szCs w:val="21"/>
                <w:lang w:val="en-US" w:eastAsia="zh-CN"/>
              </w:rPr>
              <w:t>台</w:t>
            </w:r>
          </w:p>
        </w:tc>
      </w:tr>
      <w:tr w14:paraId="4B153E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BA1BA6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2688" w:type="dxa"/>
            <w:vMerge w:val="continue"/>
            <w:vAlign w:val="center"/>
          </w:tcPr>
          <w:p w14:paraId="4E6F9104">
            <w:pPr>
              <w:bidi w:val="0"/>
              <w:jc w:val="center"/>
              <w:rPr>
                <w:rFonts w:hint="default"/>
                <w:sz w:val="21"/>
                <w:szCs w:val="21"/>
                <w:lang w:val="en-US" w:eastAsia="zh-CN"/>
              </w:rPr>
            </w:pPr>
          </w:p>
        </w:tc>
        <w:tc>
          <w:tcPr>
            <w:tcW w:w="3212" w:type="dxa"/>
            <w:vAlign w:val="center"/>
          </w:tcPr>
          <w:p w14:paraId="418BA86D">
            <w:pPr>
              <w:bidi w:val="0"/>
              <w:jc w:val="center"/>
              <w:rPr>
                <w:rFonts w:hint="default"/>
                <w:sz w:val="21"/>
                <w:szCs w:val="21"/>
                <w:lang w:val="en-US" w:eastAsia="zh-CN"/>
              </w:rPr>
            </w:pPr>
            <w:r>
              <w:rPr>
                <w:rFonts w:hint="eastAsia"/>
                <w:sz w:val="21"/>
                <w:szCs w:val="21"/>
              </w:rPr>
              <w:t>口腔锥形束CT</w:t>
            </w:r>
          </w:p>
        </w:tc>
        <w:tc>
          <w:tcPr>
            <w:tcW w:w="912" w:type="dxa"/>
            <w:vAlign w:val="center"/>
          </w:tcPr>
          <w:p w14:paraId="5DBC473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10D03A3">
            <w:pPr>
              <w:bidi w:val="0"/>
              <w:jc w:val="center"/>
              <w:rPr>
                <w:rFonts w:hint="default"/>
                <w:sz w:val="21"/>
                <w:szCs w:val="21"/>
                <w:lang w:val="en-US" w:eastAsia="zh-CN"/>
              </w:rPr>
            </w:pPr>
            <w:r>
              <w:rPr>
                <w:rFonts w:hint="eastAsia"/>
                <w:sz w:val="21"/>
                <w:szCs w:val="21"/>
                <w:lang w:val="en-US" w:eastAsia="zh-CN"/>
              </w:rPr>
              <w:t>台</w:t>
            </w:r>
          </w:p>
        </w:tc>
      </w:tr>
      <w:tr w14:paraId="2D395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1BDCEB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2688" w:type="dxa"/>
            <w:vMerge w:val="restart"/>
            <w:vAlign w:val="center"/>
          </w:tcPr>
          <w:p w14:paraId="6A618905">
            <w:pPr>
              <w:bidi w:val="0"/>
              <w:jc w:val="center"/>
              <w:rPr>
                <w:rFonts w:hint="default"/>
                <w:sz w:val="21"/>
                <w:szCs w:val="21"/>
                <w:lang w:val="en-US" w:eastAsia="zh-CN"/>
              </w:rPr>
            </w:pPr>
            <w:r>
              <w:rPr>
                <w:rFonts w:hint="eastAsia"/>
                <w:sz w:val="21"/>
                <w:szCs w:val="21"/>
                <w:lang w:val="en-US" w:eastAsia="zh-CN"/>
              </w:rPr>
              <w:t>超声检查设备</w:t>
            </w:r>
          </w:p>
        </w:tc>
        <w:tc>
          <w:tcPr>
            <w:tcW w:w="3212" w:type="dxa"/>
            <w:vAlign w:val="center"/>
          </w:tcPr>
          <w:p w14:paraId="7BC7CB49">
            <w:pPr>
              <w:bidi w:val="0"/>
              <w:jc w:val="center"/>
              <w:rPr>
                <w:rFonts w:hint="default"/>
                <w:sz w:val="21"/>
                <w:szCs w:val="21"/>
                <w:lang w:val="en-US" w:eastAsia="zh-CN"/>
              </w:rPr>
            </w:pPr>
            <w:r>
              <w:rPr>
                <w:rFonts w:hint="eastAsia"/>
                <w:sz w:val="21"/>
                <w:szCs w:val="21"/>
              </w:rPr>
              <w:t>便携式彩色多普勒超声诊断仪</w:t>
            </w:r>
          </w:p>
        </w:tc>
        <w:tc>
          <w:tcPr>
            <w:tcW w:w="912" w:type="dxa"/>
            <w:vAlign w:val="center"/>
          </w:tcPr>
          <w:p w14:paraId="484D64B4">
            <w:pPr>
              <w:bidi w:val="0"/>
              <w:jc w:val="center"/>
              <w:rPr>
                <w:rFonts w:hint="default"/>
                <w:sz w:val="21"/>
                <w:szCs w:val="21"/>
                <w:lang w:val="en-US" w:eastAsia="zh-CN"/>
              </w:rPr>
            </w:pPr>
            <w:r>
              <w:rPr>
                <w:rFonts w:hint="eastAsia"/>
                <w:sz w:val="21"/>
                <w:szCs w:val="21"/>
                <w:lang w:val="en-US" w:eastAsia="zh-CN"/>
              </w:rPr>
              <w:t>4</w:t>
            </w:r>
          </w:p>
        </w:tc>
        <w:tc>
          <w:tcPr>
            <w:tcW w:w="990" w:type="dxa"/>
            <w:vAlign w:val="center"/>
          </w:tcPr>
          <w:p w14:paraId="11953B9D">
            <w:pPr>
              <w:bidi w:val="0"/>
              <w:jc w:val="center"/>
              <w:rPr>
                <w:rFonts w:hint="default"/>
                <w:sz w:val="21"/>
                <w:szCs w:val="21"/>
                <w:lang w:val="en-US" w:eastAsia="zh-CN"/>
              </w:rPr>
            </w:pPr>
            <w:r>
              <w:rPr>
                <w:rFonts w:hint="eastAsia"/>
                <w:sz w:val="21"/>
                <w:szCs w:val="21"/>
                <w:lang w:val="en-US" w:eastAsia="zh-CN"/>
              </w:rPr>
              <w:t>台</w:t>
            </w:r>
          </w:p>
        </w:tc>
      </w:tr>
      <w:tr w14:paraId="07124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06F78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2688" w:type="dxa"/>
            <w:vMerge w:val="continue"/>
            <w:vAlign w:val="center"/>
          </w:tcPr>
          <w:p w14:paraId="51F95579">
            <w:pPr>
              <w:bidi w:val="0"/>
              <w:jc w:val="center"/>
              <w:rPr>
                <w:rFonts w:hint="default"/>
                <w:sz w:val="21"/>
                <w:szCs w:val="21"/>
                <w:lang w:val="en-US" w:eastAsia="zh-CN"/>
              </w:rPr>
            </w:pPr>
          </w:p>
        </w:tc>
        <w:tc>
          <w:tcPr>
            <w:tcW w:w="3212" w:type="dxa"/>
            <w:vAlign w:val="center"/>
          </w:tcPr>
          <w:p w14:paraId="0EEA927B">
            <w:pPr>
              <w:bidi w:val="0"/>
              <w:jc w:val="center"/>
              <w:rPr>
                <w:rFonts w:hint="default"/>
                <w:sz w:val="21"/>
                <w:szCs w:val="21"/>
                <w:lang w:val="en-US" w:eastAsia="zh-CN"/>
              </w:rPr>
            </w:pPr>
            <w:r>
              <w:rPr>
                <w:rFonts w:hint="eastAsia"/>
                <w:sz w:val="21"/>
                <w:szCs w:val="21"/>
              </w:rPr>
              <w:t>超声诊断仪</w:t>
            </w:r>
          </w:p>
        </w:tc>
        <w:tc>
          <w:tcPr>
            <w:tcW w:w="912" w:type="dxa"/>
            <w:vAlign w:val="center"/>
          </w:tcPr>
          <w:p w14:paraId="238F1FA8">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42FEA169">
            <w:pPr>
              <w:bidi w:val="0"/>
              <w:jc w:val="center"/>
              <w:rPr>
                <w:rFonts w:hint="default"/>
                <w:sz w:val="21"/>
                <w:szCs w:val="21"/>
                <w:lang w:val="en-US" w:eastAsia="zh-CN"/>
              </w:rPr>
            </w:pPr>
            <w:r>
              <w:rPr>
                <w:rFonts w:hint="eastAsia"/>
                <w:sz w:val="21"/>
                <w:szCs w:val="21"/>
                <w:lang w:val="en-US" w:eastAsia="zh-CN"/>
              </w:rPr>
              <w:t>台</w:t>
            </w:r>
          </w:p>
        </w:tc>
      </w:tr>
      <w:tr w14:paraId="62CBF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FB990C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2688" w:type="dxa"/>
            <w:vMerge w:val="restart"/>
            <w:vAlign w:val="center"/>
          </w:tcPr>
          <w:p w14:paraId="74DE4D86">
            <w:pPr>
              <w:bidi w:val="0"/>
              <w:jc w:val="center"/>
              <w:rPr>
                <w:rFonts w:hint="default"/>
                <w:sz w:val="21"/>
                <w:szCs w:val="21"/>
                <w:lang w:val="en-US" w:eastAsia="zh-CN"/>
              </w:rPr>
            </w:pPr>
            <w:r>
              <w:rPr>
                <w:rFonts w:hint="eastAsia"/>
                <w:sz w:val="21"/>
                <w:szCs w:val="21"/>
                <w:lang w:val="en-US" w:eastAsia="zh-CN"/>
              </w:rPr>
              <w:t>检验设备</w:t>
            </w:r>
          </w:p>
        </w:tc>
        <w:tc>
          <w:tcPr>
            <w:tcW w:w="3212" w:type="dxa"/>
            <w:vAlign w:val="center"/>
          </w:tcPr>
          <w:p w14:paraId="7C5FBA1E">
            <w:pPr>
              <w:bidi w:val="0"/>
              <w:jc w:val="center"/>
              <w:rPr>
                <w:rFonts w:hint="default"/>
                <w:sz w:val="21"/>
                <w:szCs w:val="21"/>
                <w:lang w:val="en-US" w:eastAsia="zh-CN"/>
              </w:rPr>
            </w:pPr>
            <w:r>
              <w:rPr>
                <w:rFonts w:hint="eastAsia"/>
                <w:sz w:val="21"/>
                <w:szCs w:val="21"/>
              </w:rPr>
              <w:t>血细胞分析仪</w:t>
            </w:r>
          </w:p>
        </w:tc>
        <w:tc>
          <w:tcPr>
            <w:tcW w:w="912" w:type="dxa"/>
            <w:vAlign w:val="center"/>
          </w:tcPr>
          <w:p w14:paraId="33B1BBC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F5A98D9">
            <w:pPr>
              <w:bidi w:val="0"/>
              <w:jc w:val="center"/>
              <w:rPr>
                <w:rFonts w:hint="default"/>
                <w:sz w:val="21"/>
                <w:szCs w:val="21"/>
                <w:lang w:val="en-US" w:eastAsia="zh-CN"/>
              </w:rPr>
            </w:pPr>
            <w:r>
              <w:rPr>
                <w:rFonts w:hint="eastAsia"/>
                <w:sz w:val="21"/>
                <w:szCs w:val="21"/>
                <w:lang w:val="en-US" w:eastAsia="zh-CN"/>
              </w:rPr>
              <w:t>台</w:t>
            </w:r>
          </w:p>
        </w:tc>
      </w:tr>
      <w:tr w14:paraId="499864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FA7BB5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2688" w:type="dxa"/>
            <w:vMerge w:val="continue"/>
            <w:vAlign w:val="center"/>
          </w:tcPr>
          <w:p w14:paraId="1C71A4E0">
            <w:pPr>
              <w:bidi w:val="0"/>
              <w:jc w:val="center"/>
              <w:rPr>
                <w:rFonts w:hint="default"/>
                <w:sz w:val="21"/>
                <w:szCs w:val="21"/>
                <w:lang w:val="en-US" w:eastAsia="zh-CN"/>
              </w:rPr>
            </w:pPr>
          </w:p>
        </w:tc>
        <w:tc>
          <w:tcPr>
            <w:tcW w:w="3212" w:type="dxa"/>
            <w:vAlign w:val="center"/>
          </w:tcPr>
          <w:p w14:paraId="516B8956">
            <w:pPr>
              <w:bidi w:val="0"/>
              <w:jc w:val="center"/>
              <w:rPr>
                <w:rFonts w:hint="default"/>
                <w:sz w:val="21"/>
                <w:szCs w:val="21"/>
                <w:lang w:val="en-US" w:eastAsia="zh-CN"/>
              </w:rPr>
            </w:pPr>
            <w:r>
              <w:rPr>
                <w:rFonts w:hint="eastAsia"/>
                <w:sz w:val="21"/>
                <w:szCs w:val="21"/>
              </w:rPr>
              <w:t>血小板聚集仪</w:t>
            </w:r>
          </w:p>
        </w:tc>
        <w:tc>
          <w:tcPr>
            <w:tcW w:w="912" w:type="dxa"/>
            <w:vAlign w:val="center"/>
          </w:tcPr>
          <w:p w14:paraId="5E658A72">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85C3298">
            <w:pPr>
              <w:bidi w:val="0"/>
              <w:jc w:val="center"/>
              <w:rPr>
                <w:rFonts w:hint="default"/>
                <w:sz w:val="21"/>
                <w:szCs w:val="21"/>
                <w:lang w:val="en-US" w:eastAsia="zh-CN"/>
              </w:rPr>
            </w:pPr>
            <w:r>
              <w:rPr>
                <w:rFonts w:hint="eastAsia"/>
                <w:sz w:val="21"/>
                <w:szCs w:val="21"/>
                <w:lang w:val="en-US" w:eastAsia="zh-CN"/>
              </w:rPr>
              <w:t>台</w:t>
            </w:r>
          </w:p>
        </w:tc>
      </w:tr>
      <w:tr w14:paraId="4F9091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9CAC8D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2688" w:type="dxa"/>
            <w:vMerge w:val="continue"/>
            <w:vAlign w:val="center"/>
          </w:tcPr>
          <w:p w14:paraId="7C737930">
            <w:pPr>
              <w:bidi w:val="0"/>
              <w:jc w:val="center"/>
              <w:rPr>
                <w:rFonts w:hint="default"/>
                <w:sz w:val="21"/>
                <w:szCs w:val="21"/>
                <w:lang w:val="en-US" w:eastAsia="zh-CN"/>
              </w:rPr>
            </w:pPr>
          </w:p>
        </w:tc>
        <w:tc>
          <w:tcPr>
            <w:tcW w:w="3212" w:type="dxa"/>
            <w:vAlign w:val="center"/>
          </w:tcPr>
          <w:p w14:paraId="257933D8">
            <w:pPr>
              <w:bidi w:val="0"/>
              <w:jc w:val="center"/>
              <w:rPr>
                <w:rFonts w:hint="default"/>
                <w:sz w:val="21"/>
                <w:szCs w:val="21"/>
                <w:lang w:val="en-US" w:eastAsia="zh-CN"/>
              </w:rPr>
            </w:pPr>
            <w:r>
              <w:rPr>
                <w:rFonts w:hint="eastAsia"/>
                <w:sz w:val="21"/>
                <w:szCs w:val="21"/>
              </w:rPr>
              <w:t>尿液分析仪</w:t>
            </w:r>
          </w:p>
        </w:tc>
        <w:tc>
          <w:tcPr>
            <w:tcW w:w="912" w:type="dxa"/>
            <w:vAlign w:val="center"/>
          </w:tcPr>
          <w:p w14:paraId="74FFB2E9">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910B1D8">
            <w:pPr>
              <w:bidi w:val="0"/>
              <w:jc w:val="center"/>
              <w:rPr>
                <w:rFonts w:hint="default"/>
                <w:sz w:val="21"/>
                <w:szCs w:val="21"/>
                <w:lang w:val="en-US" w:eastAsia="zh-CN"/>
              </w:rPr>
            </w:pPr>
            <w:r>
              <w:rPr>
                <w:rFonts w:hint="eastAsia"/>
                <w:sz w:val="21"/>
                <w:szCs w:val="21"/>
                <w:lang w:val="en-US" w:eastAsia="zh-CN"/>
              </w:rPr>
              <w:t>台</w:t>
            </w:r>
          </w:p>
        </w:tc>
      </w:tr>
      <w:tr w14:paraId="61DA1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88C624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2688" w:type="dxa"/>
            <w:vMerge w:val="continue"/>
            <w:vAlign w:val="center"/>
          </w:tcPr>
          <w:p w14:paraId="3CAF1F50">
            <w:pPr>
              <w:bidi w:val="0"/>
              <w:jc w:val="center"/>
              <w:rPr>
                <w:rFonts w:hint="default"/>
                <w:sz w:val="21"/>
                <w:szCs w:val="21"/>
                <w:lang w:val="en-US" w:eastAsia="zh-CN"/>
              </w:rPr>
            </w:pPr>
          </w:p>
        </w:tc>
        <w:tc>
          <w:tcPr>
            <w:tcW w:w="3212" w:type="dxa"/>
            <w:vAlign w:val="center"/>
          </w:tcPr>
          <w:p w14:paraId="55B45207">
            <w:pPr>
              <w:bidi w:val="0"/>
              <w:jc w:val="center"/>
              <w:rPr>
                <w:rFonts w:hint="default"/>
                <w:sz w:val="21"/>
                <w:szCs w:val="21"/>
                <w:lang w:val="en-US" w:eastAsia="zh-CN"/>
              </w:rPr>
            </w:pPr>
            <w:r>
              <w:rPr>
                <w:rFonts w:hint="eastAsia"/>
                <w:sz w:val="21"/>
                <w:szCs w:val="21"/>
              </w:rPr>
              <w:t>尿沉渣分析仪</w:t>
            </w:r>
          </w:p>
        </w:tc>
        <w:tc>
          <w:tcPr>
            <w:tcW w:w="912" w:type="dxa"/>
            <w:vAlign w:val="center"/>
          </w:tcPr>
          <w:p w14:paraId="193A586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AC358B0">
            <w:pPr>
              <w:bidi w:val="0"/>
              <w:jc w:val="center"/>
              <w:rPr>
                <w:rFonts w:hint="default"/>
                <w:sz w:val="21"/>
                <w:szCs w:val="21"/>
                <w:lang w:val="en-US" w:eastAsia="zh-CN"/>
              </w:rPr>
            </w:pPr>
            <w:r>
              <w:rPr>
                <w:rFonts w:hint="eastAsia"/>
                <w:sz w:val="21"/>
                <w:szCs w:val="21"/>
                <w:lang w:val="en-US" w:eastAsia="zh-CN"/>
              </w:rPr>
              <w:t>台</w:t>
            </w:r>
          </w:p>
        </w:tc>
      </w:tr>
      <w:tr w14:paraId="62ED71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99D51B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2688" w:type="dxa"/>
            <w:vMerge w:val="continue"/>
            <w:vAlign w:val="center"/>
          </w:tcPr>
          <w:p w14:paraId="5002162E">
            <w:pPr>
              <w:bidi w:val="0"/>
              <w:jc w:val="center"/>
              <w:rPr>
                <w:rFonts w:hint="default"/>
                <w:sz w:val="21"/>
                <w:szCs w:val="21"/>
                <w:lang w:val="en-US" w:eastAsia="zh-CN"/>
              </w:rPr>
            </w:pPr>
          </w:p>
        </w:tc>
        <w:tc>
          <w:tcPr>
            <w:tcW w:w="3212" w:type="dxa"/>
            <w:vAlign w:val="center"/>
          </w:tcPr>
          <w:p w14:paraId="5110DAEF">
            <w:pPr>
              <w:bidi w:val="0"/>
              <w:jc w:val="center"/>
              <w:rPr>
                <w:rFonts w:hint="default"/>
                <w:sz w:val="21"/>
                <w:szCs w:val="21"/>
                <w:lang w:val="en-US" w:eastAsia="zh-CN"/>
              </w:rPr>
            </w:pPr>
            <w:r>
              <w:rPr>
                <w:rFonts w:hint="eastAsia"/>
                <w:sz w:val="21"/>
                <w:szCs w:val="21"/>
              </w:rPr>
              <w:t>酶标测试仪</w:t>
            </w:r>
          </w:p>
        </w:tc>
        <w:tc>
          <w:tcPr>
            <w:tcW w:w="912" w:type="dxa"/>
            <w:vAlign w:val="center"/>
          </w:tcPr>
          <w:p w14:paraId="2DE1D7D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5CFA5D2">
            <w:pPr>
              <w:bidi w:val="0"/>
              <w:jc w:val="center"/>
              <w:rPr>
                <w:rFonts w:hint="default"/>
                <w:sz w:val="21"/>
                <w:szCs w:val="21"/>
                <w:lang w:val="en-US" w:eastAsia="zh-CN"/>
              </w:rPr>
            </w:pPr>
            <w:r>
              <w:rPr>
                <w:rFonts w:hint="eastAsia"/>
                <w:sz w:val="21"/>
                <w:szCs w:val="21"/>
                <w:lang w:val="en-US" w:eastAsia="zh-CN"/>
              </w:rPr>
              <w:t>台</w:t>
            </w:r>
          </w:p>
        </w:tc>
      </w:tr>
      <w:tr w14:paraId="73A42A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6E46C9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2688" w:type="dxa"/>
            <w:vMerge w:val="continue"/>
            <w:vAlign w:val="center"/>
          </w:tcPr>
          <w:p w14:paraId="41156BA0">
            <w:pPr>
              <w:bidi w:val="0"/>
              <w:jc w:val="center"/>
              <w:rPr>
                <w:rFonts w:hint="default"/>
                <w:sz w:val="21"/>
                <w:szCs w:val="21"/>
                <w:lang w:val="en-US" w:eastAsia="zh-CN"/>
              </w:rPr>
            </w:pPr>
          </w:p>
        </w:tc>
        <w:tc>
          <w:tcPr>
            <w:tcW w:w="3212" w:type="dxa"/>
            <w:vAlign w:val="center"/>
          </w:tcPr>
          <w:p w14:paraId="4766D508">
            <w:pPr>
              <w:bidi w:val="0"/>
              <w:jc w:val="center"/>
              <w:rPr>
                <w:rFonts w:hint="default"/>
                <w:sz w:val="21"/>
                <w:szCs w:val="21"/>
                <w:lang w:val="en-US" w:eastAsia="zh-CN"/>
              </w:rPr>
            </w:pPr>
            <w:r>
              <w:rPr>
                <w:rFonts w:hint="eastAsia"/>
                <w:sz w:val="21"/>
                <w:szCs w:val="21"/>
              </w:rPr>
              <w:t>血凝分析仪</w:t>
            </w:r>
          </w:p>
        </w:tc>
        <w:tc>
          <w:tcPr>
            <w:tcW w:w="912" w:type="dxa"/>
            <w:vAlign w:val="center"/>
          </w:tcPr>
          <w:p w14:paraId="59F1B88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2B38699">
            <w:pPr>
              <w:bidi w:val="0"/>
              <w:jc w:val="center"/>
              <w:rPr>
                <w:rFonts w:hint="default"/>
                <w:sz w:val="21"/>
                <w:szCs w:val="21"/>
                <w:lang w:val="en-US" w:eastAsia="zh-CN"/>
              </w:rPr>
            </w:pPr>
            <w:r>
              <w:rPr>
                <w:rFonts w:hint="eastAsia"/>
                <w:sz w:val="21"/>
                <w:szCs w:val="21"/>
                <w:lang w:val="en-US" w:eastAsia="zh-CN"/>
              </w:rPr>
              <w:t>台</w:t>
            </w:r>
          </w:p>
        </w:tc>
      </w:tr>
      <w:tr w14:paraId="32DC16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ED4FC5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19</w:t>
            </w:r>
          </w:p>
        </w:tc>
        <w:tc>
          <w:tcPr>
            <w:tcW w:w="2688" w:type="dxa"/>
            <w:vMerge w:val="continue"/>
            <w:vAlign w:val="center"/>
          </w:tcPr>
          <w:p w14:paraId="44BAAC0F">
            <w:pPr>
              <w:bidi w:val="0"/>
              <w:jc w:val="center"/>
              <w:rPr>
                <w:rFonts w:hint="default"/>
                <w:sz w:val="21"/>
                <w:szCs w:val="21"/>
                <w:lang w:val="en-US" w:eastAsia="zh-CN"/>
              </w:rPr>
            </w:pPr>
          </w:p>
        </w:tc>
        <w:tc>
          <w:tcPr>
            <w:tcW w:w="3212" w:type="dxa"/>
            <w:vAlign w:val="center"/>
          </w:tcPr>
          <w:p w14:paraId="667009B7">
            <w:pPr>
              <w:bidi w:val="0"/>
              <w:jc w:val="center"/>
              <w:rPr>
                <w:rFonts w:hint="default"/>
                <w:sz w:val="21"/>
                <w:szCs w:val="21"/>
                <w:lang w:val="en-US" w:eastAsia="zh-CN"/>
              </w:rPr>
            </w:pPr>
            <w:r>
              <w:rPr>
                <w:rFonts w:hint="eastAsia"/>
                <w:sz w:val="21"/>
                <w:szCs w:val="21"/>
              </w:rPr>
              <w:t>微生物鉴定系统</w:t>
            </w:r>
          </w:p>
        </w:tc>
        <w:tc>
          <w:tcPr>
            <w:tcW w:w="912" w:type="dxa"/>
            <w:vAlign w:val="center"/>
          </w:tcPr>
          <w:p w14:paraId="1CCCD10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C435756">
            <w:pPr>
              <w:bidi w:val="0"/>
              <w:jc w:val="center"/>
              <w:rPr>
                <w:rFonts w:hint="default"/>
                <w:sz w:val="21"/>
                <w:szCs w:val="21"/>
                <w:lang w:val="en-US" w:eastAsia="zh-CN"/>
              </w:rPr>
            </w:pPr>
            <w:r>
              <w:rPr>
                <w:rFonts w:hint="eastAsia"/>
                <w:sz w:val="21"/>
                <w:szCs w:val="21"/>
                <w:lang w:val="en-US" w:eastAsia="zh-CN"/>
              </w:rPr>
              <w:t>台</w:t>
            </w:r>
          </w:p>
        </w:tc>
      </w:tr>
      <w:tr w14:paraId="3DCC55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62A013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2688" w:type="dxa"/>
            <w:vMerge w:val="continue"/>
            <w:vAlign w:val="center"/>
          </w:tcPr>
          <w:p w14:paraId="2BE8F507">
            <w:pPr>
              <w:bidi w:val="0"/>
              <w:jc w:val="center"/>
              <w:rPr>
                <w:rFonts w:hint="default"/>
                <w:sz w:val="21"/>
                <w:szCs w:val="21"/>
                <w:lang w:val="en-US" w:eastAsia="zh-CN"/>
              </w:rPr>
            </w:pPr>
          </w:p>
        </w:tc>
        <w:tc>
          <w:tcPr>
            <w:tcW w:w="3212" w:type="dxa"/>
            <w:vAlign w:val="center"/>
          </w:tcPr>
          <w:p w14:paraId="6E91513C">
            <w:pPr>
              <w:bidi w:val="0"/>
              <w:jc w:val="center"/>
              <w:rPr>
                <w:rFonts w:hint="default"/>
                <w:sz w:val="21"/>
                <w:szCs w:val="21"/>
                <w:lang w:val="en-US" w:eastAsia="zh-CN"/>
              </w:rPr>
            </w:pPr>
            <w:r>
              <w:rPr>
                <w:rFonts w:hint="eastAsia"/>
                <w:sz w:val="21"/>
                <w:szCs w:val="21"/>
              </w:rPr>
              <w:t>流式细胞分析仪</w:t>
            </w:r>
          </w:p>
        </w:tc>
        <w:tc>
          <w:tcPr>
            <w:tcW w:w="912" w:type="dxa"/>
            <w:vAlign w:val="center"/>
          </w:tcPr>
          <w:p w14:paraId="70B246A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054EFC21">
            <w:pPr>
              <w:bidi w:val="0"/>
              <w:jc w:val="center"/>
              <w:rPr>
                <w:rFonts w:hint="default"/>
                <w:sz w:val="21"/>
                <w:szCs w:val="21"/>
                <w:lang w:val="en-US" w:eastAsia="zh-CN"/>
              </w:rPr>
            </w:pPr>
            <w:r>
              <w:rPr>
                <w:rFonts w:hint="eastAsia"/>
                <w:sz w:val="21"/>
                <w:szCs w:val="21"/>
                <w:lang w:val="en-US" w:eastAsia="zh-CN"/>
              </w:rPr>
              <w:t>台</w:t>
            </w:r>
          </w:p>
        </w:tc>
      </w:tr>
      <w:tr w14:paraId="4BC4A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76DDD3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21</w:t>
            </w:r>
          </w:p>
        </w:tc>
        <w:tc>
          <w:tcPr>
            <w:tcW w:w="2688" w:type="dxa"/>
            <w:vMerge w:val="continue"/>
            <w:vAlign w:val="center"/>
          </w:tcPr>
          <w:p w14:paraId="08A87F05">
            <w:pPr>
              <w:bidi w:val="0"/>
              <w:jc w:val="center"/>
              <w:rPr>
                <w:rFonts w:hint="default"/>
                <w:sz w:val="21"/>
                <w:szCs w:val="21"/>
                <w:lang w:val="en-US" w:eastAsia="zh-CN"/>
              </w:rPr>
            </w:pPr>
          </w:p>
        </w:tc>
        <w:tc>
          <w:tcPr>
            <w:tcW w:w="3212" w:type="dxa"/>
            <w:vAlign w:val="center"/>
          </w:tcPr>
          <w:p w14:paraId="3AAE89B7">
            <w:pPr>
              <w:bidi w:val="0"/>
              <w:jc w:val="center"/>
              <w:rPr>
                <w:rFonts w:hint="default"/>
                <w:sz w:val="21"/>
                <w:szCs w:val="21"/>
                <w:lang w:val="en-US" w:eastAsia="zh-CN"/>
              </w:rPr>
            </w:pPr>
            <w:r>
              <w:rPr>
                <w:rFonts w:hint="eastAsia"/>
                <w:sz w:val="21"/>
                <w:szCs w:val="21"/>
              </w:rPr>
              <w:t>紫外可见分光光度计</w:t>
            </w:r>
          </w:p>
        </w:tc>
        <w:tc>
          <w:tcPr>
            <w:tcW w:w="912" w:type="dxa"/>
            <w:vAlign w:val="center"/>
          </w:tcPr>
          <w:p w14:paraId="38CF1EF5">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2EDDFC7">
            <w:pPr>
              <w:bidi w:val="0"/>
              <w:jc w:val="center"/>
              <w:rPr>
                <w:rFonts w:hint="default"/>
                <w:sz w:val="21"/>
                <w:szCs w:val="21"/>
                <w:lang w:val="en-US" w:eastAsia="zh-CN"/>
              </w:rPr>
            </w:pPr>
            <w:r>
              <w:rPr>
                <w:rFonts w:hint="eastAsia"/>
                <w:sz w:val="21"/>
                <w:szCs w:val="21"/>
                <w:lang w:val="en-US" w:eastAsia="zh-CN"/>
              </w:rPr>
              <w:t>台</w:t>
            </w:r>
          </w:p>
        </w:tc>
      </w:tr>
      <w:tr w14:paraId="3907E8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7068A8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2688" w:type="dxa"/>
            <w:vMerge w:val="continue"/>
            <w:vAlign w:val="center"/>
          </w:tcPr>
          <w:p w14:paraId="141341C3">
            <w:pPr>
              <w:bidi w:val="0"/>
              <w:jc w:val="center"/>
              <w:rPr>
                <w:rFonts w:hint="default"/>
                <w:sz w:val="21"/>
                <w:szCs w:val="21"/>
                <w:lang w:val="en-US" w:eastAsia="zh-CN"/>
              </w:rPr>
            </w:pPr>
          </w:p>
        </w:tc>
        <w:tc>
          <w:tcPr>
            <w:tcW w:w="3212" w:type="dxa"/>
            <w:vAlign w:val="center"/>
          </w:tcPr>
          <w:p w14:paraId="01741486">
            <w:pPr>
              <w:bidi w:val="0"/>
              <w:jc w:val="center"/>
              <w:rPr>
                <w:rFonts w:hint="default"/>
                <w:sz w:val="21"/>
                <w:szCs w:val="21"/>
                <w:lang w:val="en-US" w:eastAsia="zh-CN"/>
              </w:rPr>
            </w:pPr>
            <w:r>
              <w:rPr>
                <w:rFonts w:hint="eastAsia"/>
                <w:sz w:val="21"/>
                <w:szCs w:val="21"/>
              </w:rPr>
              <w:t>荧光定量PCR仪</w:t>
            </w:r>
          </w:p>
        </w:tc>
        <w:tc>
          <w:tcPr>
            <w:tcW w:w="912" w:type="dxa"/>
            <w:vAlign w:val="center"/>
          </w:tcPr>
          <w:p w14:paraId="1589516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342D7B0">
            <w:pPr>
              <w:bidi w:val="0"/>
              <w:jc w:val="center"/>
              <w:rPr>
                <w:rFonts w:hint="default"/>
                <w:sz w:val="21"/>
                <w:szCs w:val="21"/>
                <w:lang w:val="en-US" w:eastAsia="zh-CN"/>
              </w:rPr>
            </w:pPr>
            <w:r>
              <w:rPr>
                <w:rFonts w:hint="eastAsia"/>
                <w:sz w:val="21"/>
                <w:szCs w:val="21"/>
                <w:lang w:val="en-US" w:eastAsia="zh-CN"/>
              </w:rPr>
              <w:t>台</w:t>
            </w:r>
          </w:p>
        </w:tc>
      </w:tr>
      <w:tr w14:paraId="642804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2DC7F7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23</w:t>
            </w:r>
          </w:p>
        </w:tc>
        <w:tc>
          <w:tcPr>
            <w:tcW w:w="2688" w:type="dxa"/>
            <w:vMerge w:val="continue"/>
            <w:vAlign w:val="center"/>
          </w:tcPr>
          <w:p w14:paraId="62762988">
            <w:pPr>
              <w:bidi w:val="0"/>
              <w:jc w:val="center"/>
              <w:rPr>
                <w:rFonts w:hint="default"/>
                <w:sz w:val="21"/>
                <w:szCs w:val="21"/>
                <w:lang w:val="en-US" w:eastAsia="zh-CN"/>
              </w:rPr>
            </w:pPr>
          </w:p>
        </w:tc>
        <w:tc>
          <w:tcPr>
            <w:tcW w:w="3212" w:type="dxa"/>
            <w:vAlign w:val="center"/>
          </w:tcPr>
          <w:p w14:paraId="16903FE0">
            <w:pPr>
              <w:bidi w:val="0"/>
              <w:jc w:val="center"/>
              <w:rPr>
                <w:rFonts w:hint="default"/>
                <w:sz w:val="21"/>
                <w:szCs w:val="21"/>
                <w:lang w:val="en-US" w:eastAsia="zh-CN"/>
              </w:rPr>
            </w:pPr>
            <w:r>
              <w:rPr>
                <w:rFonts w:hint="eastAsia"/>
                <w:sz w:val="21"/>
                <w:szCs w:val="21"/>
              </w:rPr>
              <w:t>显微镜</w:t>
            </w:r>
          </w:p>
        </w:tc>
        <w:tc>
          <w:tcPr>
            <w:tcW w:w="912" w:type="dxa"/>
            <w:vAlign w:val="center"/>
          </w:tcPr>
          <w:p w14:paraId="3AF24432">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7CA655DA">
            <w:pPr>
              <w:bidi w:val="0"/>
              <w:jc w:val="center"/>
              <w:rPr>
                <w:rFonts w:hint="default"/>
                <w:sz w:val="21"/>
                <w:szCs w:val="21"/>
                <w:lang w:val="en-US" w:eastAsia="zh-CN"/>
              </w:rPr>
            </w:pPr>
            <w:r>
              <w:rPr>
                <w:rFonts w:hint="eastAsia"/>
                <w:sz w:val="21"/>
                <w:szCs w:val="21"/>
                <w:lang w:val="en-US" w:eastAsia="zh-CN"/>
              </w:rPr>
              <w:t>台</w:t>
            </w:r>
          </w:p>
        </w:tc>
      </w:tr>
      <w:tr w14:paraId="38F48A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10BF2D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2688" w:type="dxa"/>
            <w:vMerge w:val="continue"/>
            <w:vAlign w:val="center"/>
          </w:tcPr>
          <w:p w14:paraId="431220E0">
            <w:pPr>
              <w:bidi w:val="0"/>
              <w:jc w:val="center"/>
              <w:rPr>
                <w:rFonts w:hint="default"/>
                <w:sz w:val="21"/>
                <w:szCs w:val="21"/>
                <w:lang w:val="en-US" w:eastAsia="zh-CN"/>
              </w:rPr>
            </w:pPr>
          </w:p>
        </w:tc>
        <w:tc>
          <w:tcPr>
            <w:tcW w:w="3212" w:type="dxa"/>
            <w:vAlign w:val="center"/>
          </w:tcPr>
          <w:p w14:paraId="68DD87A6">
            <w:pPr>
              <w:bidi w:val="0"/>
              <w:jc w:val="center"/>
              <w:rPr>
                <w:rFonts w:hint="default"/>
                <w:sz w:val="21"/>
                <w:szCs w:val="21"/>
                <w:lang w:val="en-US" w:eastAsia="zh-CN"/>
              </w:rPr>
            </w:pPr>
            <w:r>
              <w:rPr>
                <w:rFonts w:hint="eastAsia"/>
                <w:sz w:val="21"/>
                <w:szCs w:val="21"/>
              </w:rPr>
              <w:t>离心机</w:t>
            </w:r>
          </w:p>
        </w:tc>
        <w:tc>
          <w:tcPr>
            <w:tcW w:w="912" w:type="dxa"/>
            <w:vAlign w:val="center"/>
          </w:tcPr>
          <w:p w14:paraId="5B6DF6E1">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6A0A0133">
            <w:pPr>
              <w:bidi w:val="0"/>
              <w:jc w:val="center"/>
              <w:rPr>
                <w:rFonts w:hint="default"/>
                <w:sz w:val="21"/>
                <w:szCs w:val="21"/>
                <w:lang w:val="en-US" w:eastAsia="zh-CN"/>
              </w:rPr>
            </w:pPr>
            <w:r>
              <w:rPr>
                <w:rFonts w:hint="eastAsia"/>
                <w:sz w:val="21"/>
                <w:szCs w:val="21"/>
                <w:lang w:val="en-US" w:eastAsia="zh-CN"/>
              </w:rPr>
              <w:t>台</w:t>
            </w:r>
          </w:p>
        </w:tc>
      </w:tr>
      <w:tr w14:paraId="4D188A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C3F929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2688" w:type="dxa"/>
            <w:vMerge w:val="continue"/>
            <w:vAlign w:val="center"/>
          </w:tcPr>
          <w:p w14:paraId="6D00F2DD">
            <w:pPr>
              <w:bidi w:val="0"/>
              <w:jc w:val="center"/>
              <w:rPr>
                <w:rFonts w:hint="default"/>
                <w:sz w:val="21"/>
                <w:szCs w:val="21"/>
                <w:lang w:val="en-US" w:eastAsia="zh-CN"/>
              </w:rPr>
            </w:pPr>
          </w:p>
        </w:tc>
        <w:tc>
          <w:tcPr>
            <w:tcW w:w="3212" w:type="dxa"/>
            <w:vAlign w:val="center"/>
          </w:tcPr>
          <w:p w14:paraId="464D4B43">
            <w:pPr>
              <w:bidi w:val="0"/>
              <w:jc w:val="center"/>
              <w:rPr>
                <w:rFonts w:hint="default"/>
                <w:sz w:val="21"/>
                <w:szCs w:val="21"/>
                <w:lang w:val="en-US" w:eastAsia="zh-CN"/>
              </w:rPr>
            </w:pPr>
            <w:r>
              <w:rPr>
                <w:rFonts w:hint="eastAsia"/>
                <w:sz w:val="21"/>
                <w:szCs w:val="21"/>
              </w:rPr>
              <w:t>电泳仪</w:t>
            </w:r>
          </w:p>
        </w:tc>
        <w:tc>
          <w:tcPr>
            <w:tcW w:w="912" w:type="dxa"/>
            <w:vAlign w:val="center"/>
          </w:tcPr>
          <w:p w14:paraId="63309B8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B5EDE02">
            <w:pPr>
              <w:bidi w:val="0"/>
              <w:jc w:val="center"/>
              <w:rPr>
                <w:rFonts w:hint="default"/>
                <w:sz w:val="21"/>
                <w:szCs w:val="21"/>
                <w:lang w:val="en-US" w:eastAsia="zh-CN"/>
              </w:rPr>
            </w:pPr>
            <w:r>
              <w:rPr>
                <w:rFonts w:hint="eastAsia"/>
                <w:sz w:val="21"/>
                <w:szCs w:val="21"/>
                <w:lang w:val="en-US" w:eastAsia="zh-CN"/>
              </w:rPr>
              <w:t>台</w:t>
            </w:r>
          </w:p>
        </w:tc>
      </w:tr>
      <w:tr w14:paraId="6D9ED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59F044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2688" w:type="dxa"/>
            <w:vMerge w:val="continue"/>
            <w:vAlign w:val="center"/>
          </w:tcPr>
          <w:p w14:paraId="129C86FD">
            <w:pPr>
              <w:bidi w:val="0"/>
              <w:jc w:val="center"/>
              <w:rPr>
                <w:rFonts w:hint="default"/>
                <w:sz w:val="21"/>
                <w:szCs w:val="21"/>
                <w:lang w:val="en-US" w:eastAsia="zh-CN"/>
              </w:rPr>
            </w:pPr>
          </w:p>
        </w:tc>
        <w:tc>
          <w:tcPr>
            <w:tcW w:w="3212" w:type="dxa"/>
            <w:vAlign w:val="center"/>
          </w:tcPr>
          <w:p w14:paraId="78DDF9CF">
            <w:pPr>
              <w:bidi w:val="0"/>
              <w:jc w:val="center"/>
              <w:rPr>
                <w:rFonts w:hint="default"/>
                <w:sz w:val="21"/>
                <w:szCs w:val="21"/>
                <w:lang w:val="en-US" w:eastAsia="zh-CN"/>
              </w:rPr>
            </w:pPr>
            <w:r>
              <w:rPr>
                <w:rFonts w:hint="eastAsia"/>
                <w:sz w:val="21"/>
                <w:szCs w:val="21"/>
              </w:rPr>
              <w:t>免疫测定仪</w:t>
            </w:r>
          </w:p>
        </w:tc>
        <w:tc>
          <w:tcPr>
            <w:tcW w:w="912" w:type="dxa"/>
            <w:vAlign w:val="center"/>
          </w:tcPr>
          <w:p w14:paraId="794934B5">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0E87BF8A">
            <w:pPr>
              <w:bidi w:val="0"/>
              <w:jc w:val="center"/>
              <w:rPr>
                <w:rFonts w:hint="default"/>
                <w:sz w:val="21"/>
                <w:szCs w:val="21"/>
                <w:lang w:val="en-US" w:eastAsia="zh-CN"/>
              </w:rPr>
            </w:pPr>
            <w:r>
              <w:rPr>
                <w:rFonts w:hint="eastAsia"/>
                <w:sz w:val="21"/>
                <w:szCs w:val="21"/>
                <w:lang w:val="en-US" w:eastAsia="zh-CN"/>
              </w:rPr>
              <w:t>台</w:t>
            </w:r>
          </w:p>
        </w:tc>
      </w:tr>
      <w:tr w14:paraId="32136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EAACF4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27</w:t>
            </w:r>
          </w:p>
        </w:tc>
        <w:tc>
          <w:tcPr>
            <w:tcW w:w="2688" w:type="dxa"/>
            <w:vMerge w:val="continue"/>
            <w:vAlign w:val="center"/>
          </w:tcPr>
          <w:p w14:paraId="6E139F0C">
            <w:pPr>
              <w:bidi w:val="0"/>
              <w:jc w:val="center"/>
              <w:rPr>
                <w:rFonts w:hint="default"/>
                <w:sz w:val="21"/>
                <w:szCs w:val="21"/>
                <w:lang w:val="en-US" w:eastAsia="zh-CN"/>
              </w:rPr>
            </w:pPr>
          </w:p>
        </w:tc>
        <w:tc>
          <w:tcPr>
            <w:tcW w:w="3212" w:type="dxa"/>
            <w:vAlign w:val="center"/>
          </w:tcPr>
          <w:p w14:paraId="58E1FDDA">
            <w:pPr>
              <w:bidi w:val="0"/>
              <w:jc w:val="center"/>
              <w:rPr>
                <w:rFonts w:hint="default"/>
                <w:sz w:val="21"/>
                <w:szCs w:val="21"/>
                <w:lang w:val="en-US" w:eastAsia="zh-CN"/>
              </w:rPr>
            </w:pPr>
            <w:r>
              <w:rPr>
                <w:rFonts w:hint="eastAsia"/>
                <w:sz w:val="21"/>
                <w:szCs w:val="21"/>
              </w:rPr>
              <w:t>精子质量分析仪</w:t>
            </w:r>
          </w:p>
        </w:tc>
        <w:tc>
          <w:tcPr>
            <w:tcW w:w="912" w:type="dxa"/>
            <w:vAlign w:val="center"/>
          </w:tcPr>
          <w:p w14:paraId="682BF3A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1B8ACEA">
            <w:pPr>
              <w:bidi w:val="0"/>
              <w:jc w:val="center"/>
              <w:rPr>
                <w:rFonts w:hint="default"/>
                <w:sz w:val="21"/>
                <w:szCs w:val="21"/>
                <w:lang w:val="en-US" w:eastAsia="zh-CN"/>
              </w:rPr>
            </w:pPr>
            <w:r>
              <w:rPr>
                <w:rFonts w:hint="eastAsia"/>
                <w:sz w:val="21"/>
                <w:szCs w:val="21"/>
                <w:lang w:val="en-US" w:eastAsia="zh-CN"/>
              </w:rPr>
              <w:t>台</w:t>
            </w:r>
          </w:p>
        </w:tc>
      </w:tr>
      <w:tr w14:paraId="12C403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0CC258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2688" w:type="dxa"/>
            <w:vMerge w:val="continue"/>
            <w:vAlign w:val="center"/>
          </w:tcPr>
          <w:p w14:paraId="72787AE3">
            <w:pPr>
              <w:bidi w:val="0"/>
              <w:jc w:val="center"/>
              <w:rPr>
                <w:rFonts w:hint="default"/>
                <w:sz w:val="21"/>
                <w:szCs w:val="21"/>
                <w:lang w:val="en-US" w:eastAsia="zh-CN"/>
              </w:rPr>
            </w:pPr>
          </w:p>
        </w:tc>
        <w:tc>
          <w:tcPr>
            <w:tcW w:w="3212" w:type="dxa"/>
            <w:vAlign w:val="center"/>
          </w:tcPr>
          <w:p w14:paraId="542313CA">
            <w:pPr>
              <w:bidi w:val="0"/>
              <w:jc w:val="center"/>
              <w:rPr>
                <w:rFonts w:hint="default"/>
                <w:sz w:val="21"/>
                <w:szCs w:val="21"/>
                <w:lang w:val="en-US" w:eastAsia="zh-CN"/>
              </w:rPr>
            </w:pPr>
            <w:r>
              <w:rPr>
                <w:rFonts w:hint="eastAsia"/>
                <w:sz w:val="21"/>
                <w:szCs w:val="21"/>
              </w:rPr>
              <w:t>高压灭菌器</w:t>
            </w:r>
          </w:p>
        </w:tc>
        <w:tc>
          <w:tcPr>
            <w:tcW w:w="912" w:type="dxa"/>
            <w:vAlign w:val="center"/>
          </w:tcPr>
          <w:p w14:paraId="0B471B08">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9CFE0C9">
            <w:pPr>
              <w:bidi w:val="0"/>
              <w:jc w:val="center"/>
              <w:rPr>
                <w:rFonts w:hint="default"/>
                <w:sz w:val="21"/>
                <w:szCs w:val="21"/>
                <w:lang w:val="en-US" w:eastAsia="zh-CN"/>
              </w:rPr>
            </w:pPr>
            <w:r>
              <w:rPr>
                <w:rFonts w:hint="eastAsia"/>
                <w:sz w:val="21"/>
                <w:szCs w:val="21"/>
                <w:lang w:val="en-US" w:eastAsia="zh-CN"/>
              </w:rPr>
              <w:t>台</w:t>
            </w:r>
          </w:p>
        </w:tc>
      </w:tr>
      <w:tr w14:paraId="3AB99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8D3C9F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29</w:t>
            </w:r>
          </w:p>
        </w:tc>
        <w:tc>
          <w:tcPr>
            <w:tcW w:w="2688" w:type="dxa"/>
            <w:vMerge w:val="restart"/>
            <w:vAlign w:val="center"/>
          </w:tcPr>
          <w:p w14:paraId="5267EC4A">
            <w:pPr>
              <w:bidi w:val="0"/>
              <w:jc w:val="center"/>
              <w:rPr>
                <w:rFonts w:hint="default"/>
                <w:sz w:val="21"/>
                <w:szCs w:val="21"/>
                <w:lang w:val="en-US" w:eastAsia="zh-CN"/>
              </w:rPr>
            </w:pPr>
            <w:r>
              <w:rPr>
                <w:rFonts w:hint="eastAsia"/>
                <w:sz w:val="21"/>
                <w:szCs w:val="21"/>
                <w:lang w:val="en-US" w:eastAsia="zh-CN"/>
              </w:rPr>
              <w:t>功能检查设备</w:t>
            </w:r>
          </w:p>
        </w:tc>
        <w:tc>
          <w:tcPr>
            <w:tcW w:w="3212" w:type="dxa"/>
            <w:vAlign w:val="center"/>
          </w:tcPr>
          <w:p w14:paraId="42DA1780">
            <w:pPr>
              <w:bidi w:val="0"/>
              <w:jc w:val="center"/>
              <w:rPr>
                <w:rFonts w:hint="default"/>
                <w:sz w:val="21"/>
                <w:szCs w:val="21"/>
                <w:lang w:val="en-US" w:eastAsia="zh-CN"/>
              </w:rPr>
            </w:pPr>
            <w:r>
              <w:rPr>
                <w:rFonts w:hint="eastAsia"/>
                <w:sz w:val="21"/>
                <w:szCs w:val="21"/>
              </w:rPr>
              <w:t>心电图机</w:t>
            </w:r>
          </w:p>
        </w:tc>
        <w:tc>
          <w:tcPr>
            <w:tcW w:w="912" w:type="dxa"/>
            <w:vAlign w:val="center"/>
          </w:tcPr>
          <w:p w14:paraId="2C8B7D9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76775E5">
            <w:pPr>
              <w:bidi w:val="0"/>
              <w:jc w:val="center"/>
              <w:rPr>
                <w:rFonts w:hint="default"/>
                <w:sz w:val="21"/>
                <w:szCs w:val="21"/>
                <w:lang w:val="en-US" w:eastAsia="zh-CN"/>
              </w:rPr>
            </w:pPr>
            <w:r>
              <w:rPr>
                <w:rFonts w:hint="eastAsia"/>
                <w:sz w:val="21"/>
                <w:szCs w:val="21"/>
                <w:lang w:val="en-US" w:eastAsia="zh-CN"/>
              </w:rPr>
              <w:t>台</w:t>
            </w:r>
          </w:p>
        </w:tc>
      </w:tr>
      <w:tr w14:paraId="1501A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E6FC0B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2688" w:type="dxa"/>
            <w:vMerge w:val="continue"/>
            <w:vAlign w:val="center"/>
          </w:tcPr>
          <w:p w14:paraId="63D06981">
            <w:pPr>
              <w:bidi w:val="0"/>
              <w:jc w:val="center"/>
              <w:rPr>
                <w:rFonts w:hint="default"/>
                <w:sz w:val="21"/>
                <w:szCs w:val="21"/>
                <w:lang w:val="en-US" w:eastAsia="zh-CN"/>
              </w:rPr>
            </w:pPr>
          </w:p>
        </w:tc>
        <w:tc>
          <w:tcPr>
            <w:tcW w:w="3212" w:type="dxa"/>
            <w:vAlign w:val="center"/>
          </w:tcPr>
          <w:p w14:paraId="3E13AC5D">
            <w:pPr>
              <w:bidi w:val="0"/>
              <w:jc w:val="center"/>
              <w:rPr>
                <w:rFonts w:hint="default"/>
                <w:sz w:val="21"/>
                <w:szCs w:val="21"/>
                <w:lang w:val="en-US" w:eastAsia="zh-CN"/>
              </w:rPr>
            </w:pPr>
            <w:r>
              <w:rPr>
                <w:rFonts w:hint="eastAsia"/>
                <w:sz w:val="21"/>
                <w:szCs w:val="21"/>
              </w:rPr>
              <w:t>动态心电图分析系统</w:t>
            </w:r>
          </w:p>
        </w:tc>
        <w:tc>
          <w:tcPr>
            <w:tcW w:w="912" w:type="dxa"/>
            <w:vAlign w:val="center"/>
          </w:tcPr>
          <w:p w14:paraId="796EEF48">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16CF361">
            <w:pPr>
              <w:bidi w:val="0"/>
              <w:jc w:val="center"/>
              <w:rPr>
                <w:rFonts w:hint="default"/>
                <w:sz w:val="21"/>
                <w:szCs w:val="21"/>
                <w:lang w:val="en-US" w:eastAsia="zh-CN"/>
              </w:rPr>
            </w:pPr>
            <w:r>
              <w:rPr>
                <w:rFonts w:hint="eastAsia"/>
                <w:sz w:val="21"/>
                <w:szCs w:val="21"/>
                <w:lang w:val="en-US" w:eastAsia="zh-CN"/>
              </w:rPr>
              <w:t>台</w:t>
            </w:r>
          </w:p>
        </w:tc>
      </w:tr>
      <w:tr w14:paraId="3A323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85767A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31</w:t>
            </w:r>
          </w:p>
        </w:tc>
        <w:tc>
          <w:tcPr>
            <w:tcW w:w="2688" w:type="dxa"/>
            <w:vMerge w:val="continue"/>
            <w:vAlign w:val="center"/>
          </w:tcPr>
          <w:p w14:paraId="15D20A86">
            <w:pPr>
              <w:bidi w:val="0"/>
              <w:jc w:val="center"/>
              <w:rPr>
                <w:rFonts w:hint="default"/>
                <w:sz w:val="21"/>
                <w:szCs w:val="21"/>
                <w:lang w:val="en-US" w:eastAsia="zh-CN"/>
              </w:rPr>
            </w:pPr>
          </w:p>
        </w:tc>
        <w:tc>
          <w:tcPr>
            <w:tcW w:w="3212" w:type="dxa"/>
            <w:vAlign w:val="center"/>
          </w:tcPr>
          <w:p w14:paraId="7CAC5296">
            <w:pPr>
              <w:bidi w:val="0"/>
              <w:jc w:val="center"/>
              <w:rPr>
                <w:rFonts w:hint="default"/>
                <w:sz w:val="21"/>
                <w:szCs w:val="21"/>
                <w:lang w:val="en-US" w:eastAsia="zh-CN"/>
              </w:rPr>
            </w:pPr>
            <w:r>
              <w:rPr>
                <w:rFonts w:hint="eastAsia"/>
                <w:sz w:val="21"/>
                <w:szCs w:val="21"/>
              </w:rPr>
              <w:t>动态血压分析系统</w:t>
            </w:r>
          </w:p>
        </w:tc>
        <w:tc>
          <w:tcPr>
            <w:tcW w:w="912" w:type="dxa"/>
            <w:vAlign w:val="center"/>
          </w:tcPr>
          <w:p w14:paraId="69FD8E1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54A9560">
            <w:pPr>
              <w:bidi w:val="0"/>
              <w:jc w:val="center"/>
              <w:rPr>
                <w:rFonts w:hint="default"/>
                <w:sz w:val="21"/>
                <w:szCs w:val="21"/>
                <w:lang w:val="en-US" w:eastAsia="zh-CN"/>
              </w:rPr>
            </w:pPr>
            <w:r>
              <w:rPr>
                <w:rFonts w:hint="eastAsia"/>
                <w:sz w:val="21"/>
                <w:szCs w:val="21"/>
                <w:lang w:val="en-US" w:eastAsia="zh-CN"/>
              </w:rPr>
              <w:t>台</w:t>
            </w:r>
          </w:p>
        </w:tc>
      </w:tr>
      <w:tr w14:paraId="1DF9D6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EBD0F3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2688" w:type="dxa"/>
            <w:vMerge w:val="continue"/>
            <w:vAlign w:val="center"/>
          </w:tcPr>
          <w:p w14:paraId="126707C3">
            <w:pPr>
              <w:bidi w:val="0"/>
              <w:jc w:val="center"/>
              <w:rPr>
                <w:rFonts w:hint="default"/>
                <w:sz w:val="21"/>
                <w:szCs w:val="21"/>
                <w:lang w:val="en-US" w:eastAsia="zh-CN"/>
              </w:rPr>
            </w:pPr>
          </w:p>
        </w:tc>
        <w:tc>
          <w:tcPr>
            <w:tcW w:w="3212" w:type="dxa"/>
            <w:vAlign w:val="center"/>
          </w:tcPr>
          <w:p w14:paraId="4B3AF3E6">
            <w:pPr>
              <w:bidi w:val="0"/>
              <w:jc w:val="center"/>
              <w:rPr>
                <w:rFonts w:hint="default"/>
                <w:sz w:val="21"/>
                <w:szCs w:val="21"/>
                <w:lang w:val="en-US" w:eastAsia="zh-CN"/>
              </w:rPr>
            </w:pPr>
            <w:r>
              <w:rPr>
                <w:rFonts w:hint="eastAsia"/>
                <w:sz w:val="21"/>
                <w:szCs w:val="21"/>
              </w:rPr>
              <w:t>心脏负荷平板测试仪</w:t>
            </w:r>
          </w:p>
        </w:tc>
        <w:tc>
          <w:tcPr>
            <w:tcW w:w="912" w:type="dxa"/>
            <w:vAlign w:val="center"/>
          </w:tcPr>
          <w:p w14:paraId="599356B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AE1BF7F">
            <w:pPr>
              <w:bidi w:val="0"/>
              <w:jc w:val="center"/>
              <w:rPr>
                <w:rFonts w:hint="default"/>
                <w:sz w:val="21"/>
                <w:szCs w:val="21"/>
                <w:lang w:val="en-US" w:eastAsia="zh-CN"/>
              </w:rPr>
            </w:pPr>
            <w:r>
              <w:rPr>
                <w:rFonts w:hint="eastAsia"/>
                <w:sz w:val="21"/>
                <w:szCs w:val="21"/>
                <w:lang w:val="en-US" w:eastAsia="zh-CN"/>
              </w:rPr>
              <w:t>台</w:t>
            </w:r>
          </w:p>
        </w:tc>
      </w:tr>
      <w:tr w14:paraId="17F6AA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68C01E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33</w:t>
            </w:r>
          </w:p>
        </w:tc>
        <w:tc>
          <w:tcPr>
            <w:tcW w:w="2688" w:type="dxa"/>
            <w:vMerge w:val="continue"/>
            <w:vAlign w:val="center"/>
          </w:tcPr>
          <w:p w14:paraId="6CCAE181">
            <w:pPr>
              <w:bidi w:val="0"/>
              <w:jc w:val="center"/>
              <w:rPr>
                <w:rFonts w:hint="default"/>
                <w:sz w:val="21"/>
                <w:szCs w:val="21"/>
                <w:lang w:val="en-US" w:eastAsia="zh-CN"/>
              </w:rPr>
            </w:pPr>
          </w:p>
        </w:tc>
        <w:tc>
          <w:tcPr>
            <w:tcW w:w="3212" w:type="dxa"/>
            <w:vAlign w:val="center"/>
          </w:tcPr>
          <w:p w14:paraId="66BD7AE7">
            <w:pPr>
              <w:bidi w:val="0"/>
              <w:jc w:val="center"/>
              <w:rPr>
                <w:rFonts w:hint="default"/>
                <w:sz w:val="21"/>
                <w:szCs w:val="21"/>
                <w:lang w:val="en-US" w:eastAsia="zh-CN"/>
              </w:rPr>
            </w:pPr>
            <w:r>
              <w:rPr>
                <w:rFonts w:hint="eastAsia"/>
                <w:sz w:val="21"/>
                <w:szCs w:val="21"/>
              </w:rPr>
              <w:t>脑电图</w:t>
            </w:r>
          </w:p>
        </w:tc>
        <w:tc>
          <w:tcPr>
            <w:tcW w:w="912" w:type="dxa"/>
            <w:vAlign w:val="center"/>
          </w:tcPr>
          <w:p w14:paraId="1A9329E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5946ADE">
            <w:pPr>
              <w:bidi w:val="0"/>
              <w:jc w:val="center"/>
              <w:rPr>
                <w:rFonts w:hint="default"/>
                <w:sz w:val="21"/>
                <w:szCs w:val="21"/>
                <w:lang w:val="en-US" w:eastAsia="zh-CN"/>
              </w:rPr>
            </w:pPr>
            <w:r>
              <w:rPr>
                <w:rFonts w:hint="eastAsia"/>
                <w:sz w:val="21"/>
                <w:szCs w:val="21"/>
                <w:lang w:val="en-US" w:eastAsia="zh-CN"/>
              </w:rPr>
              <w:t>台</w:t>
            </w:r>
          </w:p>
        </w:tc>
      </w:tr>
      <w:tr w14:paraId="3FAE6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7212C8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34</w:t>
            </w:r>
          </w:p>
        </w:tc>
        <w:tc>
          <w:tcPr>
            <w:tcW w:w="2688" w:type="dxa"/>
            <w:vMerge w:val="continue"/>
            <w:vAlign w:val="center"/>
          </w:tcPr>
          <w:p w14:paraId="2D912829">
            <w:pPr>
              <w:bidi w:val="0"/>
              <w:jc w:val="center"/>
              <w:rPr>
                <w:rFonts w:hint="default"/>
                <w:sz w:val="21"/>
                <w:szCs w:val="21"/>
                <w:lang w:val="en-US" w:eastAsia="zh-CN"/>
              </w:rPr>
            </w:pPr>
          </w:p>
        </w:tc>
        <w:tc>
          <w:tcPr>
            <w:tcW w:w="3212" w:type="dxa"/>
            <w:vAlign w:val="center"/>
          </w:tcPr>
          <w:p w14:paraId="6E232968">
            <w:pPr>
              <w:bidi w:val="0"/>
              <w:jc w:val="center"/>
              <w:rPr>
                <w:rFonts w:hint="default"/>
                <w:sz w:val="21"/>
                <w:szCs w:val="21"/>
                <w:lang w:val="en-US" w:eastAsia="zh-CN"/>
              </w:rPr>
            </w:pPr>
            <w:r>
              <w:rPr>
                <w:rFonts w:hint="eastAsia"/>
                <w:sz w:val="21"/>
                <w:szCs w:val="21"/>
              </w:rPr>
              <w:t>肌电图</w:t>
            </w:r>
          </w:p>
        </w:tc>
        <w:tc>
          <w:tcPr>
            <w:tcW w:w="912" w:type="dxa"/>
            <w:vAlign w:val="center"/>
          </w:tcPr>
          <w:p w14:paraId="159E861A">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99C47AC">
            <w:pPr>
              <w:bidi w:val="0"/>
              <w:jc w:val="center"/>
              <w:rPr>
                <w:rFonts w:hint="default"/>
                <w:sz w:val="21"/>
                <w:szCs w:val="21"/>
                <w:lang w:val="en-US" w:eastAsia="zh-CN"/>
              </w:rPr>
            </w:pPr>
            <w:r>
              <w:rPr>
                <w:rFonts w:hint="eastAsia"/>
                <w:sz w:val="21"/>
                <w:szCs w:val="21"/>
                <w:lang w:val="en-US" w:eastAsia="zh-CN"/>
              </w:rPr>
              <w:t>台</w:t>
            </w:r>
          </w:p>
        </w:tc>
      </w:tr>
      <w:tr w14:paraId="38213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6B0C2E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35</w:t>
            </w:r>
          </w:p>
        </w:tc>
        <w:tc>
          <w:tcPr>
            <w:tcW w:w="2688" w:type="dxa"/>
            <w:vMerge w:val="continue"/>
            <w:vAlign w:val="center"/>
          </w:tcPr>
          <w:p w14:paraId="023D8EFE">
            <w:pPr>
              <w:bidi w:val="0"/>
              <w:jc w:val="center"/>
              <w:rPr>
                <w:rFonts w:hint="default"/>
                <w:sz w:val="21"/>
                <w:szCs w:val="21"/>
                <w:lang w:val="en-US" w:eastAsia="zh-CN"/>
              </w:rPr>
            </w:pPr>
          </w:p>
        </w:tc>
        <w:tc>
          <w:tcPr>
            <w:tcW w:w="3212" w:type="dxa"/>
            <w:vAlign w:val="center"/>
          </w:tcPr>
          <w:p w14:paraId="33DADB03">
            <w:pPr>
              <w:bidi w:val="0"/>
              <w:jc w:val="center"/>
              <w:rPr>
                <w:rFonts w:hint="default"/>
                <w:sz w:val="21"/>
                <w:szCs w:val="21"/>
                <w:lang w:val="en-US" w:eastAsia="zh-CN"/>
              </w:rPr>
            </w:pPr>
            <w:r>
              <w:rPr>
                <w:rFonts w:hint="eastAsia"/>
                <w:sz w:val="21"/>
                <w:szCs w:val="21"/>
              </w:rPr>
              <w:t>肺功能测定仪</w:t>
            </w:r>
          </w:p>
        </w:tc>
        <w:tc>
          <w:tcPr>
            <w:tcW w:w="912" w:type="dxa"/>
            <w:vAlign w:val="center"/>
          </w:tcPr>
          <w:p w14:paraId="25B44F1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3C231E4">
            <w:pPr>
              <w:bidi w:val="0"/>
              <w:jc w:val="center"/>
              <w:rPr>
                <w:rFonts w:hint="default"/>
                <w:sz w:val="21"/>
                <w:szCs w:val="21"/>
                <w:lang w:val="en-US" w:eastAsia="zh-CN"/>
              </w:rPr>
            </w:pPr>
            <w:r>
              <w:rPr>
                <w:rFonts w:hint="eastAsia"/>
                <w:sz w:val="21"/>
                <w:szCs w:val="21"/>
                <w:lang w:val="en-US" w:eastAsia="zh-CN"/>
              </w:rPr>
              <w:t>台</w:t>
            </w:r>
          </w:p>
        </w:tc>
      </w:tr>
      <w:tr w14:paraId="4D0BAE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49D7AC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36</w:t>
            </w:r>
          </w:p>
        </w:tc>
        <w:tc>
          <w:tcPr>
            <w:tcW w:w="2688" w:type="dxa"/>
            <w:vMerge w:val="continue"/>
            <w:vAlign w:val="center"/>
          </w:tcPr>
          <w:p w14:paraId="28BC07AD">
            <w:pPr>
              <w:bidi w:val="0"/>
              <w:jc w:val="center"/>
              <w:rPr>
                <w:rFonts w:hint="default"/>
                <w:sz w:val="21"/>
                <w:szCs w:val="21"/>
                <w:lang w:val="en-US" w:eastAsia="zh-CN"/>
              </w:rPr>
            </w:pPr>
          </w:p>
        </w:tc>
        <w:tc>
          <w:tcPr>
            <w:tcW w:w="3212" w:type="dxa"/>
            <w:vAlign w:val="center"/>
          </w:tcPr>
          <w:p w14:paraId="5BEBCFB7">
            <w:pPr>
              <w:bidi w:val="0"/>
              <w:jc w:val="center"/>
              <w:rPr>
                <w:rFonts w:hint="default"/>
                <w:sz w:val="21"/>
                <w:szCs w:val="21"/>
                <w:lang w:val="en-US" w:eastAsia="zh-CN"/>
              </w:rPr>
            </w:pPr>
            <w:r>
              <w:rPr>
                <w:rFonts w:hint="eastAsia"/>
                <w:sz w:val="21"/>
                <w:szCs w:val="21"/>
              </w:rPr>
              <w:t>骨密度仪</w:t>
            </w:r>
          </w:p>
        </w:tc>
        <w:tc>
          <w:tcPr>
            <w:tcW w:w="912" w:type="dxa"/>
            <w:vAlign w:val="center"/>
          </w:tcPr>
          <w:p w14:paraId="5C1AAA2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E9619D6">
            <w:pPr>
              <w:bidi w:val="0"/>
              <w:jc w:val="center"/>
              <w:rPr>
                <w:rFonts w:hint="default"/>
                <w:sz w:val="21"/>
                <w:szCs w:val="21"/>
                <w:lang w:val="en-US" w:eastAsia="zh-CN"/>
              </w:rPr>
            </w:pPr>
            <w:r>
              <w:rPr>
                <w:rFonts w:hint="eastAsia"/>
                <w:sz w:val="21"/>
                <w:szCs w:val="21"/>
                <w:lang w:val="en-US" w:eastAsia="zh-CN"/>
              </w:rPr>
              <w:t>台</w:t>
            </w:r>
          </w:p>
        </w:tc>
      </w:tr>
      <w:tr w14:paraId="0ADD75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5DA216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37</w:t>
            </w:r>
          </w:p>
        </w:tc>
        <w:tc>
          <w:tcPr>
            <w:tcW w:w="2688" w:type="dxa"/>
            <w:vMerge w:val="restart"/>
            <w:vAlign w:val="center"/>
          </w:tcPr>
          <w:p w14:paraId="5D2CA529">
            <w:pPr>
              <w:bidi w:val="0"/>
              <w:jc w:val="center"/>
              <w:rPr>
                <w:rFonts w:hint="default"/>
                <w:sz w:val="21"/>
                <w:szCs w:val="21"/>
                <w:lang w:val="en-US" w:eastAsia="zh-CN"/>
              </w:rPr>
            </w:pPr>
            <w:r>
              <w:rPr>
                <w:rFonts w:hint="eastAsia"/>
                <w:sz w:val="21"/>
                <w:szCs w:val="21"/>
                <w:lang w:val="en-US" w:eastAsia="zh-CN"/>
              </w:rPr>
              <w:t>手术室设备</w:t>
            </w:r>
          </w:p>
        </w:tc>
        <w:tc>
          <w:tcPr>
            <w:tcW w:w="3212" w:type="dxa"/>
            <w:vAlign w:val="center"/>
          </w:tcPr>
          <w:p w14:paraId="25138C3C">
            <w:pPr>
              <w:bidi w:val="0"/>
              <w:jc w:val="center"/>
              <w:rPr>
                <w:rFonts w:hint="default"/>
                <w:sz w:val="21"/>
                <w:szCs w:val="21"/>
                <w:lang w:val="en-US" w:eastAsia="zh-CN"/>
              </w:rPr>
            </w:pPr>
            <w:r>
              <w:rPr>
                <w:rFonts w:hint="eastAsia"/>
                <w:sz w:val="21"/>
                <w:szCs w:val="21"/>
              </w:rPr>
              <w:t>综合手术床</w:t>
            </w:r>
          </w:p>
        </w:tc>
        <w:tc>
          <w:tcPr>
            <w:tcW w:w="912" w:type="dxa"/>
            <w:vAlign w:val="center"/>
          </w:tcPr>
          <w:p w14:paraId="0281B811">
            <w:pPr>
              <w:bidi w:val="0"/>
              <w:jc w:val="center"/>
              <w:rPr>
                <w:rFonts w:hint="default"/>
                <w:sz w:val="21"/>
                <w:szCs w:val="21"/>
                <w:lang w:val="en-US" w:eastAsia="zh-CN"/>
              </w:rPr>
            </w:pPr>
            <w:r>
              <w:rPr>
                <w:rFonts w:hint="eastAsia"/>
                <w:sz w:val="21"/>
                <w:szCs w:val="21"/>
                <w:lang w:val="en-US" w:eastAsia="zh-CN"/>
              </w:rPr>
              <w:t>12</w:t>
            </w:r>
          </w:p>
        </w:tc>
        <w:tc>
          <w:tcPr>
            <w:tcW w:w="990" w:type="dxa"/>
            <w:vAlign w:val="center"/>
          </w:tcPr>
          <w:p w14:paraId="3BBC1BD5">
            <w:pPr>
              <w:bidi w:val="0"/>
              <w:jc w:val="center"/>
              <w:rPr>
                <w:rFonts w:hint="default"/>
                <w:sz w:val="21"/>
                <w:szCs w:val="21"/>
                <w:lang w:val="en-US" w:eastAsia="zh-CN"/>
              </w:rPr>
            </w:pPr>
            <w:r>
              <w:rPr>
                <w:rFonts w:hint="eastAsia"/>
                <w:sz w:val="21"/>
                <w:szCs w:val="21"/>
                <w:lang w:val="en-US" w:eastAsia="zh-CN"/>
              </w:rPr>
              <w:t>床</w:t>
            </w:r>
          </w:p>
        </w:tc>
      </w:tr>
      <w:tr w14:paraId="31806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F6251A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38</w:t>
            </w:r>
          </w:p>
        </w:tc>
        <w:tc>
          <w:tcPr>
            <w:tcW w:w="2688" w:type="dxa"/>
            <w:vMerge w:val="continue"/>
            <w:vAlign w:val="center"/>
          </w:tcPr>
          <w:p w14:paraId="7F812683">
            <w:pPr>
              <w:bidi w:val="0"/>
              <w:jc w:val="center"/>
              <w:rPr>
                <w:rFonts w:hint="default"/>
                <w:sz w:val="21"/>
                <w:szCs w:val="21"/>
                <w:lang w:val="en-US" w:eastAsia="zh-CN"/>
              </w:rPr>
            </w:pPr>
          </w:p>
        </w:tc>
        <w:tc>
          <w:tcPr>
            <w:tcW w:w="3212" w:type="dxa"/>
            <w:vAlign w:val="center"/>
          </w:tcPr>
          <w:p w14:paraId="078B5CE7">
            <w:pPr>
              <w:bidi w:val="0"/>
              <w:jc w:val="center"/>
              <w:rPr>
                <w:rFonts w:hint="default"/>
                <w:sz w:val="21"/>
                <w:szCs w:val="21"/>
                <w:lang w:val="en-US" w:eastAsia="zh-CN"/>
              </w:rPr>
            </w:pPr>
            <w:r>
              <w:rPr>
                <w:rFonts w:hint="eastAsia"/>
                <w:sz w:val="21"/>
                <w:szCs w:val="21"/>
              </w:rPr>
              <w:t>无影灯</w:t>
            </w:r>
          </w:p>
        </w:tc>
        <w:tc>
          <w:tcPr>
            <w:tcW w:w="912" w:type="dxa"/>
            <w:vAlign w:val="center"/>
          </w:tcPr>
          <w:p w14:paraId="3F3CBDCC">
            <w:pPr>
              <w:bidi w:val="0"/>
              <w:jc w:val="center"/>
              <w:rPr>
                <w:rFonts w:hint="default"/>
                <w:sz w:val="21"/>
                <w:szCs w:val="21"/>
                <w:lang w:val="en-US" w:eastAsia="zh-CN"/>
              </w:rPr>
            </w:pPr>
            <w:r>
              <w:rPr>
                <w:rFonts w:hint="eastAsia"/>
                <w:sz w:val="21"/>
                <w:szCs w:val="21"/>
                <w:lang w:val="en-US" w:eastAsia="zh-CN"/>
              </w:rPr>
              <w:t>12</w:t>
            </w:r>
          </w:p>
        </w:tc>
        <w:tc>
          <w:tcPr>
            <w:tcW w:w="990" w:type="dxa"/>
            <w:vAlign w:val="center"/>
          </w:tcPr>
          <w:p w14:paraId="649FAC2C">
            <w:pPr>
              <w:bidi w:val="0"/>
              <w:jc w:val="center"/>
              <w:rPr>
                <w:rFonts w:hint="default"/>
                <w:sz w:val="21"/>
                <w:szCs w:val="21"/>
                <w:lang w:val="en-US" w:eastAsia="zh-CN"/>
              </w:rPr>
            </w:pPr>
            <w:r>
              <w:rPr>
                <w:rFonts w:hint="eastAsia"/>
                <w:sz w:val="21"/>
                <w:szCs w:val="21"/>
                <w:lang w:val="en-US" w:eastAsia="zh-CN"/>
              </w:rPr>
              <w:t>套</w:t>
            </w:r>
          </w:p>
        </w:tc>
      </w:tr>
      <w:tr w14:paraId="7919F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563C92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39</w:t>
            </w:r>
          </w:p>
        </w:tc>
        <w:tc>
          <w:tcPr>
            <w:tcW w:w="2688" w:type="dxa"/>
            <w:vMerge w:val="continue"/>
            <w:vAlign w:val="center"/>
          </w:tcPr>
          <w:p w14:paraId="1B75BBEB">
            <w:pPr>
              <w:bidi w:val="0"/>
              <w:jc w:val="center"/>
              <w:rPr>
                <w:rFonts w:hint="default"/>
                <w:sz w:val="21"/>
                <w:szCs w:val="21"/>
                <w:lang w:val="en-US" w:eastAsia="zh-CN"/>
              </w:rPr>
            </w:pPr>
          </w:p>
        </w:tc>
        <w:tc>
          <w:tcPr>
            <w:tcW w:w="3212" w:type="dxa"/>
            <w:vAlign w:val="center"/>
          </w:tcPr>
          <w:p w14:paraId="125198FE">
            <w:pPr>
              <w:bidi w:val="0"/>
              <w:jc w:val="center"/>
              <w:rPr>
                <w:rFonts w:hint="default"/>
                <w:sz w:val="21"/>
                <w:szCs w:val="21"/>
                <w:lang w:val="en-US" w:eastAsia="zh-CN"/>
              </w:rPr>
            </w:pPr>
            <w:r>
              <w:rPr>
                <w:rFonts w:hint="eastAsia"/>
                <w:sz w:val="21"/>
                <w:szCs w:val="21"/>
              </w:rPr>
              <w:t>吊塔</w:t>
            </w:r>
          </w:p>
        </w:tc>
        <w:tc>
          <w:tcPr>
            <w:tcW w:w="912" w:type="dxa"/>
            <w:vAlign w:val="center"/>
          </w:tcPr>
          <w:p w14:paraId="32AA4193">
            <w:pPr>
              <w:bidi w:val="0"/>
              <w:jc w:val="center"/>
              <w:rPr>
                <w:rFonts w:hint="default"/>
                <w:sz w:val="21"/>
                <w:szCs w:val="21"/>
                <w:lang w:val="en-US" w:eastAsia="zh-CN"/>
              </w:rPr>
            </w:pPr>
            <w:r>
              <w:rPr>
                <w:rFonts w:hint="eastAsia"/>
                <w:sz w:val="21"/>
                <w:szCs w:val="21"/>
                <w:lang w:val="en-US" w:eastAsia="zh-CN"/>
              </w:rPr>
              <w:t>12</w:t>
            </w:r>
          </w:p>
        </w:tc>
        <w:tc>
          <w:tcPr>
            <w:tcW w:w="990" w:type="dxa"/>
            <w:vAlign w:val="center"/>
          </w:tcPr>
          <w:p w14:paraId="18F8EBCF">
            <w:pPr>
              <w:bidi w:val="0"/>
              <w:jc w:val="center"/>
              <w:rPr>
                <w:rFonts w:hint="default"/>
                <w:sz w:val="21"/>
                <w:szCs w:val="21"/>
                <w:lang w:val="en-US" w:eastAsia="zh-CN"/>
              </w:rPr>
            </w:pPr>
            <w:r>
              <w:rPr>
                <w:rFonts w:hint="eastAsia"/>
                <w:sz w:val="21"/>
                <w:szCs w:val="21"/>
                <w:lang w:val="en-US" w:eastAsia="zh-CN"/>
              </w:rPr>
              <w:t>台</w:t>
            </w:r>
          </w:p>
        </w:tc>
      </w:tr>
      <w:tr w14:paraId="369B9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6BA9A8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2688" w:type="dxa"/>
            <w:vMerge w:val="continue"/>
            <w:vAlign w:val="center"/>
          </w:tcPr>
          <w:p w14:paraId="4D204A07">
            <w:pPr>
              <w:bidi w:val="0"/>
              <w:jc w:val="center"/>
              <w:rPr>
                <w:rFonts w:hint="default"/>
                <w:sz w:val="21"/>
                <w:szCs w:val="21"/>
                <w:lang w:val="en-US" w:eastAsia="zh-CN"/>
              </w:rPr>
            </w:pPr>
          </w:p>
        </w:tc>
        <w:tc>
          <w:tcPr>
            <w:tcW w:w="3212" w:type="dxa"/>
            <w:vAlign w:val="center"/>
          </w:tcPr>
          <w:p w14:paraId="3D600E6A">
            <w:pPr>
              <w:bidi w:val="0"/>
              <w:jc w:val="center"/>
              <w:rPr>
                <w:rFonts w:hint="default"/>
                <w:sz w:val="21"/>
                <w:szCs w:val="21"/>
                <w:lang w:val="en-US" w:eastAsia="zh-CN"/>
              </w:rPr>
            </w:pPr>
            <w:r>
              <w:rPr>
                <w:rFonts w:hint="eastAsia"/>
                <w:sz w:val="21"/>
                <w:szCs w:val="21"/>
              </w:rPr>
              <w:t>微量注射泵</w:t>
            </w:r>
          </w:p>
        </w:tc>
        <w:tc>
          <w:tcPr>
            <w:tcW w:w="912" w:type="dxa"/>
            <w:vAlign w:val="center"/>
          </w:tcPr>
          <w:p w14:paraId="280F269F">
            <w:pPr>
              <w:bidi w:val="0"/>
              <w:jc w:val="center"/>
              <w:rPr>
                <w:rFonts w:hint="default"/>
                <w:sz w:val="21"/>
                <w:szCs w:val="21"/>
                <w:lang w:val="en-US" w:eastAsia="zh-CN"/>
              </w:rPr>
            </w:pPr>
            <w:r>
              <w:rPr>
                <w:rFonts w:hint="eastAsia"/>
                <w:sz w:val="21"/>
                <w:szCs w:val="21"/>
                <w:lang w:val="en-US" w:eastAsia="zh-CN"/>
              </w:rPr>
              <w:t>12</w:t>
            </w:r>
          </w:p>
        </w:tc>
        <w:tc>
          <w:tcPr>
            <w:tcW w:w="990" w:type="dxa"/>
            <w:vAlign w:val="center"/>
          </w:tcPr>
          <w:p w14:paraId="7185BECE">
            <w:pPr>
              <w:bidi w:val="0"/>
              <w:jc w:val="center"/>
              <w:rPr>
                <w:rFonts w:hint="default"/>
                <w:sz w:val="21"/>
                <w:szCs w:val="21"/>
                <w:lang w:val="en-US" w:eastAsia="zh-CN"/>
              </w:rPr>
            </w:pPr>
            <w:r>
              <w:rPr>
                <w:rFonts w:hint="eastAsia"/>
                <w:sz w:val="21"/>
                <w:szCs w:val="21"/>
                <w:lang w:val="en-US" w:eastAsia="zh-CN"/>
              </w:rPr>
              <w:t>台</w:t>
            </w:r>
          </w:p>
        </w:tc>
      </w:tr>
      <w:tr w14:paraId="35105C6B">
        <w:tblPrEx>
          <w:tblCellMar>
            <w:top w:w="0" w:type="dxa"/>
            <w:left w:w="108" w:type="dxa"/>
            <w:bottom w:w="0" w:type="dxa"/>
            <w:right w:w="108" w:type="dxa"/>
          </w:tblCellMar>
        </w:tblPrEx>
        <w:tc>
          <w:tcPr>
            <w:tcW w:w="720" w:type="dxa"/>
            <w:vAlign w:val="center"/>
          </w:tcPr>
          <w:p w14:paraId="7B6F39D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41</w:t>
            </w:r>
          </w:p>
        </w:tc>
        <w:tc>
          <w:tcPr>
            <w:tcW w:w="2688" w:type="dxa"/>
            <w:vMerge w:val="continue"/>
            <w:vAlign w:val="center"/>
          </w:tcPr>
          <w:p w14:paraId="43E67ABB">
            <w:pPr>
              <w:bidi w:val="0"/>
              <w:jc w:val="center"/>
              <w:rPr>
                <w:rFonts w:hint="default"/>
                <w:sz w:val="21"/>
                <w:szCs w:val="21"/>
                <w:lang w:val="en-US" w:eastAsia="zh-CN"/>
              </w:rPr>
            </w:pPr>
          </w:p>
        </w:tc>
        <w:tc>
          <w:tcPr>
            <w:tcW w:w="3212" w:type="dxa"/>
            <w:vAlign w:val="center"/>
          </w:tcPr>
          <w:p w14:paraId="387E9B2B">
            <w:pPr>
              <w:bidi w:val="0"/>
              <w:jc w:val="center"/>
              <w:rPr>
                <w:rFonts w:hint="default"/>
                <w:sz w:val="21"/>
                <w:szCs w:val="21"/>
                <w:lang w:val="en-US" w:eastAsia="zh-CN"/>
              </w:rPr>
            </w:pPr>
            <w:r>
              <w:rPr>
                <w:rFonts w:hint="eastAsia"/>
                <w:sz w:val="21"/>
                <w:szCs w:val="21"/>
              </w:rPr>
              <w:t>麻醉机</w:t>
            </w:r>
          </w:p>
        </w:tc>
        <w:tc>
          <w:tcPr>
            <w:tcW w:w="912" w:type="dxa"/>
            <w:vAlign w:val="center"/>
          </w:tcPr>
          <w:p w14:paraId="02A7E4F9">
            <w:pPr>
              <w:bidi w:val="0"/>
              <w:jc w:val="center"/>
              <w:rPr>
                <w:rFonts w:hint="default"/>
                <w:sz w:val="21"/>
                <w:szCs w:val="21"/>
                <w:lang w:val="en-US" w:eastAsia="zh-CN"/>
              </w:rPr>
            </w:pPr>
            <w:r>
              <w:rPr>
                <w:rFonts w:hint="eastAsia"/>
                <w:sz w:val="21"/>
                <w:szCs w:val="21"/>
                <w:lang w:val="en-US" w:eastAsia="zh-CN"/>
              </w:rPr>
              <w:t>12</w:t>
            </w:r>
          </w:p>
        </w:tc>
        <w:tc>
          <w:tcPr>
            <w:tcW w:w="990" w:type="dxa"/>
            <w:vAlign w:val="center"/>
          </w:tcPr>
          <w:p w14:paraId="1789C38A">
            <w:pPr>
              <w:bidi w:val="0"/>
              <w:jc w:val="center"/>
              <w:rPr>
                <w:rFonts w:hint="default"/>
                <w:sz w:val="21"/>
                <w:szCs w:val="21"/>
                <w:lang w:val="en-US" w:eastAsia="zh-CN"/>
              </w:rPr>
            </w:pPr>
            <w:r>
              <w:rPr>
                <w:rFonts w:hint="eastAsia"/>
                <w:sz w:val="21"/>
                <w:szCs w:val="21"/>
                <w:lang w:val="en-US" w:eastAsia="zh-CN"/>
              </w:rPr>
              <w:t>台</w:t>
            </w:r>
          </w:p>
        </w:tc>
      </w:tr>
      <w:tr w14:paraId="33127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A1CBF1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42</w:t>
            </w:r>
          </w:p>
        </w:tc>
        <w:tc>
          <w:tcPr>
            <w:tcW w:w="2688" w:type="dxa"/>
            <w:vMerge w:val="continue"/>
            <w:vAlign w:val="center"/>
          </w:tcPr>
          <w:p w14:paraId="1CA3E0D2">
            <w:pPr>
              <w:bidi w:val="0"/>
              <w:jc w:val="center"/>
              <w:rPr>
                <w:rFonts w:hint="default"/>
                <w:sz w:val="21"/>
                <w:szCs w:val="21"/>
                <w:lang w:val="en-US" w:eastAsia="zh-CN"/>
              </w:rPr>
            </w:pPr>
          </w:p>
        </w:tc>
        <w:tc>
          <w:tcPr>
            <w:tcW w:w="3212" w:type="dxa"/>
            <w:vAlign w:val="center"/>
          </w:tcPr>
          <w:p w14:paraId="01E673E5">
            <w:pPr>
              <w:bidi w:val="0"/>
              <w:jc w:val="center"/>
              <w:rPr>
                <w:rFonts w:hint="default"/>
                <w:sz w:val="21"/>
                <w:szCs w:val="21"/>
                <w:lang w:val="en-US" w:eastAsia="zh-CN"/>
              </w:rPr>
            </w:pPr>
            <w:r>
              <w:rPr>
                <w:rFonts w:hint="eastAsia"/>
                <w:sz w:val="21"/>
                <w:szCs w:val="21"/>
              </w:rPr>
              <w:t>高频电刀</w:t>
            </w:r>
          </w:p>
        </w:tc>
        <w:tc>
          <w:tcPr>
            <w:tcW w:w="912" w:type="dxa"/>
            <w:vAlign w:val="center"/>
          </w:tcPr>
          <w:p w14:paraId="4D21F834">
            <w:pPr>
              <w:bidi w:val="0"/>
              <w:jc w:val="center"/>
              <w:rPr>
                <w:rFonts w:hint="default"/>
                <w:sz w:val="21"/>
                <w:szCs w:val="21"/>
                <w:lang w:val="en-US" w:eastAsia="zh-CN"/>
              </w:rPr>
            </w:pPr>
            <w:r>
              <w:rPr>
                <w:rFonts w:hint="eastAsia"/>
                <w:sz w:val="21"/>
                <w:szCs w:val="21"/>
                <w:lang w:val="en-US" w:eastAsia="zh-CN"/>
              </w:rPr>
              <w:t>10</w:t>
            </w:r>
          </w:p>
        </w:tc>
        <w:tc>
          <w:tcPr>
            <w:tcW w:w="990" w:type="dxa"/>
            <w:vAlign w:val="center"/>
          </w:tcPr>
          <w:p w14:paraId="5B1F5459">
            <w:pPr>
              <w:bidi w:val="0"/>
              <w:jc w:val="center"/>
              <w:rPr>
                <w:rFonts w:hint="default"/>
                <w:sz w:val="21"/>
                <w:szCs w:val="21"/>
                <w:lang w:val="en-US" w:eastAsia="zh-CN"/>
              </w:rPr>
            </w:pPr>
            <w:r>
              <w:rPr>
                <w:rFonts w:hint="eastAsia"/>
                <w:sz w:val="21"/>
                <w:szCs w:val="21"/>
                <w:lang w:val="en-US" w:eastAsia="zh-CN"/>
              </w:rPr>
              <w:t>支</w:t>
            </w:r>
          </w:p>
        </w:tc>
      </w:tr>
      <w:tr w14:paraId="224F6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F25597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43</w:t>
            </w:r>
          </w:p>
        </w:tc>
        <w:tc>
          <w:tcPr>
            <w:tcW w:w="2688" w:type="dxa"/>
            <w:vMerge w:val="continue"/>
            <w:vAlign w:val="center"/>
          </w:tcPr>
          <w:p w14:paraId="79B03E4E">
            <w:pPr>
              <w:bidi w:val="0"/>
              <w:jc w:val="center"/>
              <w:rPr>
                <w:rFonts w:hint="default"/>
                <w:sz w:val="21"/>
                <w:szCs w:val="21"/>
                <w:lang w:val="en-US" w:eastAsia="zh-CN"/>
              </w:rPr>
            </w:pPr>
          </w:p>
        </w:tc>
        <w:tc>
          <w:tcPr>
            <w:tcW w:w="3212" w:type="dxa"/>
            <w:vAlign w:val="center"/>
          </w:tcPr>
          <w:p w14:paraId="2D09AC7C">
            <w:pPr>
              <w:bidi w:val="0"/>
              <w:jc w:val="center"/>
              <w:rPr>
                <w:rFonts w:hint="default"/>
                <w:sz w:val="21"/>
                <w:szCs w:val="21"/>
                <w:lang w:val="en-US" w:eastAsia="zh-CN"/>
              </w:rPr>
            </w:pPr>
            <w:r>
              <w:rPr>
                <w:rFonts w:hint="eastAsia"/>
                <w:sz w:val="21"/>
                <w:szCs w:val="21"/>
              </w:rPr>
              <w:t>超声吸引刀</w:t>
            </w:r>
          </w:p>
        </w:tc>
        <w:tc>
          <w:tcPr>
            <w:tcW w:w="912" w:type="dxa"/>
            <w:vAlign w:val="center"/>
          </w:tcPr>
          <w:p w14:paraId="1D14FAB5">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AAEC568">
            <w:pPr>
              <w:bidi w:val="0"/>
              <w:jc w:val="center"/>
              <w:rPr>
                <w:rFonts w:hint="default"/>
                <w:sz w:val="21"/>
                <w:szCs w:val="21"/>
                <w:lang w:val="en-US" w:eastAsia="zh-CN"/>
              </w:rPr>
            </w:pPr>
            <w:r>
              <w:rPr>
                <w:rFonts w:hint="eastAsia"/>
                <w:sz w:val="21"/>
                <w:szCs w:val="21"/>
                <w:lang w:val="en-US" w:eastAsia="zh-CN"/>
              </w:rPr>
              <w:t>支</w:t>
            </w:r>
          </w:p>
        </w:tc>
      </w:tr>
      <w:tr w14:paraId="64A866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5939FA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44</w:t>
            </w:r>
          </w:p>
        </w:tc>
        <w:tc>
          <w:tcPr>
            <w:tcW w:w="2688" w:type="dxa"/>
            <w:vMerge w:val="continue"/>
            <w:vAlign w:val="center"/>
          </w:tcPr>
          <w:p w14:paraId="0A8D2F7D">
            <w:pPr>
              <w:bidi w:val="0"/>
              <w:jc w:val="center"/>
              <w:rPr>
                <w:rFonts w:hint="default"/>
                <w:sz w:val="21"/>
                <w:szCs w:val="21"/>
                <w:lang w:val="en-US" w:eastAsia="zh-CN"/>
              </w:rPr>
            </w:pPr>
          </w:p>
        </w:tc>
        <w:tc>
          <w:tcPr>
            <w:tcW w:w="3212" w:type="dxa"/>
            <w:vAlign w:val="center"/>
          </w:tcPr>
          <w:p w14:paraId="43DED3DB">
            <w:pPr>
              <w:bidi w:val="0"/>
              <w:jc w:val="center"/>
              <w:rPr>
                <w:rFonts w:hint="default"/>
                <w:sz w:val="21"/>
                <w:szCs w:val="21"/>
                <w:lang w:val="en-US" w:eastAsia="zh-CN"/>
              </w:rPr>
            </w:pPr>
            <w:r>
              <w:rPr>
                <w:rFonts w:hint="eastAsia"/>
                <w:sz w:val="21"/>
                <w:szCs w:val="21"/>
              </w:rPr>
              <w:t>双极电凝器:</w:t>
            </w:r>
          </w:p>
        </w:tc>
        <w:tc>
          <w:tcPr>
            <w:tcW w:w="912" w:type="dxa"/>
            <w:vAlign w:val="center"/>
          </w:tcPr>
          <w:p w14:paraId="6DC20E76">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78D0BDBA">
            <w:pPr>
              <w:bidi w:val="0"/>
              <w:jc w:val="center"/>
              <w:rPr>
                <w:rFonts w:hint="default"/>
                <w:sz w:val="21"/>
                <w:szCs w:val="21"/>
                <w:lang w:val="en-US" w:eastAsia="zh-CN"/>
              </w:rPr>
            </w:pPr>
            <w:r>
              <w:rPr>
                <w:rFonts w:hint="eastAsia"/>
                <w:sz w:val="21"/>
                <w:szCs w:val="21"/>
                <w:lang w:val="en-US" w:eastAsia="zh-CN"/>
              </w:rPr>
              <w:t>台</w:t>
            </w:r>
          </w:p>
        </w:tc>
      </w:tr>
      <w:tr w14:paraId="64BEC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67B5F2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45</w:t>
            </w:r>
          </w:p>
        </w:tc>
        <w:tc>
          <w:tcPr>
            <w:tcW w:w="2688" w:type="dxa"/>
            <w:vMerge w:val="continue"/>
            <w:vAlign w:val="center"/>
          </w:tcPr>
          <w:p w14:paraId="0745A601">
            <w:pPr>
              <w:bidi w:val="0"/>
              <w:jc w:val="center"/>
              <w:rPr>
                <w:rFonts w:hint="default"/>
                <w:sz w:val="21"/>
                <w:szCs w:val="21"/>
                <w:lang w:val="en-US" w:eastAsia="zh-CN"/>
              </w:rPr>
            </w:pPr>
          </w:p>
        </w:tc>
        <w:tc>
          <w:tcPr>
            <w:tcW w:w="3212" w:type="dxa"/>
            <w:vAlign w:val="center"/>
          </w:tcPr>
          <w:p w14:paraId="645495DE">
            <w:pPr>
              <w:bidi w:val="0"/>
              <w:jc w:val="center"/>
              <w:rPr>
                <w:rFonts w:hint="default"/>
                <w:sz w:val="21"/>
                <w:szCs w:val="21"/>
                <w:lang w:val="en-US" w:eastAsia="zh-CN"/>
              </w:rPr>
            </w:pPr>
            <w:r>
              <w:rPr>
                <w:rFonts w:hint="eastAsia"/>
                <w:sz w:val="21"/>
                <w:szCs w:val="21"/>
              </w:rPr>
              <w:t>电外科工作站</w:t>
            </w:r>
          </w:p>
        </w:tc>
        <w:tc>
          <w:tcPr>
            <w:tcW w:w="912" w:type="dxa"/>
            <w:vAlign w:val="center"/>
          </w:tcPr>
          <w:p w14:paraId="69C08681">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30246482">
            <w:pPr>
              <w:bidi w:val="0"/>
              <w:jc w:val="center"/>
              <w:rPr>
                <w:rFonts w:hint="default"/>
                <w:sz w:val="21"/>
                <w:szCs w:val="21"/>
                <w:lang w:val="en-US" w:eastAsia="zh-CN"/>
              </w:rPr>
            </w:pPr>
            <w:r>
              <w:rPr>
                <w:rFonts w:hint="eastAsia"/>
                <w:sz w:val="21"/>
                <w:szCs w:val="21"/>
                <w:lang w:val="en-US" w:eastAsia="zh-CN"/>
              </w:rPr>
              <w:t>台</w:t>
            </w:r>
          </w:p>
        </w:tc>
      </w:tr>
      <w:tr w14:paraId="069A0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1C287A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46</w:t>
            </w:r>
          </w:p>
        </w:tc>
        <w:tc>
          <w:tcPr>
            <w:tcW w:w="2688" w:type="dxa"/>
            <w:vMerge w:val="continue"/>
            <w:vAlign w:val="center"/>
          </w:tcPr>
          <w:p w14:paraId="25445FF0">
            <w:pPr>
              <w:bidi w:val="0"/>
              <w:jc w:val="center"/>
              <w:rPr>
                <w:rFonts w:hint="default"/>
                <w:sz w:val="21"/>
                <w:szCs w:val="21"/>
                <w:lang w:val="en-US" w:eastAsia="zh-CN"/>
              </w:rPr>
            </w:pPr>
          </w:p>
        </w:tc>
        <w:tc>
          <w:tcPr>
            <w:tcW w:w="3212" w:type="dxa"/>
            <w:vAlign w:val="center"/>
          </w:tcPr>
          <w:p w14:paraId="2F0702D2">
            <w:pPr>
              <w:bidi w:val="0"/>
              <w:jc w:val="center"/>
              <w:rPr>
                <w:rFonts w:hint="default"/>
                <w:sz w:val="21"/>
                <w:szCs w:val="21"/>
                <w:lang w:val="en-US" w:eastAsia="zh-CN"/>
              </w:rPr>
            </w:pPr>
            <w:r>
              <w:rPr>
                <w:rFonts w:hint="eastAsia"/>
                <w:sz w:val="21"/>
                <w:szCs w:val="21"/>
              </w:rPr>
              <w:t>电生理监测仪</w:t>
            </w:r>
          </w:p>
        </w:tc>
        <w:tc>
          <w:tcPr>
            <w:tcW w:w="912" w:type="dxa"/>
            <w:vAlign w:val="center"/>
          </w:tcPr>
          <w:p w14:paraId="383F621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316CCEC">
            <w:pPr>
              <w:bidi w:val="0"/>
              <w:jc w:val="center"/>
              <w:rPr>
                <w:rFonts w:hint="default"/>
                <w:sz w:val="21"/>
                <w:szCs w:val="21"/>
                <w:lang w:val="en-US" w:eastAsia="zh-CN"/>
              </w:rPr>
            </w:pPr>
            <w:r>
              <w:rPr>
                <w:rFonts w:hint="eastAsia"/>
                <w:sz w:val="21"/>
                <w:szCs w:val="21"/>
                <w:lang w:val="en-US" w:eastAsia="zh-CN"/>
              </w:rPr>
              <w:t>台</w:t>
            </w:r>
          </w:p>
        </w:tc>
      </w:tr>
      <w:tr w14:paraId="4D7C6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329E53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47</w:t>
            </w:r>
          </w:p>
        </w:tc>
        <w:tc>
          <w:tcPr>
            <w:tcW w:w="2688" w:type="dxa"/>
            <w:vMerge w:val="continue"/>
            <w:vAlign w:val="center"/>
          </w:tcPr>
          <w:p w14:paraId="25D2038C">
            <w:pPr>
              <w:bidi w:val="0"/>
              <w:jc w:val="center"/>
              <w:rPr>
                <w:rFonts w:hint="default"/>
                <w:sz w:val="21"/>
                <w:szCs w:val="21"/>
                <w:lang w:val="en-US" w:eastAsia="zh-CN"/>
              </w:rPr>
            </w:pPr>
          </w:p>
        </w:tc>
        <w:tc>
          <w:tcPr>
            <w:tcW w:w="3212" w:type="dxa"/>
            <w:vAlign w:val="center"/>
          </w:tcPr>
          <w:p w14:paraId="698E1DC3">
            <w:pPr>
              <w:bidi w:val="0"/>
              <w:jc w:val="center"/>
              <w:rPr>
                <w:rFonts w:hint="default"/>
                <w:sz w:val="21"/>
                <w:szCs w:val="21"/>
                <w:lang w:val="en-US" w:eastAsia="zh-CN"/>
              </w:rPr>
            </w:pPr>
            <w:r>
              <w:rPr>
                <w:rFonts w:hint="eastAsia"/>
                <w:sz w:val="21"/>
                <w:szCs w:val="21"/>
              </w:rPr>
              <w:t>低温灭菌器</w:t>
            </w:r>
          </w:p>
        </w:tc>
        <w:tc>
          <w:tcPr>
            <w:tcW w:w="912" w:type="dxa"/>
            <w:vAlign w:val="center"/>
          </w:tcPr>
          <w:p w14:paraId="09FC574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0E8E6B8">
            <w:pPr>
              <w:bidi w:val="0"/>
              <w:jc w:val="center"/>
              <w:rPr>
                <w:rFonts w:hint="default"/>
                <w:sz w:val="21"/>
                <w:szCs w:val="21"/>
                <w:lang w:val="en-US" w:eastAsia="zh-CN"/>
              </w:rPr>
            </w:pPr>
            <w:r>
              <w:rPr>
                <w:rFonts w:hint="eastAsia"/>
                <w:sz w:val="21"/>
                <w:szCs w:val="21"/>
                <w:lang w:val="en-US" w:eastAsia="zh-CN"/>
              </w:rPr>
              <w:t>台</w:t>
            </w:r>
          </w:p>
        </w:tc>
      </w:tr>
      <w:tr w14:paraId="460B0F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6D4B5D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2688" w:type="dxa"/>
            <w:vMerge w:val="continue"/>
            <w:vAlign w:val="center"/>
          </w:tcPr>
          <w:p w14:paraId="703CAAF8">
            <w:pPr>
              <w:bidi w:val="0"/>
              <w:jc w:val="center"/>
              <w:rPr>
                <w:rFonts w:hint="default"/>
                <w:sz w:val="21"/>
                <w:szCs w:val="21"/>
                <w:lang w:val="en-US" w:eastAsia="zh-CN"/>
              </w:rPr>
            </w:pPr>
          </w:p>
        </w:tc>
        <w:tc>
          <w:tcPr>
            <w:tcW w:w="3212" w:type="dxa"/>
            <w:vAlign w:val="center"/>
          </w:tcPr>
          <w:p w14:paraId="4BF89523">
            <w:pPr>
              <w:bidi w:val="0"/>
              <w:jc w:val="center"/>
              <w:rPr>
                <w:rFonts w:hint="default"/>
                <w:sz w:val="21"/>
                <w:szCs w:val="21"/>
                <w:lang w:val="en-US" w:eastAsia="zh-CN"/>
              </w:rPr>
            </w:pPr>
            <w:r>
              <w:rPr>
                <w:rFonts w:hint="eastAsia"/>
                <w:sz w:val="21"/>
                <w:szCs w:val="21"/>
              </w:rPr>
              <w:t>胆道镜系统</w:t>
            </w:r>
          </w:p>
        </w:tc>
        <w:tc>
          <w:tcPr>
            <w:tcW w:w="912" w:type="dxa"/>
            <w:vAlign w:val="center"/>
          </w:tcPr>
          <w:p w14:paraId="1A1E5790">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460E832">
            <w:pPr>
              <w:bidi w:val="0"/>
              <w:jc w:val="center"/>
              <w:rPr>
                <w:rFonts w:hint="default"/>
                <w:sz w:val="21"/>
                <w:szCs w:val="21"/>
                <w:lang w:val="en-US" w:eastAsia="zh-CN"/>
              </w:rPr>
            </w:pPr>
            <w:r>
              <w:rPr>
                <w:rFonts w:hint="eastAsia"/>
                <w:sz w:val="21"/>
                <w:szCs w:val="21"/>
                <w:lang w:val="en-US" w:eastAsia="zh-CN"/>
              </w:rPr>
              <w:t>台</w:t>
            </w:r>
          </w:p>
        </w:tc>
      </w:tr>
      <w:tr w14:paraId="358E0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4D49A9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49</w:t>
            </w:r>
          </w:p>
        </w:tc>
        <w:tc>
          <w:tcPr>
            <w:tcW w:w="2688" w:type="dxa"/>
            <w:vMerge w:val="continue"/>
            <w:vAlign w:val="center"/>
          </w:tcPr>
          <w:p w14:paraId="366B2617">
            <w:pPr>
              <w:bidi w:val="0"/>
              <w:jc w:val="center"/>
              <w:rPr>
                <w:rFonts w:hint="default"/>
                <w:sz w:val="21"/>
                <w:szCs w:val="21"/>
                <w:lang w:val="en-US" w:eastAsia="zh-CN"/>
              </w:rPr>
            </w:pPr>
          </w:p>
        </w:tc>
        <w:tc>
          <w:tcPr>
            <w:tcW w:w="3212" w:type="dxa"/>
            <w:vAlign w:val="center"/>
          </w:tcPr>
          <w:p w14:paraId="22571242">
            <w:pPr>
              <w:bidi w:val="0"/>
              <w:jc w:val="center"/>
              <w:rPr>
                <w:rFonts w:hint="default"/>
                <w:sz w:val="21"/>
                <w:szCs w:val="21"/>
                <w:lang w:val="en-US" w:eastAsia="zh-CN"/>
              </w:rPr>
            </w:pPr>
            <w:r>
              <w:rPr>
                <w:rFonts w:hint="eastAsia"/>
                <w:sz w:val="21"/>
                <w:szCs w:val="21"/>
              </w:rPr>
              <w:t>除颤器</w:t>
            </w:r>
          </w:p>
        </w:tc>
        <w:tc>
          <w:tcPr>
            <w:tcW w:w="912" w:type="dxa"/>
            <w:vAlign w:val="center"/>
          </w:tcPr>
          <w:p w14:paraId="5D7CD48F">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25E4918E">
            <w:pPr>
              <w:bidi w:val="0"/>
              <w:jc w:val="center"/>
              <w:rPr>
                <w:rFonts w:hint="default"/>
                <w:sz w:val="21"/>
                <w:szCs w:val="21"/>
                <w:lang w:val="en-US" w:eastAsia="zh-CN"/>
              </w:rPr>
            </w:pPr>
            <w:r>
              <w:rPr>
                <w:rFonts w:hint="eastAsia"/>
                <w:sz w:val="21"/>
                <w:szCs w:val="21"/>
                <w:lang w:val="en-US" w:eastAsia="zh-CN"/>
              </w:rPr>
              <w:t>台</w:t>
            </w:r>
          </w:p>
        </w:tc>
      </w:tr>
      <w:tr w14:paraId="2FFD9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2E0467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2688" w:type="dxa"/>
            <w:vMerge w:val="continue"/>
            <w:vAlign w:val="center"/>
          </w:tcPr>
          <w:p w14:paraId="43ADB9DB">
            <w:pPr>
              <w:bidi w:val="0"/>
              <w:jc w:val="center"/>
              <w:rPr>
                <w:rFonts w:hint="default"/>
                <w:sz w:val="21"/>
                <w:szCs w:val="21"/>
                <w:lang w:val="en-US" w:eastAsia="zh-CN"/>
              </w:rPr>
            </w:pPr>
          </w:p>
        </w:tc>
        <w:tc>
          <w:tcPr>
            <w:tcW w:w="3212" w:type="dxa"/>
            <w:vAlign w:val="center"/>
          </w:tcPr>
          <w:p w14:paraId="6029294D">
            <w:pPr>
              <w:bidi w:val="0"/>
              <w:jc w:val="center"/>
              <w:rPr>
                <w:rFonts w:hint="default"/>
                <w:sz w:val="21"/>
                <w:szCs w:val="21"/>
                <w:lang w:val="en-US" w:eastAsia="zh-CN"/>
              </w:rPr>
            </w:pPr>
            <w:r>
              <w:rPr>
                <w:rFonts w:hint="eastAsia"/>
                <w:sz w:val="21"/>
                <w:szCs w:val="21"/>
              </w:rPr>
              <w:t>便携式呼吸机</w:t>
            </w:r>
          </w:p>
        </w:tc>
        <w:tc>
          <w:tcPr>
            <w:tcW w:w="912" w:type="dxa"/>
            <w:vAlign w:val="center"/>
          </w:tcPr>
          <w:p w14:paraId="3D5169CA">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7258F3F">
            <w:pPr>
              <w:bidi w:val="0"/>
              <w:jc w:val="center"/>
              <w:rPr>
                <w:rFonts w:hint="default"/>
                <w:sz w:val="21"/>
                <w:szCs w:val="21"/>
                <w:lang w:val="en-US" w:eastAsia="zh-CN"/>
              </w:rPr>
            </w:pPr>
            <w:r>
              <w:rPr>
                <w:rFonts w:hint="eastAsia"/>
                <w:sz w:val="21"/>
                <w:szCs w:val="21"/>
                <w:lang w:val="en-US" w:eastAsia="zh-CN"/>
              </w:rPr>
              <w:t>台</w:t>
            </w:r>
          </w:p>
        </w:tc>
      </w:tr>
      <w:tr w14:paraId="2FE8C4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8DEDA5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51</w:t>
            </w:r>
          </w:p>
        </w:tc>
        <w:tc>
          <w:tcPr>
            <w:tcW w:w="2688" w:type="dxa"/>
            <w:vMerge w:val="continue"/>
            <w:vAlign w:val="center"/>
          </w:tcPr>
          <w:p w14:paraId="160A73B5">
            <w:pPr>
              <w:bidi w:val="0"/>
              <w:jc w:val="center"/>
              <w:rPr>
                <w:rFonts w:hint="default"/>
                <w:sz w:val="21"/>
                <w:szCs w:val="21"/>
                <w:lang w:val="en-US" w:eastAsia="zh-CN"/>
              </w:rPr>
            </w:pPr>
          </w:p>
        </w:tc>
        <w:tc>
          <w:tcPr>
            <w:tcW w:w="3212" w:type="dxa"/>
            <w:vAlign w:val="center"/>
          </w:tcPr>
          <w:p w14:paraId="24FB9A57">
            <w:pPr>
              <w:bidi w:val="0"/>
              <w:jc w:val="center"/>
              <w:rPr>
                <w:rFonts w:hint="default"/>
                <w:sz w:val="21"/>
                <w:szCs w:val="21"/>
                <w:lang w:val="en-US" w:eastAsia="zh-CN"/>
              </w:rPr>
            </w:pPr>
            <w:r>
              <w:rPr>
                <w:rFonts w:hint="eastAsia"/>
                <w:sz w:val="21"/>
                <w:szCs w:val="21"/>
              </w:rPr>
              <w:t>多参数监护仪</w:t>
            </w:r>
          </w:p>
        </w:tc>
        <w:tc>
          <w:tcPr>
            <w:tcW w:w="912" w:type="dxa"/>
            <w:vAlign w:val="center"/>
          </w:tcPr>
          <w:p w14:paraId="3BC7693E">
            <w:pPr>
              <w:bidi w:val="0"/>
              <w:jc w:val="center"/>
              <w:rPr>
                <w:rFonts w:hint="default"/>
                <w:sz w:val="21"/>
                <w:szCs w:val="21"/>
                <w:lang w:val="en-US" w:eastAsia="zh-CN"/>
              </w:rPr>
            </w:pPr>
            <w:r>
              <w:rPr>
                <w:rFonts w:hint="eastAsia"/>
                <w:sz w:val="21"/>
                <w:szCs w:val="21"/>
                <w:lang w:val="en-US" w:eastAsia="zh-CN"/>
              </w:rPr>
              <w:t>8</w:t>
            </w:r>
          </w:p>
        </w:tc>
        <w:tc>
          <w:tcPr>
            <w:tcW w:w="990" w:type="dxa"/>
            <w:vAlign w:val="center"/>
          </w:tcPr>
          <w:p w14:paraId="4C30B6AD">
            <w:pPr>
              <w:bidi w:val="0"/>
              <w:jc w:val="center"/>
              <w:rPr>
                <w:rFonts w:hint="default"/>
                <w:sz w:val="21"/>
                <w:szCs w:val="21"/>
                <w:lang w:val="en-US" w:eastAsia="zh-CN"/>
              </w:rPr>
            </w:pPr>
            <w:r>
              <w:rPr>
                <w:rFonts w:hint="eastAsia"/>
                <w:sz w:val="21"/>
                <w:szCs w:val="21"/>
                <w:lang w:val="en-US" w:eastAsia="zh-CN"/>
              </w:rPr>
              <w:t>台</w:t>
            </w:r>
          </w:p>
        </w:tc>
      </w:tr>
      <w:tr w14:paraId="6755A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7877E6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2688" w:type="dxa"/>
            <w:vMerge w:val="continue"/>
            <w:vAlign w:val="center"/>
          </w:tcPr>
          <w:p w14:paraId="5DFFE37F">
            <w:pPr>
              <w:bidi w:val="0"/>
              <w:jc w:val="center"/>
              <w:rPr>
                <w:rFonts w:hint="default"/>
                <w:sz w:val="21"/>
                <w:szCs w:val="21"/>
                <w:lang w:val="en-US" w:eastAsia="zh-CN"/>
              </w:rPr>
            </w:pPr>
          </w:p>
        </w:tc>
        <w:tc>
          <w:tcPr>
            <w:tcW w:w="3212" w:type="dxa"/>
            <w:vAlign w:val="center"/>
          </w:tcPr>
          <w:p w14:paraId="4A68A539">
            <w:pPr>
              <w:bidi w:val="0"/>
              <w:jc w:val="center"/>
              <w:rPr>
                <w:rFonts w:hint="default"/>
                <w:sz w:val="21"/>
                <w:szCs w:val="21"/>
                <w:lang w:val="en-US" w:eastAsia="zh-CN"/>
              </w:rPr>
            </w:pPr>
            <w:r>
              <w:rPr>
                <w:rFonts w:hint="eastAsia"/>
                <w:sz w:val="21"/>
                <w:szCs w:val="21"/>
              </w:rPr>
              <w:t>手术器械</w:t>
            </w:r>
          </w:p>
        </w:tc>
        <w:tc>
          <w:tcPr>
            <w:tcW w:w="912" w:type="dxa"/>
            <w:vAlign w:val="center"/>
          </w:tcPr>
          <w:p w14:paraId="70850069">
            <w:pPr>
              <w:bidi w:val="0"/>
              <w:jc w:val="center"/>
              <w:rPr>
                <w:rFonts w:hint="default"/>
                <w:sz w:val="21"/>
                <w:szCs w:val="21"/>
                <w:lang w:val="en-US" w:eastAsia="zh-CN"/>
              </w:rPr>
            </w:pPr>
            <w:r>
              <w:rPr>
                <w:rFonts w:hint="eastAsia"/>
                <w:sz w:val="21"/>
                <w:szCs w:val="21"/>
                <w:lang w:val="en-US" w:eastAsia="zh-CN"/>
              </w:rPr>
              <w:t>若干</w:t>
            </w:r>
          </w:p>
        </w:tc>
        <w:tc>
          <w:tcPr>
            <w:tcW w:w="990" w:type="dxa"/>
            <w:vAlign w:val="center"/>
          </w:tcPr>
          <w:p w14:paraId="7D3C283A">
            <w:pPr>
              <w:bidi w:val="0"/>
              <w:jc w:val="center"/>
              <w:rPr>
                <w:rFonts w:hint="default"/>
                <w:sz w:val="21"/>
                <w:szCs w:val="21"/>
                <w:lang w:val="en-US" w:eastAsia="zh-CN"/>
              </w:rPr>
            </w:pPr>
            <w:r>
              <w:rPr>
                <w:rFonts w:hint="eastAsia"/>
                <w:sz w:val="21"/>
                <w:szCs w:val="21"/>
                <w:lang w:val="en-US" w:eastAsia="zh-CN"/>
              </w:rPr>
              <w:t>台</w:t>
            </w:r>
          </w:p>
        </w:tc>
      </w:tr>
      <w:tr w14:paraId="6549E5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45E946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53</w:t>
            </w:r>
          </w:p>
        </w:tc>
        <w:tc>
          <w:tcPr>
            <w:tcW w:w="2688" w:type="dxa"/>
            <w:vMerge w:val="continue"/>
            <w:vAlign w:val="center"/>
          </w:tcPr>
          <w:p w14:paraId="7FA18191">
            <w:pPr>
              <w:bidi w:val="0"/>
              <w:jc w:val="center"/>
              <w:rPr>
                <w:rFonts w:hint="default"/>
                <w:sz w:val="21"/>
                <w:szCs w:val="21"/>
                <w:lang w:val="en-US" w:eastAsia="zh-CN"/>
              </w:rPr>
            </w:pPr>
          </w:p>
        </w:tc>
        <w:tc>
          <w:tcPr>
            <w:tcW w:w="3212" w:type="dxa"/>
            <w:vAlign w:val="center"/>
          </w:tcPr>
          <w:p w14:paraId="2FF5FDC4">
            <w:pPr>
              <w:bidi w:val="0"/>
              <w:jc w:val="center"/>
              <w:rPr>
                <w:rFonts w:hint="default"/>
                <w:sz w:val="21"/>
                <w:szCs w:val="21"/>
                <w:lang w:val="en-US" w:eastAsia="zh-CN"/>
              </w:rPr>
            </w:pPr>
            <w:r>
              <w:rPr>
                <w:rFonts w:hint="eastAsia"/>
                <w:sz w:val="21"/>
                <w:szCs w:val="21"/>
              </w:rPr>
              <w:t>显微外科设备</w:t>
            </w:r>
          </w:p>
        </w:tc>
        <w:tc>
          <w:tcPr>
            <w:tcW w:w="912" w:type="dxa"/>
            <w:vAlign w:val="center"/>
          </w:tcPr>
          <w:p w14:paraId="7266F931">
            <w:pPr>
              <w:bidi w:val="0"/>
              <w:jc w:val="center"/>
              <w:rPr>
                <w:rFonts w:hint="default"/>
                <w:sz w:val="21"/>
                <w:szCs w:val="21"/>
                <w:lang w:val="en-US" w:eastAsia="zh-CN"/>
              </w:rPr>
            </w:pPr>
            <w:r>
              <w:rPr>
                <w:rFonts w:hint="eastAsia"/>
                <w:sz w:val="21"/>
                <w:szCs w:val="21"/>
                <w:lang w:val="en-US" w:eastAsia="zh-CN"/>
              </w:rPr>
              <w:t>20</w:t>
            </w:r>
          </w:p>
        </w:tc>
        <w:tc>
          <w:tcPr>
            <w:tcW w:w="990" w:type="dxa"/>
            <w:vAlign w:val="center"/>
          </w:tcPr>
          <w:p w14:paraId="7A61A282">
            <w:pPr>
              <w:bidi w:val="0"/>
              <w:jc w:val="center"/>
              <w:rPr>
                <w:rFonts w:hint="default"/>
                <w:sz w:val="21"/>
                <w:szCs w:val="21"/>
                <w:lang w:val="en-US" w:eastAsia="zh-CN"/>
              </w:rPr>
            </w:pPr>
            <w:r>
              <w:rPr>
                <w:rFonts w:hint="eastAsia"/>
                <w:sz w:val="21"/>
                <w:szCs w:val="21"/>
                <w:lang w:val="en-US" w:eastAsia="zh-CN"/>
              </w:rPr>
              <w:t>台</w:t>
            </w:r>
          </w:p>
        </w:tc>
      </w:tr>
      <w:tr w14:paraId="5C6C8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B025DF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54</w:t>
            </w:r>
          </w:p>
        </w:tc>
        <w:tc>
          <w:tcPr>
            <w:tcW w:w="2688" w:type="dxa"/>
            <w:vMerge w:val="restart"/>
            <w:vAlign w:val="center"/>
          </w:tcPr>
          <w:p w14:paraId="352456E0">
            <w:pPr>
              <w:bidi w:val="0"/>
              <w:jc w:val="center"/>
              <w:rPr>
                <w:rFonts w:hint="default"/>
                <w:sz w:val="21"/>
                <w:szCs w:val="21"/>
                <w:lang w:val="en-US" w:eastAsia="zh-CN"/>
              </w:rPr>
            </w:pPr>
            <w:r>
              <w:rPr>
                <w:rFonts w:hint="eastAsia"/>
                <w:sz w:val="21"/>
                <w:szCs w:val="21"/>
                <w:lang w:val="en-US" w:eastAsia="zh-CN"/>
              </w:rPr>
              <w:t>急救、监护设备</w:t>
            </w:r>
          </w:p>
        </w:tc>
        <w:tc>
          <w:tcPr>
            <w:tcW w:w="3212" w:type="dxa"/>
            <w:vAlign w:val="center"/>
          </w:tcPr>
          <w:p w14:paraId="5BBC24C7">
            <w:pPr>
              <w:bidi w:val="0"/>
              <w:jc w:val="center"/>
              <w:rPr>
                <w:rFonts w:hint="default"/>
                <w:sz w:val="21"/>
                <w:szCs w:val="21"/>
                <w:lang w:val="en-US" w:eastAsia="zh-CN"/>
              </w:rPr>
            </w:pPr>
            <w:r>
              <w:rPr>
                <w:rFonts w:hint="eastAsia"/>
                <w:sz w:val="21"/>
                <w:szCs w:val="21"/>
                <w:lang w:val="en-US" w:eastAsia="zh-CN"/>
              </w:rPr>
              <w:t>除颤器</w:t>
            </w:r>
          </w:p>
        </w:tc>
        <w:tc>
          <w:tcPr>
            <w:tcW w:w="912" w:type="dxa"/>
            <w:vAlign w:val="center"/>
          </w:tcPr>
          <w:p w14:paraId="6C6E9FF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46D3DE3">
            <w:pPr>
              <w:bidi w:val="0"/>
              <w:jc w:val="center"/>
              <w:rPr>
                <w:rFonts w:hint="default"/>
                <w:sz w:val="21"/>
                <w:szCs w:val="21"/>
                <w:lang w:val="en-US" w:eastAsia="zh-CN"/>
              </w:rPr>
            </w:pPr>
            <w:r>
              <w:rPr>
                <w:rFonts w:hint="eastAsia"/>
                <w:sz w:val="21"/>
                <w:szCs w:val="21"/>
                <w:lang w:val="en-US" w:eastAsia="zh-CN"/>
              </w:rPr>
              <w:t>台</w:t>
            </w:r>
          </w:p>
        </w:tc>
      </w:tr>
      <w:tr w14:paraId="6858EC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0855E2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55</w:t>
            </w:r>
          </w:p>
        </w:tc>
        <w:tc>
          <w:tcPr>
            <w:tcW w:w="2688" w:type="dxa"/>
            <w:vMerge w:val="continue"/>
            <w:vAlign w:val="center"/>
          </w:tcPr>
          <w:p w14:paraId="7DD5B65E">
            <w:pPr>
              <w:bidi w:val="0"/>
              <w:jc w:val="center"/>
              <w:rPr>
                <w:rFonts w:hint="default"/>
                <w:sz w:val="21"/>
                <w:szCs w:val="21"/>
                <w:lang w:val="en-US" w:eastAsia="zh-CN"/>
              </w:rPr>
            </w:pPr>
          </w:p>
        </w:tc>
        <w:tc>
          <w:tcPr>
            <w:tcW w:w="3212" w:type="dxa"/>
            <w:vAlign w:val="center"/>
          </w:tcPr>
          <w:p w14:paraId="46E2EB0E">
            <w:pPr>
              <w:bidi w:val="0"/>
              <w:jc w:val="center"/>
              <w:rPr>
                <w:rFonts w:hint="default"/>
                <w:sz w:val="21"/>
                <w:szCs w:val="21"/>
                <w:lang w:val="en-US" w:eastAsia="zh-CN"/>
              </w:rPr>
            </w:pPr>
            <w:r>
              <w:rPr>
                <w:rFonts w:hint="eastAsia"/>
                <w:sz w:val="21"/>
                <w:szCs w:val="21"/>
              </w:rPr>
              <w:t>多功能呼吸机</w:t>
            </w:r>
          </w:p>
        </w:tc>
        <w:tc>
          <w:tcPr>
            <w:tcW w:w="912" w:type="dxa"/>
            <w:vAlign w:val="center"/>
          </w:tcPr>
          <w:p w14:paraId="5954E952">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414E0D09">
            <w:pPr>
              <w:bidi w:val="0"/>
              <w:jc w:val="center"/>
              <w:rPr>
                <w:rFonts w:hint="default"/>
                <w:sz w:val="21"/>
                <w:szCs w:val="21"/>
                <w:lang w:val="en-US" w:eastAsia="zh-CN"/>
              </w:rPr>
            </w:pPr>
            <w:r>
              <w:rPr>
                <w:rFonts w:hint="eastAsia"/>
                <w:sz w:val="21"/>
                <w:szCs w:val="21"/>
                <w:lang w:val="en-US" w:eastAsia="zh-CN"/>
              </w:rPr>
              <w:t>台</w:t>
            </w:r>
          </w:p>
        </w:tc>
      </w:tr>
      <w:tr w14:paraId="307918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8B1688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56</w:t>
            </w:r>
          </w:p>
        </w:tc>
        <w:tc>
          <w:tcPr>
            <w:tcW w:w="2688" w:type="dxa"/>
            <w:vMerge w:val="continue"/>
            <w:vAlign w:val="center"/>
          </w:tcPr>
          <w:p w14:paraId="0F9A80C2">
            <w:pPr>
              <w:bidi w:val="0"/>
              <w:jc w:val="center"/>
              <w:rPr>
                <w:rFonts w:hint="default"/>
                <w:sz w:val="21"/>
                <w:szCs w:val="21"/>
                <w:lang w:val="en-US" w:eastAsia="zh-CN"/>
              </w:rPr>
            </w:pPr>
          </w:p>
        </w:tc>
        <w:tc>
          <w:tcPr>
            <w:tcW w:w="3212" w:type="dxa"/>
            <w:vAlign w:val="center"/>
          </w:tcPr>
          <w:p w14:paraId="73528B98">
            <w:pPr>
              <w:bidi w:val="0"/>
              <w:jc w:val="center"/>
              <w:rPr>
                <w:rFonts w:hint="default"/>
                <w:sz w:val="21"/>
                <w:szCs w:val="21"/>
                <w:lang w:val="en-US" w:eastAsia="zh-CN"/>
              </w:rPr>
            </w:pPr>
            <w:r>
              <w:rPr>
                <w:rFonts w:hint="eastAsia"/>
                <w:sz w:val="21"/>
                <w:szCs w:val="21"/>
              </w:rPr>
              <w:t>便携式呼吸机</w:t>
            </w:r>
          </w:p>
        </w:tc>
        <w:tc>
          <w:tcPr>
            <w:tcW w:w="912" w:type="dxa"/>
            <w:vAlign w:val="center"/>
          </w:tcPr>
          <w:p w14:paraId="3FFDE94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2601F5B">
            <w:pPr>
              <w:bidi w:val="0"/>
              <w:jc w:val="center"/>
              <w:rPr>
                <w:rFonts w:hint="default"/>
                <w:sz w:val="21"/>
                <w:szCs w:val="21"/>
                <w:lang w:val="en-US" w:eastAsia="zh-CN"/>
              </w:rPr>
            </w:pPr>
            <w:r>
              <w:rPr>
                <w:rFonts w:hint="eastAsia"/>
                <w:sz w:val="21"/>
                <w:szCs w:val="21"/>
                <w:lang w:val="en-US" w:eastAsia="zh-CN"/>
              </w:rPr>
              <w:t>台</w:t>
            </w:r>
          </w:p>
        </w:tc>
      </w:tr>
      <w:tr w14:paraId="0A33D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6C2727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57</w:t>
            </w:r>
          </w:p>
        </w:tc>
        <w:tc>
          <w:tcPr>
            <w:tcW w:w="2688" w:type="dxa"/>
            <w:vMerge w:val="continue"/>
            <w:vAlign w:val="center"/>
          </w:tcPr>
          <w:p w14:paraId="0C07F27F">
            <w:pPr>
              <w:bidi w:val="0"/>
              <w:jc w:val="center"/>
              <w:rPr>
                <w:rFonts w:hint="default"/>
                <w:sz w:val="21"/>
                <w:szCs w:val="21"/>
                <w:lang w:val="en-US" w:eastAsia="zh-CN"/>
              </w:rPr>
            </w:pPr>
          </w:p>
        </w:tc>
        <w:tc>
          <w:tcPr>
            <w:tcW w:w="3212" w:type="dxa"/>
            <w:vAlign w:val="center"/>
          </w:tcPr>
          <w:p w14:paraId="36216141">
            <w:pPr>
              <w:bidi w:val="0"/>
              <w:jc w:val="center"/>
              <w:rPr>
                <w:rFonts w:hint="default"/>
                <w:sz w:val="21"/>
                <w:szCs w:val="21"/>
                <w:lang w:val="en-US" w:eastAsia="zh-CN"/>
              </w:rPr>
            </w:pPr>
            <w:r>
              <w:rPr>
                <w:rFonts w:hint="eastAsia"/>
                <w:sz w:val="21"/>
                <w:szCs w:val="21"/>
              </w:rPr>
              <w:t>多参数监护仪</w:t>
            </w:r>
          </w:p>
        </w:tc>
        <w:tc>
          <w:tcPr>
            <w:tcW w:w="912" w:type="dxa"/>
            <w:vAlign w:val="center"/>
          </w:tcPr>
          <w:p w14:paraId="549FBEA4">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209001FC">
            <w:pPr>
              <w:bidi w:val="0"/>
              <w:jc w:val="center"/>
              <w:rPr>
                <w:rFonts w:hint="default"/>
                <w:sz w:val="21"/>
                <w:szCs w:val="21"/>
                <w:lang w:val="en-US" w:eastAsia="zh-CN"/>
              </w:rPr>
            </w:pPr>
            <w:r>
              <w:rPr>
                <w:rFonts w:hint="eastAsia"/>
                <w:sz w:val="21"/>
                <w:szCs w:val="21"/>
                <w:lang w:val="en-US" w:eastAsia="zh-CN"/>
              </w:rPr>
              <w:t>台</w:t>
            </w:r>
          </w:p>
        </w:tc>
      </w:tr>
      <w:tr w14:paraId="186AE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D1FB0F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58</w:t>
            </w:r>
          </w:p>
        </w:tc>
        <w:tc>
          <w:tcPr>
            <w:tcW w:w="2688" w:type="dxa"/>
            <w:vMerge w:val="continue"/>
            <w:vAlign w:val="center"/>
          </w:tcPr>
          <w:p w14:paraId="3F6343C4">
            <w:pPr>
              <w:bidi w:val="0"/>
              <w:jc w:val="center"/>
              <w:rPr>
                <w:rFonts w:hint="default"/>
                <w:sz w:val="21"/>
                <w:szCs w:val="21"/>
                <w:lang w:val="en-US" w:eastAsia="zh-CN"/>
              </w:rPr>
            </w:pPr>
          </w:p>
        </w:tc>
        <w:tc>
          <w:tcPr>
            <w:tcW w:w="3212" w:type="dxa"/>
            <w:vAlign w:val="center"/>
          </w:tcPr>
          <w:p w14:paraId="28830832">
            <w:pPr>
              <w:bidi w:val="0"/>
              <w:jc w:val="center"/>
              <w:rPr>
                <w:rFonts w:hint="default"/>
                <w:sz w:val="21"/>
                <w:szCs w:val="21"/>
                <w:lang w:val="en-US" w:eastAsia="zh-CN"/>
              </w:rPr>
            </w:pPr>
            <w:r>
              <w:rPr>
                <w:rFonts w:hint="eastAsia"/>
                <w:sz w:val="21"/>
                <w:szCs w:val="21"/>
              </w:rPr>
              <w:t>心肺复苏机</w:t>
            </w:r>
          </w:p>
        </w:tc>
        <w:tc>
          <w:tcPr>
            <w:tcW w:w="912" w:type="dxa"/>
            <w:vAlign w:val="center"/>
          </w:tcPr>
          <w:p w14:paraId="385D570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4833550">
            <w:pPr>
              <w:bidi w:val="0"/>
              <w:jc w:val="center"/>
              <w:rPr>
                <w:rFonts w:hint="default"/>
                <w:sz w:val="21"/>
                <w:szCs w:val="21"/>
                <w:lang w:val="en-US" w:eastAsia="zh-CN"/>
              </w:rPr>
            </w:pPr>
            <w:r>
              <w:rPr>
                <w:rFonts w:hint="eastAsia"/>
                <w:sz w:val="21"/>
                <w:szCs w:val="21"/>
                <w:lang w:val="en-US" w:eastAsia="zh-CN"/>
              </w:rPr>
              <w:t>台</w:t>
            </w:r>
          </w:p>
        </w:tc>
      </w:tr>
      <w:tr w14:paraId="6C96D2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D0CFDF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59</w:t>
            </w:r>
          </w:p>
        </w:tc>
        <w:tc>
          <w:tcPr>
            <w:tcW w:w="2688" w:type="dxa"/>
            <w:vMerge w:val="continue"/>
            <w:vAlign w:val="center"/>
          </w:tcPr>
          <w:p w14:paraId="74D1EA9A">
            <w:pPr>
              <w:bidi w:val="0"/>
              <w:jc w:val="center"/>
              <w:rPr>
                <w:rFonts w:hint="default"/>
                <w:sz w:val="21"/>
                <w:szCs w:val="21"/>
                <w:lang w:val="en-US" w:eastAsia="zh-CN"/>
              </w:rPr>
            </w:pPr>
          </w:p>
        </w:tc>
        <w:tc>
          <w:tcPr>
            <w:tcW w:w="3212" w:type="dxa"/>
            <w:vAlign w:val="center"/>
          </w:tcPr>
          <w:p w14:paraId="25DFAFC1">
            <w:pPr>
              <w:bidi w:val="0"/>
              <w:jc w:val="center"/>
              <w:rPr>
                <w:rFonts w:hint="default"/>
                <w:sz w:val="21"/>
                <w:szCs w:val="21"/>
                <w:lang w:val="en-US" w:eastAsia="zh-CN"/>
              </w:rPr>
            </w:pPr>
            <w:r>
              <w:rPr>
                <w:rFonts w:hint="eastAsia"/>
                <w:sz w:val="21"/>
                <w:szCs w:val="21"/>
              </w:rPr>
              <w:t>洗胃机</w:t>
            </w:r>
          </w:p>
        </w:tc>
        <w:tc>
          <w:tcPr>
            <w:tcW w:w="912" w:type="dxa"/>
            <w:vAlign w:val="center"/>
          </w:tcPr>
          <w:p w14:paraId="38D7831A">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9843708">
            <w:pPr>
              <w:bidi w:val="0"/>
              <w:jc w:val="center"/>
              <w:rPr>
                <w:rFonts w:hint="default"/>
                <w:sz w:val="21"/>
                <w:szCs w:val="21"/>
                <w:lang w:val="en-US" w:eastAsia="zh-CN"/>
              </w:rPr>
            </w:pPr>
            <w:r>
              <w:rPr>
                <w:rFonts w:hint="eastAsia"/>
                <w:sz w:val="21"/>
                <w:szCs w:val="21"/>
                <w:lang w:val="en-US" w:eastAsia="zh-CN"/>
              </w:rPr>
              <w:t>台</w:t>
            </w:r>
          </w:p>
        </w:tc>
      </w:tr>
      <w:tr w14:paraId="4784D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55631E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2688" w:type="dxa"/>
            <w:vMerge w:val="continue"/>
            <w:vAlign w:val="center"/>
          </w:tcPr>
          <w:p w14:paraId="791D0757">
            <w:pPr>
              <w:bidi w:val="0"/>
              <w:jc w:val="center"/>
              <w:rPr>
                <w:rFonts w:hint="default"/>
                <w:sz w:val="21"/>
                <w:szCs w:val="21"/>
                <w:lang w:val="en-US" w:eastAsia="zh-CN"/>
              </w:rPr>
            </w:pPr>
          </w:p>
        </w:tc>
        <w:tc>
          <w:tcPr>
            <w:tcW w:w="3212" w:type="dxa"/>
            <w:vAlign w:val="center"/>
          </w:tcPr>
          <w:p w14:paraId="2A592A62">
            <w:pPr>
              <w:bidi w:val="0"/>
              <w:jc w:val="center"/>
              <w:rPr>
                <w:rFonts w:hint="default"/>
                <w:sz w:val="21"/>
                <w:szCs w:val="21"/>
                <w:lang w:val="en-US" w:eastAsia="zh-CN"/>
              </w:rPr>
            </w:pPr>
            <w:r>
              <w:rPr>
                <w:rFonts w:hint="eastAsia"/>
                <w:sz w:val="21"/>
                <w:szCs w:val="21"/>
              </w:rPr>
              <w:t>输液泵</w:t>
            </w:r>
          </w:p>
        </w:tc>
        <w:tc>
          <w:tcPr>
            <w:tcW w:w="912" w:type="dxa"/>
            <w:vAlign w:val="center"/>
          </w:tcPr>
          <w:p w14:paraId="78E68BAE">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698A594">
            <w:pPr>
              <w:bidi w:val="0"/>
              <w:jc w:val="center"/>
              <w:rPr>
                <w:rFonts w:hint="default"/>
                <w:sz w:val="21"/>
                <w:szCs w:val="21"/>
                <w:lang w:val="en-US" w:eastAsia="zh-CN"/>
              </w:rPr>
            </w:pPr>
            <w:r>
              <w:rPr>
                <w:rFonts w:hint="eastAsia"/>
                <w:sz w:val="21"/>
                <w:szCs w:val="21"/>
                <w:lang w:val="en-US" w:eastAsia="zh-CN"/>
              </w:rPr>
              <w:t>台</w:t>
            </w:r>
          </w:p>
        </w:tc>
      </w:tr>
      <w:tr w14:paraId="6BEC71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BB7F44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61</w:t>
            </w:r>
          </w:p>
        </w:tc>
        <w:tc>
          <w:tcPr>
            <w:tcW w:w="2688" w:type="dxa"/>
            <w:vMerge w:val="continue"/>
            <w:vAlign w:val="center"/>
          </w:tcPr>
          <w:p w14:paraId="3F384008">
            <w:pPr>
              <w:bidi w:val="0"/>
              <w:jc w:val="center"/>
              <w:rPr>
                <w:rFonts w:hint="default"/>
                <w:sz w:val="21"/>
                <w:szCs w:val="21"/>
                <w:lang w:val="en-US" w:eastAsia="zh-CN"/>
              </w:rPr>
            </w:pPr>
          </w:p>
        </w:tc>
        <w:tc>
          <w:tcPr>
            <w:tcW w:w="3212" w:type="dxa"/>
            <w:vAlign w:val="center"/>
          </w:tcPr>
          <w:p w14:paraId="27473A6A">
            <w:pPr>
              <w:bidi w:val="0"/>
              <w:jc w:val="center"/>
              <w:rPr>
                <w:rFonts w:hint="default"/>
                <w:sz w:val="21"/>
                <w:szCs w:val="21"/>
                <w:lang w:val="en-US" w:eastAsia="zh-CN"/>
              </w:rPr>
            </w:pPr>
            <w:r>
              <w:rPr>
                <w:rFonts w:hint="eastAsia"/>
                <w:sz w:val="21"/>
                <w:szCs w:val="21"/>
              </w:rPr>
              <w:t>输液泵</w:t>
            </w:r>
          </w:p>
        </w:tc>
        <w:tc>
          <w:tcPr>
            <w:tcW w:w="912" w:type="dxa"/>
            <w:vAlign w:val="center"/>
          </w:tcPr>
          <w:p w14:paraId="3E38FDB5">
            <w:pPr>
              <w:bidi w:val="0"/>
              <w:jc w:val="center"/>
              <w:rPr>
                <w:rFonts w:hint="default"/>
                <w:sz w:val="21"/>
                <w:szCs w:val="21"/>
                <w:lang w:val="en-US" w:eastAsia="zh-CN"/>
              </w:rPr>
            </w:pPr>
            <w:r>
              <w:rPr>
                <w:rFonts w:hint="eastAsia"/>
                <w:sz w:val="21"/>
                <w:szCs w:val="21"/>
                <w:lang w:val="en-US" w:eastAsia="zh-CN"/>
              </w:rPr>
              <w:t>4</w:t>
            </w:r>
          </w:p>
        </w:tc>
        <w:tc>
          <w:tcPr>
            <w:tcW w:w="990" w:type="dxa"/>
            <w:vAlign w:val="center"/>
          </w:tcPr>
          <w:p w14:paraId="0C0CBDC3">
            <w:pPr>
              <w:bidi w:val="0"/>
              <w:jc w:val="center"/>
              <w:rPr>
                <w:rFonts w:hint="default"/>
                <w:sz w:val="21"/>
                <w:szCs w:val="21"/>
                <w:lang w:val="en-US" w:eastAsia="zh-CN"/>
              </w:rPr>
            </w:pPr>
            <w:r>
              <w:rPr>
                <w:rFonts w:hint="eastAsia"/>
                <w:sz w:val="21"/>
                <w:szCs w:val="21"/>
                <w:lang w:val="en-US" w:eastAsia="zh-CN"/>
              </w:rPr>
              <w:t>台</w:t>
            </w:r>
          </w:p>
        </w:tc>
      </w:tr>
      <w:tr w14:paraId="306B7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B4AC0F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62</w:t>
            </w:r>
          </w:p>
        </w:tc>
        <w:tc>
          <w:tcPr>
            <w:tcW w:w="2688" w:type="dxa"/>
            <w:vMerge w:val="continue"/>
            <w:vAlign w:val="center"/>
          </w:tcPr>
          <w:p w14:paraId="21596FCD">
            <w:pPr>
              <w:bidi w:val="0"/>
              <w:jc w:val="center"/>
              <w:rPr>
                <w:rFonts w:hint="default"/>
                <w:sz w:val="21"/>
                <w:szCs w:val="21"/>
                <w:lang w:val="en-US" w:eastAsia="zh-CN"/>
              </w:rPr>
            </w:pPr>
          </w:p>
        </w:tc>
        <w:tc>
          <w:tcPr>
            <w:tcW w:w="3212" w:type="dxa"/>
            <w:vAlign w:val="center"/>
          </w:tcPr>
          <w:p w14:paraId="7CB24CEB">
            <w:pPr>
              <w:bidi w:val="0"/>
              <w:jc w:val="center"/>
              <w:rPr>
                <w:rFonts w:hint="default"/>
                <w:sz w:val="21"/>
                <w:szCs w:val="21"/>
                <w:lang w:val="en-US" w:eastAsia="zh-CN"/>
              </w:rPr>
            </w:pPr>
            <w:r>
              <w:rPr>
                <w:rFonts w:hint="eastAsia"/>
                <w:sz w:val="21"/>
                <w:szCs w:val="21"/>
              </w:rPr>
              <w:t>微量注射泵</w:t>
            </w:r>
          </w:p>
        </w:tc>
        <w:tc>
          <w:tcPr>
            <w:tcW w:w="912" w:type="dxa"/>
            <w:vAlign w:val="center"/>
          </w:tcPr>
          <w:p w14:paraId="4CDCAC72">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05E7BD1D">
            <w:pPr>
              <w:bidi w:val="0"/>
              <w:jc w:val="center"/>
              <w:rPr>
                <w:rFonts w:hint="default"/>
                <w:sz w:val="21"/>
                <w:szCs w:val="21"/>
                <w:lang w:val="en-US" w:eastAsia="zh-CN"/>
              </w:rPr>
            </w:pPr>
            <w:r>
              <w:rPr>
                <w:rFonts w:hint="eastAsia"/>
                <w:sz w:val="21"/>
                <w:szCs w:val="21"/>
                <w:lang w:val="en-US" w:eastAsia="zh-CN"/>
              </w:rPr>
              <w:t>台</w:t>
            </w:r>
          </w:p>
        </w:tc>
      </w:tr>
      <w:tr w14:paraId="4F1D6E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A3D297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63</w:t>
            </w:r>
          </w:p>
        </w:tc>
        <w:tc>
          <w:tcPr>
            <w:tcW w:w="2688" w:type="dxa"/>
            <w:vMerge w:val="continue"/>
            <w:vAlign w:val="center"/>
          </w:tcPr>
          <w:p w14:paraId="10C69F20">
            <w:pPr>
              <w:bidi w:val="0"/>
              <w:jc w:val="center"/>
              <w:rPr>
                <w:rFonts w:hint="default"/>
                <w:sz w:val="21"/>
                <w:szCs w:val="21"/>
                <w:lang w:val="en-US" w:eastAsia="zh-CN"/>
              </w:rPr>
            </w:pPr>
          </w:p>
        </w:tc>
        <w:tc>
          <w:tcPr>
            <w:tcW w:w="3212" w:type="dxa"/>
            <w:vAlign w:val="center"/>
          </w:tcPr>
          <w:p w14:paraId="6E2D86B2">
            <w:pPr>
              <w:bidi w:val="0"/>
              <w:jc w:val="center"/>
              <w:rPr>
                <w:rFonts w:hint="default"/>
                <w:sz w:val="21"/>
                <w:szCs w:val="21"/>
                <w:lang w:val="en-US" w:eastAsia="zh-CN"/>
              </w:rPr>
            </w:pPr>
            <w:r>
              <w:rPr>
                <w:rFonts w:hint="eastAsia"/>
                <w:sz w:val="21"/>
                <w:szCs w:val="21"/>
              </w:rPr>
              <w:t>心电图机</w:t>
            </w:r>
          </w:p>
        </w:tc>
        <w:tc>
          <w:tcPr>
            <w:tcW w:w="912" w:type="dxa"/>
            <w:vAlign w:val="center"/>
          </w:tcPr>
          <w:p w14:paraId="77454BA8">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2BD0D0D9">
            <w:pPr>
              <w:bidi w:val="0"/>
              <w:jc w:val="center"/>
              <w:rPr>
                <w:rFonts w:hint="default"/>
                <w:sz w:val="21"/>
                <w:szCs w:val="21"/>
                <w:lang w:val="en-US" w:eastAsia="zh-CN"/>
              </w:rPr>
            </w:pPr>
            <w:r>
              <w:rPr>
                <w:rFonts w:hint="eastAsia"/>
                <w:sz w:val="21"/>
                <w:szCs w:val="21"/>
                <w:lang w:val="en-US" w:eastAsia="zh-CN"/>
              </w:rPr>
              <w:t>台</w:t>
            </w:r>
          </w:p>
        </w:tc>
      </w:tr>
      <w:tr w14:paraId="4CA9C1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33A367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2688" w:type="dxa"/>
            <w:vMerge w:val="continue"/>
            <w:vAlign w:val="center"/>
          </w:tcPr>
          <w:p w14:paraId="2497AF26">
            <w:pPr>
              <w:bidi w:val="0"/>
              <w:jc w:val="center"/>
              <w:rPr>
                <w:rFonts w:hint="default"/>
                <w:sz w:val="21"/>
                <w:szCs w:val="21"/>
                <w:lang w:val="en-US" w:eastAsia="zh-CN"/>
              </w:rPr>
            </w:pPr>
          </w:p>
        </w:tc>
        <w:tc>
          <w:tcPr>
            <w:tcW w:w="3212" w:type="dxa"/>
            <w:vAlign w:val="center"/>
          </w:tcPr>
          <w:p w14:paraId="165C9D40">
            <w:pPr>
              <w:bidi w:val="0"/>
              <w:jc w:val="center"/>
              <w:rPr>
                <w:rFonts w:hint="default"/>
                <w:sz w:val="21"/>
                <w:szCs w:val="21"/>
                <w:lang w:val="en-US" w:eastAsia="zh-CN"/>
              </w:rPr>
            </w:pPr>
            <w:r>
              <w:rPr>
                <w:rFonts w:hint="eastAsia"/>
                <w:sz w:val="21"/>
                <w:szCs w:val="21"/>
              </w:rPr>
              <w:t>病床(含床头柜)</w:t>
            </w:r>
          </w:p>
        </w:tc>
        <w:tc>
          <w:tcPr>
            <w:tcW w:w="912" w:type="dxa"/>
            <w:vAlign w:val="center"/>
          </w:tcPr>
          <w:p w14:paraId="42C9D834">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31FB1775">
            <w:pPr>
              <w:bidi w:val="0"/>
              <w:jc w:val="center"/>
              <w:rPr>
                <w:rFonts w:hint="default"/>
                <w:sz w:val="21"/>
                <w:szCs w:val="21"/>
                <w:lang w:val="en-US" w:eastAsia="zh-CN"/>
              </w:rPr>
            </w:pPr>
            <w:r>
              <w:rPr>
                <w:rFonts w:hint="eastAsia"/>
                <w:sz w:val="21"/>
                <w:szCs w:val="21"/>
                <w:lang w:val="en-US" w:eastAsia="zh-CN"/>
              </w:rPr>
              <w:t>张</w:t>
            </w:r>
          </w:p>
        </w:tc>
      </w:tr>
      <w:tr w14:paraId="27D8B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DA57CA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65</w:t>
            </w:r>
          </w:p>
        </w:tc>
        <w:tc>
          <w:tcPr>
            <w:tcW w:w="2688" w:type="dxa"/>
            <w:vMerge w:val="continue"/>
            <w:vAlign w:val="center"/>
          </w:tcPr>
          <w:p w14:paraId="20EF7FE3">
            <w:pPr>
              <w:bidi w:val="0"/>
              <w:jc w:val="center"/>
              <w:rPr>
                <w:rFonts w:hint="default"/>
                <w:sz w:val="21"/>
                <w:szCs w:val="21"/>
                <w:lang w:val="en-US" w:eastAsia="zh-CN"/>
              </w:rPr>
            </w:pPr>
          </w:p>
        </w:tc>
        <w:tc>
          <w:tcPr>
            <w:tcW w:w="3212" w:type="dxa"/>
            <w:vAlign w:val="center"/>
          </w:tcPr>
          <w:p w14:paraId="4826698C">
            <w:pPr>
              <w:bidi w:val="0"/>
              <w:jc w:val="center"/>
              <w:rPr>
                <w:rFonts w:hint="default"/>
                <w:sz w:val="21"/>
                <w:szCs w:val="21"/>
                <w:lang w:val="en-US" w:eastAsia="zh-CN"/>
              </w:rPr>
            </w:pPr>
            <w:r>
              <w:rPr>
                <w:rFonts w:hint="eastAsia"/>
                <w:sz w:val="21"/>
                <w:szCs w:val="21"/>
              </w:rPr>
              <w:t>吊塔(含吊柱)</w:t>
            </w:r>
          </w:p>
        </w:tc>
        <w:tc>
          <w:tcPr>
            <w:tcW w:w="912" w:type="dxa"/>
            <w:vAlign w:val="center"/>
          </w:tcPr>
          <w:p w14:paraId="373F00C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C84C3C4">
            <w:pPr>
              <w:bidi w:val="0"/>
              <w:jc w:val="center"/>
              <w:rPr>
                <w:rFonts w:hint="default"/>
                <w:sz w:val="21"/>
                <w:szCs w:val="21"/>
                <w:lang w:val="en-US" w:eastAsia="zh-CN"/>
              </w:rPr>
            </w:pPr>
            <w:r>
              <w:rPr>
                <w:rFonts w:hint="eastAsia"/>
                <w:sz w:val="21"/>
                <w:szCs w:val="21"/>
                <w:lang w:val="en-US" w:eastAsia="zh-CN"/>
              </w:rPr>
              <w:t>套</w:t>
            </w:r>
          </w:p>
        </w:tc>
      </w:tr>
      <w:tr w14:paraId="5EB34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A5B775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66</w:t>
            </w:r>
          </w:p>
        </w:tc>
        <w:tc>
          <w:tcPr>
            <w:tcW w:w="2688" w:type="dxa"/>
            <w:vMerge w:val="continue"/>
            <w:vAlign w:val="center"/>
          </w:tcPr>
          <w:p w14:paraId="104752BF">
            <w:pPr>
              <w:bidi w:val="0"/>
              <w:jc w:val="center"/>
              <w:rPr>
                <w:rFonts w:hint="default"/>
                <w:sz w:val="21"/>
                <w:szCs w:val="21"/>
                <w:lang w:val="en-US" w:eastAsia="zh-CN"/>
              </w:rPr>
            </w:pPr>
          </w:p>
        </w:tc>
        <w:tc>
          <w:tcPr>
            <w:tcW w:w="3212" w:type="dxa"/>
            <w:vAlign w:val="center"/>
          </w:tcPr>
          <w:p w14:paraId="339B9943">
            <w:pPr>
              <w:bidi w:val="0"/>
              <w:jc w:val="center"/>
              <w:rPr>
                <w:rFonts w:hint="default"/>
                <w:sz w:val="21"/>
                <w:szCs w:val="21"/>
                <w:lang w:val="en-US" w:eastAsia="zh-CN"/>
              </w:rPr>
            </w:pPr>
            <w:r>
              <w:rPr>
                <w:rFonts w:hint="eastAsia"/>
                <w:sz w:val="21"/>
                <w:szCs w:val="21"/>
              </w:rPr>
              <w:t>营养泵</w:t>
            </w:r>
          </w:p>
        </w:tc>
        <w:tc>
          <w:tcPr>
            <w:tcW w:w="912" w:type="dxa"/>
            <w:vAlign w:val="center"/>
          </w:tcPr>
          <w:p w14:paraId="70309214">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7E99BA40">
            <w:pPr>
              <w:bidi w:val="0"/>
              <w:jc w:val="center"/>
              <w:rPr>
                <w:rFonts w:hint="default"/>
                <w:sz w:val="21"/>
                <w:szCs w:val="21"/>
                <w:lang w:val="en-US" w:eastAsia="zh-CN"/>
              </w:rPr>
            </w:pPr>
            <w:r>
              <w:rPr>
                <w:rFonts w:hint="eastAsia"/>
                <w:sz w:val="21"/>
                <w:szCs w:val="21"/>
                <w:lang w:val="en-US" w:eastAsia="zh-CN"/>
              </w:rPr>
              <w:t>台</w:t>
            </w:r>
          </w:p>
        </w:tc>
      </w:tr>
      <w:tr w14:paraId="7C1BF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200BFA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67</w:t>
            </w:r>
          </w:p>
        </w:tc>
        <w:tc>
          <w:tcPr>
            <w:tcW w:w="2688" w:type="dxa"/>
            <w:vMerge w:val="continue"/>
            <w:vAlign w:val="center"/>
          </w:tcPr>
          <w:p w14:paraId="6CE29884">
            <w:pPr>
              <w:bidi w:val="0"/>
              <w:jc w:val="center"/>
              <w:rPr>
                <w:rFonts w:hint="default"/>
                <w:sz w:val="21"/>
                <w:szCs w:val="21"/>
                <w:lang w:val="en-US" w:eastAsia="zh-CN"/>
              </w:rPr>
            </w:pPr>
          </w:p>
        </w:tc>
        <w:tc>
          <w:tcPr>
            <w:tcW w:w="3212" w:type="dxa"/>
            <w:vAlign w:val="center"/>
          </w:tcPr>
          <w:p w14:paraId="22864AEA">
            <w:pPr>
              <w:bidi w:val="0"/>
              <w:jc w:val="center"/>
              <w:rPr>
                <w:rFonts w:hint="default"/>
                <w:sz w:val="21"/>
                <w:szCs w:val="21"/>
                <w:lang w:val="en-US" w:eastAsia="zh-CN"/>
              </w:rPr>
            </w:pPr>
            <w:r>
              <w:rPr>
                <w:rFonts w:hint="eastAsia"/>
                <w:sz w:val="21"/>
                <w:szCs w:val="21"/>
              </w:rPr>
              <w:t>气管镜</w:t>
            </w:r>
          </w:p>
        </w:tc>
        <w:tc>
          <w:tcPr>
            <w:tcW w:w="912" w:type="dxa"/>
            <w:vAlign w:val="center"/>
          </w:tcPr>
          <w:p w14:paraId="72AC7F8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9975A17">
            <w:pPr>
              <w:bidi w:val="0"/>
              <w:jc w:val="center"/>
              <w:rPr>
                <w:rFonts w:hint="default"/>
                <w:sz w:val="21"/>
                <w:szCs w:val="21"/>
                <w:lang w:val="en-US" w:eastAsia="zh-CN"/>
              </w:rPr>
            </w:pPr>
            <w:r>
              <w:rPr>
                <w:rFonts w:hint="eastAsia"/>
                <w:sz w:val="21"/>
                <w:szCs w:val="21"/>
                <w:lang w:val="en-US" w:eastAsia="zh-CN"/>
              </w:rPr>
              <w:t>支</w:t>
            </w:r>
          </w:p>
        </w:tc>
      </w:tr>
      <w:tr w14:paraId="162C3F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CF1F1F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68</w:t>
            </w:r>
          </w:p>
        </w:tc>
        <w:tc>
          <w:tcPr>
            <w:tcW w:w="2688" w:type="dxa"/>
            <w:vMerge w:val="continue"/>
            <w:vAlign w:val="center"/>
          </w:tcPr>
          <w:p w14:paraId="260D3A57">
            <w:pPr>
              <w:bidi w:val="0"/>
              <w:jc w:val="center"/>
              <w:rPr>
                <w:rFonts w:hint="default"/>
                <w:sz w:val="21"/>
                <w:szCs w:val="21"/>
                <w:lang w:val="en-US" w:eastAsia="zh-CN"/>
              </w:rPr>
            </w:pPr>
          </w:p>
        </w:tc>
        <w:tc>
          <w:tcPr>
            <w:tcW w:w="3212" w:type="dxa"/>
            <w:vAlign w:val="center"/>
          </w:tcPr>
          <w:p w14:paraId="64B12AB9">
            <w:pPr>
              <w:bidi w:val="0"/>
              <w:jc w:val="center"/>
              <w:rPr>
                <w:rFonts w:hint="default"/>
                <w:sz w:val="21"/>
                <w:szCs w:val="21"/>
                <w:lang w:val="en-US" w:eastAsia="zh-CN"/>
              </w:rPr>
            </w:pPr>
            <w:r>
              <w:rPr>
                <w:rFonts w:hint="eastAsia"/>
                <w:sz w:val="21"/>
                <w:szCs w:val="21"/>
              </w:rPr>
              <w:t>消毒柜</w:t>
            </w:r>
          </w:p>
        </w:tc>
        <w:tc>
          <w:tcPr>
            <w:tcW w:w="912" w:type="dxa"/>
            <w:vAlign w:val="center"/>
          </w:tcPr>
          <w:p w14:paraId="5846B86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EC62A12">
            <w:pPr>
              <w:bidi w:val="0"/>
              <w:jc w:val="center"/>
              <w:rPr>
                <w:rFonts w:hint="default"/>
                <w:sz w:val="21"/>
                <w:szCs w:val="21"/>
                <w:lang w:val="en-US" w:eastAsia="zh-CN"/>
              </w:rPr>
            </w:pPr>
            <w:r>
              <w:rPr>
                <w:rFonts w:hint="eastAsia"/>
                <w:sz w:val="21"/>
                <w:szCs w:val="21"/>
                <w:lang w:val="en-US" w:eastAsia="zh-CN"/>
              </w:rPr>
              <w:t>台</w:t>
            </w:r>
          </w:p>
        </w:tc>
      </w:tr>
      <w:tr w14:paraId="45FED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56DDD5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69</w:t>
            </w:r>
          </w:p>
        </w:tc>
        <w:tc>
          <w:tcPr>
            <w:tcW w:w="2688" w:type="dxa"/>
            <w:vMerge w:val="continue"/>
            <w:vAlign w:val="center"/>
          </w:tcPr>
          <w:p w14:paraId="6AA2E995">
            <w:pPr>
              <w:bidi w:val="0"/>
              <w:jc w:val="center"/>
              <w:rPr>
                <w:rFonts w:hint="default"/>
                <w:sz w:val="21"/>
                <w:szCs w:val="21"/>
                <w:lang w:val="en-US" w:eastAsia="zh-CN"/>
              </w:rPr>
            </w:pPr>
          </w:p>
        </w:tc>
        <w:tc>
          <w:tcPr>
            <w:tcW w:w="3212" w:type="dxa"/>
            <w:vAlign w:val="center"/>
          </w:tcPr>
          <w:p w14:paraId="5DDC1ED7">
            <w:pPr>
              <w:bidi w:val="0"/>
              <w:jc w:val="center"/>
              <w:rPr>
                <w:rFonts w:hint="default"/>
                <w:sz w:val="21"/>
                <w:szCs w:val="21"/>
                <w:lang w:val="en-US" w:eastAsia="zh-CN"/>
              </w:rPr>
            </w:pPr>
            <w:r>
              <w:rPr>
                <w:rFonts w:hint="eastAsia"/>
                <w:sz w:val="21"/>
                <w:szCs w:val="21"/>
              </w:rPr>
              <w:t>多参数监护仪</w:t>
            </w:r>
          </w:p>
        </w:tc>
        <w:tc>
          <w:tcPr>
            <w:tcW w:w="912" w:type="dxa"/>
            <w:vAlign w:val="center"/>
          </w:tcPr>
          <w:p w14:paraId="35AF18D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3F3859C">
            <w:pPr>
              <w:bidi w:val="0"/>
              <w:jc w:val="center"/>
              <w:rPr>
                <w:rFonts w:hint="default"/>
                <w:sz w:val="21"/>
                <w:szCs w:val="21"/>
                <w:lang w:val="en-US" w:eastAsia="zh-CN"/>
              </w:rPr>
            </w:pPr>
            <w:r>
              <w:rPr>
                <w:rFonts w:hint="eastAsia"/>
                <w:sz w:val="21"/>
                <w:szCs w:val="21"/>
                <w:lang w:val="en-US" w:eastAsia="zh-CN"/>
              </w:rPr>
              <w:t>台</w:t>
            </w:r>
          </w:p>
        </w:tc>
      </w:tr>
      <w:tr w14:paraId="292F0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9BDFF7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70</w:t>
            </w:r>
          </w:p>
        </w:tc>
        <w:tc>
          <w:tcPr>
            <w:tcW w:w="2688" w:type="dxa"/>
            <w:vMerge w:val="continue"/>
            <w:vAlign w:val="center"/>
          </w:tcPr>
          <w:p w14:paraId="4E8F545A">
            <w:pPr>
              <w:bidi w:val="0"/>
              <w:jc w:val="center"/>
              <w:rPr>
                <w:rFonts w:hint="default"/>
                <w:sz w:val="21"/>
                <w:szCs w:val="21"/>
                <w:lang w:val="en-US" w:eastAsia="zh-CN"/>
              </w:rPr>
            </w:pPr>
          </w:p>
        </w:tc>
        <w:tc>
          <w:tcPr>
            <w:tcW w:w="3212" w:type="dxa"/>
            <w:vAlign w:val="center"/>
          </w:tcPr>
          <w:p w14:paraId="7A669088">
            <w:pPr>
              <w:bidi w:val="0"/>
              <w:jc w:val="center"/>
              <w:rPr>
                <w:rFonts w:hint="default"/>
                <w:sz w:val="21"/>
                <w:szCs w:val="21"/>
                <w:lang w:val="en-US" w:eastAsia="zh-CN"/>
              </w:rPr>
            </w:pPr>
            <w:r>
              <w:rPr>
                <w:rFonts w:hint="eastAsia"/>
                <w:sz w:val="21"/>
                <w:szCs w:val="21"/>
              </w:rPr>
              <w:t>降温毯(帽)</w:t>
            </w:r>
          </w:p>
        </w:tc>
        <w:tc>
          <w:tcPr>
            <w:tcW w:w="912" w:type="dxa"/>
            <w:vAlign w:val="center"/>
          </w:tcPr>
          <w:p w14:paraId="1CFF074E">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023AA9D3">
            <w:pPr>
              <w:bidi w:val="0"/>
              <w:jc w:val="center"/>
              <w:rPr>
                <w:rFonts w:hint="default"/>
                <w:sz w:val="21"/>
                <w:szCs w:val="21"/>
                <w:lang w:val="en-US" w:eastAsia="zh-CN"/>
              </w:rPr>
            </w:pPr>
            <w:r>
              <w:rPr>
                <w:rFonts w:hint="eastAsia"/>
                <w:sz w:val="21"/>
                <w:szCs w:val="21"/>
                <w:lang w:val="en-US" w:eastAsia="zh-CN"/>
              </w:rPr>
              <w:t>台</w:t>
            </w:r>
          </w:p>
        </w:tc>
      </w:tr>
      <w:tr w14:paraId="2639C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55EA9E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71</w:t>
            </w:r>
          </w:p>
        </w:tc>
        <w:tc>
          <w:tcPr>
            <w:tcW w:w="2688" w:type="dxa"/>
            <w:vMerge w:val="continue"/>
            <w:vAlign w:val="center"/>
          </w:tcPr>
          <w:p w14:paraId="7AE526D5">
            <w:pPr>
              <w:bidi w:val="0"/>
              <w:jc w:val="center"/>
              <w:rPr>
                <w:rFonts w:hint="default"/>
                <w:sz w:val="21"/>
                <w:szCs w:val="21"/>
                <w:lang w:val="en-US" w:eastAsia="zh-CN"/>
              </w:rPr>
            </w:pPr>
          </w:p>
        </w:tc>
        <w:tc>
          <w:tcPr>
            <w:tcW w:w="3212" w:type="dxa"/>
            <w:vAlign w:val="center"/>
          </w:tcPr>
          <w:p w14:paraId="57D9DF61">
            <w:pPr>
              <w:bidi w:val="0"/>
              <w:jc w:val="center"/>
              <w:rPr>
                <w:rFonts w:hint="default"/>
                <w:sz w:val="21"/>
                <w:szCs w:val="21"/>
                <w:lang w:val="en-US" w:eastAsia="zh-CN"/>
              </w:rPr>
            </w:pPr>
            <w:r>
              <w:rPr>
                <w:rFonts w:hint="eastAsia"/>
                <w:sz w:val="21"/>
                <w:szCs w:val="21"/>
              </w:rPr>
              <w:t>输液泵</w:t>
            </w:r>
          </w:p>
        </w:tc>
        <w:tc>
          <w:tcPr>
            <w:tcW w:w="912" w:type="dxa"/>
            <w:vAlign w:val="center"/>
          </w:tcPr>
          <w:p w14:paraId="1F06D8A2">
            <w:pPr>
              <w:bidi w:val="0"/>
              <w:jc w:val="center"/>
              <w:rPr>
                <w:rFonts w:hint="default"/>
                <w:sz w:val="21"/>
                <w:szCs w:val="21"/>
                <w:lang w:val="en-US" w:eastAsia="zh-CN"/>
              </w:rPr>
            </w:pPr>
            <w:r>
              <w:rPr>
                <w:rFonts w:hint="eastAsia"/>
                <w:sz w:val="21"/>
                <w:szCs w:val="21"/>
                <w:lang w:val="en-US" w:eastAsia="zh-CN"/>
              </w:rPr>
              <w:t>20</w:t>
            </w:r>
          </w:p>
        </w:tc>
        <w:tc>
          <w:tcPr>
            <w:tcW w:w="990" w:type="dxa"/>
            <w:vAlign w:val="center"/>
          </w:tcPr>
          <w:p w14:paraId="7EB3E4A0">
            <w:pPr>
              <w:bidi w:val="0"/>
              <w:jc w:val="center"/>
              <w:rPr>
                <w:rFonts w:hint="default"/>
                <w:sz w:val="21"/>
                <w:szCs w:val="21"/>
                <w:lang w:val="en-US" w:eastAsia="zh-CN"/>
              </w:rPr>
            </w:pPr>
            <w:r>
              <w:rPr>
                <w:rFonts w:hint="eastAsia"/>
                <w:sz w:val="21"/>
                <w:szCs w:val="21"/>
                <w:lang w:val="en-US" w:eastAsia="zh-CN"/>
              </w:rPr>
              <w:t>台</w:t>
            </w:r>
          </w:p>
        </w:tc>
      </w:tr>
      <w:tr w14:paraId="02BDF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F8531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2688" w:type="dxa"/>
            <w:vMerge w:val="continue"/>
            <w:vAlign w:val="center"/>
          </w:tcPr>
          <w:p w14:paraId="0ED464E3">
            <w:pPr>
              <w:bidi w:val="0"/>
              <w:jc w:val="center"/>
              <w:rPr>
                <w:rFonts w:hint="default"/>
                <w:sz w:val="21"/>
                <w:szCs w:val="21"/>
                <w:lang w:val="en-US" w:eastAsia="zh-CN"/>
              </w:rPr>
            </w:pPr>
          </w:p>
        </w:tc>
        <w:tc>
          <w:tcPr>
            <w:tcW w:w="3212" w:type="dxa"/>
            <w:vAlign w:val="center"/>
          </w:tcPr>
          <w:p w14:paraId="1A32A687">
            <w:pPr>
              <w:bidi w:val="0"/>
              <w:jc w:val="center"/>
              <w:rPr>
                <w:rFonts w:hint="default"/>
                <w:sz w:val="21"/>
                <w:szCs w:val="21"/>
                <w:lang w:val="en-US" w:eastAsia="zh-CN"/>
              </w:rPr>
            </w:pPr>
            <w:r>
              <w:rPr>
                <w:rFonts w:hint="eastAsia"/>
                <w:sz w:val="21"/>
                <w:szCs w:val="21"/>
              </w:rPr>
              <w:t>微量注射泵</w:t>
            </w:r>
          </w:p>
        </w:tc>
        <w:tc>
          <w:tcPr>
            <w:tcW w:w="912" w:type="dxa"/>
            <w:vAlign w:val="center"/>
          </w:tcPr>
          <w:p w14:paraId="62E88A02">
            <w:pPr>
              <w:bidi w:val="0"/>
              <w:jc w:val="center"/>
              <w:rPr>
                <w:rFonts w:hint="default"/>
                <w:sz w:val="21"/>
                <w:szCs w:val="21"/>
                <w:lang w:val="en-US" w:eastAsia="zh-CN"/>
              </w:rPr>
            </w:pPr>
            <w:r>
              <w:rPr>
                <w:rFonts w:hint="eastAsia"/>
                <w:sz w:val="21"/>
                <w:szCs w:val="21"/>
                <w:lang w:val="en-US" w:eastAsia="zh-CN"/>
              </w:rPr>
              <w:t>15</w:t>
            </w:r>
          </w:p>
        </w:tc>
        <w:tc>
          <w:tcPr>
            <w:tcW w:w="990" w:type="dxa"/>
            <w:vAlign w:val="center"/>
          </w:tcPr>
          <w:p w14:paraId="39A738A4">
            <w:pPr>
              <w:bidi w:val="0"/>
              <w:jc w:val="center"/>
              <w:rPr>
                <w:rFonts w:hint="default"/>
                <w:sz w:val="21"/>
                <w:szCs w:val="21"/>
                <w:lang w:val="en-US" w:eastAsia="zh-CN"/>
              </w:rPr>
            </w:pPr>
            <w:r>
              <w:rPr>
                <w:rFonts w:hint="eastAsia"/>
                <w:sz w:val="21"/>
                <w:szCs w:val="21"/>
                <w:lang w:val="en-US" w:eastAsia="zh-CN"/>
              </w:rPr>
              <w:t>台</w:t>
            </w:r>
          </w:p>
        </w:tc>
      </w:tr>
      <w:tr w14:paraId="1DC9C14F">
        <w:tblPrEx>
          <w:tblCellMar>
            <w:top w:w="0" w:type="dxa"/>
            <w:left w:w="108" w:type="dxa"/>
            <w:bottom w:w="0" w:type="dxa"/>
            <w:right w:w="108" w:type="dxa"/>
          </w:tblCellMar>
        </w:tblPrEx>
        <w:tc>
          <w:tcPr>
            <w:tcW w:w="720" w:type="dxa"/>
            <w:vAlign w:val="center"/>
          </w:tcPr>
          <w:p w14:paraId="43E796A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73</w:t>
            </w:r>
          </w:p>
        </w:tc>
        <w:tc>
          <w:tcPr>
            <w:tcW w:w="2688" w:type="dxa"/>
            <w:vMerge w:val="continue"/>
            <w:vAlign w:val="center"/>
          </w:tcPr>
          <w:p w14:paraId="5B89461F">
            <w:pPr>
              <w:bidi w:val="0"/>
              <w:jc w:val="center"/>
              <w:rPr>
                <w:rFonts w:hint="default"/>
                <w:sz w:val="21"/>
                <w:szCs w:val="21"/>
                <w:lang w:val="en-US" w:eastAsia="zh-CN"/>
              </w:rPr>
            </w:pPr>
          </w:p>
        </w:tc>
        <w:tc>
          <w:tcPr>
            <w:tcW w:w="3212" w:type="dxa"/>
            <w:vAlign w:val="center"/>
          </w:tcPr>
          <w:p w14:paraId="0BA44270">
            <w:pPr>
              <w:bidi w:val="0"/>
              <w:jc w:val="center"/>
              <w:rPr>
                <w:rFonts w:hint="default"/>
                <w:sz w:val="21"/>
                <w:szCs w:val="21"/>
                <w:lang w:val="en-US" w:eastAsia="zh-CN"/>
              </w:rPr>
            </w:pPr>
            <w:r>
              <w:rPr>
                <w:rFonts w:hint="eastAsia"/>
                <w:sz w:val="21"/>
                <w:szCs w:val="21"/>
              </w:rPr>
              <w:t>心电图机</w:t>
            </w:r>
          </w:p>
        </w:tc>
        <w:tc>
          <w:tcPr>
            <w:tcW w:w="912" w:type="dxa"/>
            <w:vAlign w:val="center"/>
          </w:tcPr>
          <w:p w14:paraId="4B7731BE">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74839CA7">
            <w:pPr>
              <w:bidi w:val="0"/>
              <w:jc w:val="center"/>
              <w:rPr>
                <w:rFonts w:hint="default"/>
                <w:sz w:val="21"/>
                <w:szCs w:val="21"/>
                <w:lang w:val="en-US" w:eastAsia="zh-CN"/>
              </w:rPr>
            </w:pPr>
            <w:r>
              <w:rPr>
                <w:rFonts w:hint="eastAsia"/>
                <w:sz w:val="21"/>
                <w:szCs w:val="21"/>
                <w:lang w:val="en-US" w:eastAsia="zh-CN"/>
              </w:rPr>
              <w:t>台</w:t>
            </w:r>
          </w:p>
        </w:tc>
      </w:tr>
      <w:tr w14:paraId="15D8A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7ECB2D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74</w:t>
            </w:r>
          </w:p>
        </w:tc>
        <w:tc>
          <w:tcPr>
            <w:tcW w:w="2688" w:type="dxa"/>
            <w:vMerge w:val="continue"/>
            <w:vAlign w:val="center"/>
          </w:tcPr>
          <w:p w14:paraId="36FC8A7E">
            <w:pPr>
              <w:bidi w:val="0"/>
              <w:jc w:val="center"/>
              <w:rPr>
                <w:rFonts w:hint="default"/>
                <w:sz w:val="21"/>
                <w:szCs w:val="21"/>
                <w:lang w:val="en-US" w:eastAsia="zh-CN"/>
              </w:rPr>
            </w:pPr>
          </w:p>
        </w:tc>
        <w:tc>
          <w:tcPr>
            <w:tcW w:w="3212" w:type="dxa"/>
            <w:vAlign w:val="center"/>
          </w:tcPr>
          <w:p w14:paraId="0FF1EF82">
            <w:pPr>
              <w:bidi w:val="0"/>
              <w:jc w:val="center"/>
              <w:rPr>
                <w:rFonts w:hint="default"/>
                <w:sz w:val="21"/>
                <w:szCs w:val="21"/>
                <w:lang w:val="en-US" w:eastAsia="zh-CN"/>
              </w:rPr>
            </w:pPr>
            <w:r>
              <w:rPr>
                <w:rFonts w:hint="eastAsia"/>
                <w:sz w:val="21"/>
                <w:szCs w:val="21"/>
              </w:rPr>
              <w:t>看片灯</w:t>
            </w:r>
          </w:p>
        </w:tc>
        <w:tc>
          <w:tcPr>
            <w:tcW w:w="912" w:type="dxa"/>
            <w:vAlign w:val="center"/>
          </w:tcPr>
          <w:p w14:paraId="67818B63">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19B09B9C">
            <w:pPr>
              <w:bidi w:val="0"/>
              <w:jc w:val="center"/>
              <w:rPr>
                <w:rFonts w:hint="default"/>
                <w:sz w:val="21"/>
                <w:szCs w:val="21"/>
                <w:lang w:val="en-US" w:eastAsia="zh-CN"/>
              </w:rPr>
            </w:pPr>
            <w:r>
              <w:rPr>
                <w:rFonts w:hint="eastAsia"/>
                <w:sz w:val="21"/>
                <w:szCs w:val="21"/>
                <w:lang w:val="en-US" w:eastAsia="zh-CN"/>
              </w:rPr>
              <w:t>台</w:t>
            </w:r>
          </w:p>
        </w:tc>
      </w:tr>
      <w:tr w14:paraId="2B1808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9F33C7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75</w:t>
            </w:r>
          </w:p>
        </w:tc>
        <w:tc>
          <w:tcPr>
            <w:tcW w:w="2688" w:type="dxa"/>
            <w:vMerge w:val="continue"/>
            <w:vAlign w:val="center"/>
          </w:tcPr>
          <w:p w14:paraId="04A34FAC">
            <w:pPr>
              <w:bidi w:val="0"/>
              <w:jc w:val="center"/>
              <w:rPr>
                <w:rFonts w:hint="default"/>
                <w:sz w:val="21"/>
                <w:szCs w:val="21"/>
                <w:lang w:val="en-US" w:eastAsia="zh-CN"/>
              </w:rPr>
            </w:pPr>
          </w:p>
        </w:tc>
        <w:tc>
          <w:tcPr>
            <w:tcW w:w="3212" w:type="dxa"/>
            <w:vAlign w:val="center"/>
          </w:tcPr>
          <w:p w14:paraId="0195F1B9">
            <w:pPr>
              <w:bidi w:val="0"/>
              <w:jc w:val="center"/>
              <w:rPr>
                <w:rFonts w:hint="default"/>
                <w:sz w:val="21"/>
                <w:szCs w:val="21"/>
                <w:lang w:val="en-US" w:eastAsia="zh-CN"/>
              </w:rPr>
            </w:pPr>
            <w:r>
              <w:rPr>
                <w:rFonts w:hint="eastAsia"/>
                <w:sz w:val="21"/>
                <w:szCs w:val="21"/>
              </w:rPr>
              <w:t>血细胞分离机</w:t>
            </w:r>
          </w:p>
        </w:tc>
        <w:tc>
          <w:tcPr>
            <w:tcW w:w="912" w:type="dxa"/>
            <w:vAlign w:val="center"/>
          </w:tcPr>
          <w:p w14:paraId="6FA7819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5AD6A5A">
            <w:pPr>
              <w:bidi w:val="0"/>
              <w:jc w:val="center"/>
              <w:rPr>
                <w:rFonts w:hint="default"/>
                <w:sz w:val="21"/>
                <w:szCs w:val="21"/>
                <w:lang w:val="en-US" w:eastAsia="zh-CN"/>
              </w:rPr>
            </w:pPr>
            <w:r>
              <w:rPr>
                <w:rFonts w:hint="eastAsia"/>
                <w:sz w:val="21"/>
                <w:szCs w:val="21"/>
                <w:lang w:val="en-US" w:eastAsia="zh-CN"/>
              </w:rPr>
              <w:t>台</w:t>
            </w:r>
          </w:p>
        </w:tc>
      </w:tr>
      <w:tr w14:paraId="29267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035D92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76</w:t>
            </w:r>
          </w:p>
        </w:tc>
        <w:tc>
          <w:tcPr>
            <w:tcW w:w="2688" w:type="dxa"/>
            <w:vMerge w:val="restart"/>
            <w:vAlign w:val="center"/>
          </w:tcPr>
          <w:p w14:paraId="53922C18">
            <w:pPr>
              <w:bidi w:val="0"/>
              <w:jc w:val="center"/>
              <w:rPr>
                <w:rFonts w:hint="default"/>
                <w:sz w:val="21"/>
                <w:szCs w:val="21"/>
                <w:lang w:val="en-US" w:eastAsia="zh-CN"/>
              </w:rPr>
            </w:pPr>
            <w:r>
              <w:rPr>
                <w:rFonts w:hint="eastAsia"/>
                <w:sz w:val="21"/>
                <w:szCs w:val="21"/>
                <w:lang w:val="en-US" w:eastAsia="zh-CN"/>
              </w:rPr>
              <w:t>内窥镜设备</w:t>
            </w:r>
          </w:p>
        </w:tc>
        <w:tc>
          <w:tcPr>
            <w:tcW w:w="3212" w:type="dxa"/>
            <w:vAlign w:val="center"/>
          </w:tcPr>
          <w:p w14:paraId="7B2F8586">
            <w:pPr>
              <w:bidi w:val="0"/>
              <w:jc w:val="center"/>
              <w:rPr>
                <w:rFonts w:hint="default"/>
                <w:sz w:val="21"/>
                <w:szCs w:val="21"/>
                <w:lang w:val="en-US" w:eastAsia="zh-CN"/>
              </w:rPr>
            </w:pPr>
            <w:r>
              <w:rPr>
                <w:rFonts w:hint="eastAsia"/>
                <w:sz w:val="21"/>
                <w:szCs w:val="21"/>
              </w:rPr>
              <w:t>胃镜</w:t>
            </w:r>
          </w:p>
        </w:tc>
        <w:tc>
          <w:tcPr>
            <w:tcW w:w="912" w:type="dxa"/>
            <w:vAlign w:val="center"/>
          </w:tcPr>
          <w:p w14:paraId="722A38A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B92D0C1">
            <w:pPr>
              <w:bidi w:val="0"/>
              <w:jc w:val="center"/>
              <w:rPr>
                <w:rFonts w:hint="default"/>
                <w:sz w:val="21"/>
                <w:szCs w:val="21"/>
                <w:lang w:val="en-US" w:eastAsia="zh-CN"/>
              </w:rPr>
            </w:pPr>
            <w:r>
              <w:rPr>
                <w:rFonts w:hint="eastAsia"/>
                <w:sz w:val="21"/>
                <w:szCs w:val="21"/>
                <w:lang w:val="en-US" w:eastAsia="zh-CN"/>
              </w:rPr>
              <w:t>台</w:t>
            </w:r>
          </w:p>
        </w:tc>
      </w:tr>
      <w:tr w14:paraId="61D4A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B39DAA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77</w:t>
            </w:r>
          </w:p>
        </w:tc>
        <w:tc>
          <w:tcPr>
            <w:tcW w:w="2688" w:type="dxa"/>
            <w:vMerge w:val="continue"/>
            <w:vAlign w:val="center"/>
          </w:tcPr>
          <w:p w14:paraId="726B2D4F">
            <w:pPr>
              <w:bidi w:val="0"/>
              <w:jc w:val="center"/>
              <w:rPr>
                <w:rFonts w:hint="default"/>
                <w:sz w:val="21"/>
                <w:szCs w:val="21"/>
                <w:lang w:val="en-US" w:eastAsia="zh-CN"/>
              </w:rPr>
            </w:pPr>
          </w:p>
        </w:tc>
        <w:tc>
          <w:tcPr>
            <w:tcW w:w="3212" w:type="dxa"/>
            <w:vAlign w:val="center"/>
          </w:tcPr>
          <w:p w14:paraId="6B2CFAA1">
            <w:pPr>
              <w:bidi w:val="0"/>
              <w:jc w:val="center"/>
              <w:rPr>
                <w:rFonts w:hint="default"/>
                <w:sz w:val="21"/>
                <w:szCs w:val="21"/>
                <w:lang w:val="en-US" w:eastAsia="zh-CN"/>
              </w:rPr>
            </w:pPr>
            <w:r>
              <w:rPr>
                <w:rFonts w:hint="eastAsia"/>
                <w:sz w:val="21"/>
                <w:szCs w:val="21"/>
              </w:rPr>
              <w:t>肾镜</w:t>
            </w:r>
          </w:p>
        </w:tc>
        <w:tc>
          <w:tcPr>
            <w:tcW w:w="912" w:type="dxa"/>
            <w:vAlign w:val="center"/>
          </w:tcPr>
          <w:p w14:paraId="0B14613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27D5850">
            <w:pPr>
              <w:bidi w:val="0"/>
              <w:jc w:val="center"/>
              <w:rPr>
                <w:rFonts w:hint="default"/>
                <w:sz w:val="21"/>
                <w:szCs w:val="21"/>
                <w:lang w:val="en-US" w:eastAsia="zh-CN"/>
              </w:rPr>
            </w:pPr>
            <w:r>
              <w:rPr>
                <w:rFonts w:hint="eastAsia"/>
                <w:sz w:val="21"/>
                <w:szCs w:val="21"/>
                <w:lang w:val="en-US" w:eastAsia="zh-CN"/>
              </w:rPr>
              <w:t>台</w:t>
            </w:r>
          </w:p>
        </w:tc>
      </w:tr>
      <w:tr w14:paraId="1EB785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FEDD18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78</w:t>
            </w:r>
          </w:p>
        </w:tc>
        <w:tc>
          <w:tcPr>
            <w:tcW w:w="2688" w:type="dxa"/>
            <w:vMerge w:val="continue"/>
            <w:vAlign w:val="center"/>
          </w:tcPr>
          <w:p w14:paraId="51FA96DD">
            <w:pPr>
              <w:bidi w:val="0"/>
              <w:jc w:val="center"/>
              <w:rPr>
                <w:rFonts w:hint="default"/>
                <w:sz w:val="21"/>
                <w:szCs w:val="21"/>
                <w:lang w:val="en-US" w:eastAsia="zh-CN"/>
              </w:rPr>
            </w:pPr>
          </w:p>
        </w:tc>
        <w:tc>
          <w:tcPr>
            <w:tcW w:w="3212" w:type="dxa"/>
            <w:vAlign w:val="center"/>
          </w:tcPr>
          <w:p w14:paraId="761A0440">
            <w:pPr>
              <w:bidi w:val="0"/>
              <w:jc w:val="center"/>
              <w:rPr>
                <w:rFonts w:hint="default"/>
                <w:sz w:val="21"/>
                <w:szCs w:val="21"/>
                <w:lang w:val="en-US" w:eastAsia="zh-CN"/>
              </w:rPr>
            </w:pPr>
            <w:r>
              <w:rPr>
                <w:rFonts w:hint="eastAsia"/>
                <w:sz w:val="21"/>
                <w:szCs w:val="21"/>
              </w:rPr>
              <w:t>碎石机</w:t>
            </w:r>
          </w:p>
        </w:tc>
        <w:tc>
          <w:tcPr>
            <w:tcW w:w="912" w:type="dxa"/>
            <w:vAlign w:val="center"/>
          </w:tcPr>
          <w:p w14:paraId="77BD953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BC1D94B">
            <w:pPr>
              <w:bidi w:val="0"/>
              <w:jc w:val="center"/>
              <w:rPr>
                <w:rFonts w:hint="default"/>
                <w:sz w:val="21"/>
                <w:szCs w:val="21"/>
                <w:lang w:val="en-US" w:eastAsia="zh-CN"/>
              </w:rPr>
            </w:pPr>
            <w:r>
              <w:rPr>
                <w:rFonts w:hint="eastAsia"/>
                <w:sz w:val="21"/>
                <w:szCs w:val="21"/>
                <w:lang w:val="en-US" w:eastAsia="zh-CN"/>
              </w:rPr>
              <w:t>台</w:t>
            </w:r>
          </w:p>
        </w:tc>
      </w:tr>
      <w:tr w14:paraId="2A907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EB5623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79</w:t>
            </w:r>
          </w:p>
        </w:tc>
        <w:tc>
          <w:tcPr>
            <w:tcW w:w="2688" w:type="dxa"/>
            <w:vMerge w:val="continue"/>
            <w:vAlign w:val="center"/>
          </w:tcPr>
          <w:p w14:paraId="07F62502">
            <w:pPr>
              <w:bidi w:val="0"/>
              <w:jc w:val="center"/>
              <w:rPr>
                <w:rFonts w:hint="default"/>
                <w:sz w:val="21"/>
                <w:szCs w:val="21"/>
                <w:lang w:val="en-US" w:eastAsia="zh-CN"/>
              </w:rPr>
            </w:pPr>
          </w:p>
        </w:tc>
        <w:tc>
          <w:tcPr>
            <w:tcW w:w="3212" w:type="dxa"/>
            <w:vAlign w:val="center"/>
          </w:tcPr>
          <w:p w14:paraId="5D9E2EC3">
            <w:pPr>
              <w:bidi w:val="0"/>
              <w:jc w:val="center"/>
              <w:rPr>
                <w:rFonts w:hint="default"/>
                <w:sz w:val="21"/>
                <w:szCs w:val="21"/>
                <w:lang w:val="en-US" w:eastAsia="zh-CN"/>
              </w:rPr>
            </w:pPr>
            <w:r>
              <w:rPr>
                <w:rFonts w:hint="eastAsia"/>
                <w:sz w:val="21"/>
                <w:szCs w:val="21"/>
              </w:rPr>
              <w:t>宫腔镜</w:t>
            </w:r>
          </w:p>
        </w:tc>
        <w:tc>
          <w:tcPr>
            <w:tcW w:w="912" w:type="dxa"/>
            <w:vAlign w:val="center"/>
          </w:tcPr>
          <w:p w14:paraId="46C3B637">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6BAADD74">
            <w:pPr>
              <w:bidi w:val="0"/>
              <w:jc w:val="center"/>
              <w:rPr>
                <w:rFonts w:hint="default"/>
                <w:sz w:val="21"/>
                <w:szCs w:val="21"/>
                <w:lang w:val="en-US" w:eastAsia="zh-CN"/>
              </w:rPr>
            </w:pPr>
            <w:r>
              <w:rPr>
                <w:rFonts w:hint="eastAsia"/>
                <w:sz w:val="21"/>
                <w:szCs w:val="21"/>
                <w:lang w:val="en-US" w:eastAsia="zh-CN"/>
              </w:rPr>
              <w:t>台</w:t>
            </w:r>
          </w:p>
        </w:tc>
      </w:tr>
      <w:tr w14:paraId="34BF93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7E8B4B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2688" w:type="dxa"/>
            <w:vMerge w:val="continue"/>
            <w:vAlign w:val="center"/>
          </w:tcPr>
          <w:p w14:paraId="2DA1ACDA">
            <w:pPr>
              <w:bidi w:val="0"/>
              <w:jc w:val="center"/>
              <w:rPr>
                <w:rFonts w:hint="default"/>
                <w:sz w:val="21"/>
                <w:szCs w:val="21"/>
                <w:lang w:val="en-US" w:eastAsia="zh-CN"/>
              </w:rPr>
            </w:pPr>
          </w:p>
        </w:tc>
        <w:tc>
          <w:tcPr>
            <w:tcW w:w="3212" w:type="dxa"/>
            <w:vAlign w:val="center"/>
          </w:tcPr>
          <w:p w14:paraId="5697226C">
            <w:pPr>
              <w:bidi w:val="0"/>
              <w:jc w:val="center"/>
              <w:rPr>
                <w:rFonts w:hint="default"/>
                <w:sz w:val="21"/>
                <w:szCs w:val="21"/>
                <w:lang w:val="en-US" w:eastAsia="zh-CN"/>
              </w:rPr>
            </w:pPr>
            <w:r>
              <w:rPr>
                <w:rFonts w:hint="eastAsia"/>
                <w:sz w:val="21"/>
                <w:szCs w:val="21"/>
              </w:rPr>
              <w:t>十二指肠镜</w:t>
            </w:r>
          </w:p>
        </w:tc>
        <w:tc>
          <w:tcPr>
            <w:tcW w:w="912" w:type="dxa"/>
            <w:vAlign w:val="center"/>
          </w:tcPr>
          <w:p w14:paraId="445BC18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A48E814">
            <w:pPr>
              <w:bidi w:val="0"/>
              <w:jc w:val="center"/>
              <w:rPr>
                <w:rFonts w:hint="default"/>
                <w:sz w:val="21"/>
                <w:szCs w:val="21"/>
                <w:lang w:val="en-US" w:eastAsia="zh-CN"/>
              </w:rPr>
            </w:pPr>
            <w:r>
              <w:rPr>
                <w:rFonts w:hint="eastAsia"/>
                <w:sz w:val="21"/>
                <w:szCs w:val="21"/>
                <w:lang w:val="en-US" w:eastAsia="zh-CN"/>
              </w:rPr>
              <w:t>台</w:t>
            </w:r>
          </w:p>
        </w:tc>
      </w:tr>
      <w:tr w14:paraId="622B5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7F88DF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81</w:t>
            </w:r>
          </w:p>
        </w:tc>
        <w:tc>
          <w:tcPr>
            <w:tcW w:w="2688" w:type="dxa"/>
            <w:vMerge w:val="continue"/>
            <w:vAlign w:val="center"/>
          </w:tcPr>
          <w:p w14:paraId="1F332EE0">
            <w:pPr>
              <w:bidi w:val="0"/>
              <w:jc w:val="center"/>
              <w:rPr>
                <w:rFonts w:hint="default"/>
                <w:sz w:val="21"/>
                <w:szCs w:val="21"/>
                <w:lang w:val="en-US" w:eastAsia="zh-CN"/>
              </w:rPr>
            </w:pPr>
          </w:p>
        </w:tc>
        <w:tc>
          <w:tcPr>
            <w:tcW w:w="3212" w:type="dxa"/>
            <w:vAlign w:val="center"/>
          </w:tcPr>
          <w:p w14:paraId="3383E84B">
            <w:pPr>
              <w:bidi w:val="0"/>
              <w:jc w:val="center"/>
              <w:rPr>
                <w:rFonts w:hint="default"/>
                <w:sz w:val="21"/>
                <w:szCs w:val="21"/>
                <w:lang w:val="en-US" w:eastAsia="zh-CN"/>
              </w:rPr>
            </w:pPr>
            <w:r>
              <w:rPr>
                <w:rFonts w:hint="eastAsia"/>
                <w:sz w:val="21"/>
                <w:szCs w:val="21"/>
              </w:rPr>
              <w:t>膀胱镜</w:t>
            </w:r>
          </w:p>
        </w:tc>
        <w:tc>
          <w:tcPr>
            <w:tcW w:w="912" w:type="dxa"/>
            <w:vAlign w:val="center"/>
          </w:tcPr>
          <w:p w14:paraId="568B64E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8ACE62A">
            <w:pPr>
              <w:bidi w:val="0"/>
              <w:jc w:val="center"/>
              <w:rPr>
                <w:rFonts w:hint="default"/>
                <w:sz w:val="21"/>
                <w:szCs w:val="21"/>
                <w:lang w:val="en-US" w:eastAsia="zh-CN"/>
              </w:rPr>
            </w:pPr>
            <w:r>
              <w:rPr>
                <w:rFonts w:hint="eastAsia"/>
                <w:sz w:val="21"/>
                <w:szCs w:val="21"/>
                <w:lang w:val="en-US" w:eastAsia="zh-CN"/>
              </w:rPr>
              <w:t>台</w:t>
            </w:r>
          </w:p>
        </w:tc>
      </w:tr>
      <w:tr w14:paraId="04DEB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B4D571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82</w:t>
            </w:r>
          </w:p>
        </w:tc>
        <w:tc>
          <w:tcPr>
            <w:tcW w:w="2688" w:type="dxa"/>
            <w:vMerge w:val="continue"/>
            <w:vAlign w:val="center"/>
          </w:tcPr>
          <w:p w14:paraId="00247EE4">
            <w:pPr>
              <w:bidi w:val="0"/>
              <w:jc w:val="center"/>
              <w:rPr>
                <w:rFonts w:hint="default"/>
                <w:sz w:val="21"/>
                <w:szCs w:val="21"/>
                <w:lang w:val="en-US" w:eastAsia="zh-CN"/>
              </w:rPr>
            </w:pPr>
          </w:p>
        </w:tc>
        <w:tc>
          <w:tcPr>
            <w:tcW w:w="3212" w:type="dxa"/>
            <w:vAlign w:val="center"/>
          </w:tcPr>
          <w:p w14:paraId="2E4DDF2F">
            <w:pPr>
              <w:bidi w:val="0"/>
              <w:jc w:val="center"/>
              <w:rPr>
                <w:rFonts w:hint="default"/>
                <w:sz w:val="21"/>
                <w:szCs w:val="21"/>
                <w:lang w:val="en-US" w:eastAsia="zh-CN"/>
              </w:rPr>
            </w:pPr>
            <w:r>
              <w:rPr>
                <w:rFonts w:hint="eastAsia"/>
                <w:sz w:val="21"/>
                <w:szCs w:val="21"/>
              </w:rPr>
              <w:t>腔镜系统(含腹腔镜、胸腔镜)</w:t>
            </w:r>
          </w:p>
        </w:tc>
        <w:tc>
          <w:tcPr>
            <w:tcW w:w="912" w:type="dxa"/>
            <w:vAlign w:val="center"/>
          </w:tcPr>
          <w:p w14:paraId="7CCCE4AB">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60E7F8F">
            <w:pPr>
              <w:bidi w:val="0"/>
              <w:jc w:val="center"/>
              <w:rPr>
                <w:rFonts w:hint="default"/>
                <w:sz w:val="21"/>
                <w:szCs w:val="21"/>
                <w:lang w:val="en-US" w:eastAsia="zh-CN"/>
              </w:rPr>
            </w:pPr>
            <w:r>
              <w:rPr>
                <w:rFonts w:hint="eastAsia"/>
                <w:sz w:val="21"/>
                <w:szCs w:val="21"/>
                <w:lang w:val="en-US" w:eastAsia="zh-CN"/>
              </w:rPr>
              <w:t>套</w:t>
            </w:r>
          </w:p>
        </w:tc>
      </w:tr>
      <w:tr w14:paraId="4F56AA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759678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83</w:t>
            </w:r>
          </w:p>
        </w:tc>
        <w:tc>
          <w:tcPr>
            <w:tcW w:w="2688" w:type="dxa"/>
            <w:vMerge w:val="restart"/>
            <w:vAlign w:val="center"/>
          </w:tcPr>
          <w:p w14:paraId="5C0B3F35">
            <w:pPr>
              <w:bidi w:val="0"/>
              <w:jc w:val="center"/>
              <w:rPr>
                <w:rFonts w:hint="default"/>
                <w:sz w:val="21"/>
                <w:szCs w:val="21"/>
                <w:lang w:val="en-US" w:eastAsia="zh-CN"/>
              </w:rPr>
            </w:pPr>
            <w:r>
              <w:rPr>
                <w:rFonts w:hint="eastAsia"/>
                <w:sz w:val="21"/>
                <w:szCs w:val="21"/>
                <w:lang w:val="en-US" w:eastAsia="zh-CN"/>
              </w:rPr>
              <w:t>耳鼻喉科</w:t>
            </w:r>
          </w:p>
        </w:tc>
        <w:tc>
          <w:tcPr>
            <w:tcW w:w="3212" w:type="dxa"/>
            <w:vAlign w:val="center"/>
          </w:tcPr>
          <w:p w14:paraId="5055BED1">
            <w:pPr>
              <w:bidi w:val="0"/>
              <w:jc w:val="center"/>
              <w:rPr>
                <w:rFonts w:hint="default"/>
                <w:sz w:val="21"/>
                <w:szCs w:val="21"/>
                <w:lang w:val="en-US" w:eastAsia="zh-CN"/>
              </w:rPr>
            </w:pPr>
            <w:r>
              <w:rPr>
                <w:rFonts w:hint="eastAsia"/>
                <w:sz w:val="21"/>
                <w:szCs w:val="21"/>
              </w:rPr>
              <w:t>耳鼻喉综合治疗台</w:t>
            </w:r>
          </w:p>
        </w:tc>
        <w:tc>
          <w:tcPr>
            <w:tcW w:w="912" w:type="dxa"/>
            <w:vAlign w:val="center"/>
          </w:tcPr>
          <w:p w14:paraId="15EECAD5">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1D97B21B">
            <w:pPr>
              <w:bidi w:val="0"/>
              <w:jc w:val="center"/>
              <w:rPr>
                <w:rFonts w:hint="default"/>
                <w:sz w:val="21"/>
                <w:szCs w:val="21"/>
                <w:lang w:val="en-US" w:eastAsia="zh-CN"/>
              </w:rPr>
            </w:pPr>
            <w:r>
              <w:rPr>
                <w:rFonts w:hint="eastAsia"/>
                <w:sz w:val="21"/>
                <w:szCs w:val="21"/>
                <w:lang w:val="en-US" w:eastAsia="zh-CN"/>
              </w:rPr>
              <w:t>台</w:t>
            </w:r>
          </w:p>
        </w:tc>
      </w:tr>
      <w:tr w14:paraId="70235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792587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84</w:t>
            </w:r>
          </w:p>
        </w:tc>
        <w:tc>
          <w:tcPr>
            <w:tcW w:w="2688" w:type="dxa"/>
            <w:vMerge w:val="continue"/>
            <w:vAlign w:val="center"/>
          </w:tcPr>
          <w:p w14:paraId="7B11A51E">
            <w:pPr>
              <w:bidi w:val="0"/>
              <w:jc w:val="center"/>
              <w:rPr>
                <w:rFonts w:hint="default"/>
                <w:sz w:val="21"/>
                <w:szCs w:val="21"/>
                <w:lang w:val="en-US" w:eastAsia="zh-CN"/>
              </w:rPr>
            </w:pPr>
          </w:p>
        </w:tc>
        <w:tc>
          <w:tcPr>
            <w:tcW w:w="3212" w:type="dxa"/>
            <w:vAlign w:val="center"/>
          </w:tcPr>
          <w:p w14:paraId="476B9CFB">
            <w:pPr>
              <w:bidi w:val="0"/>
              <w:jc w:val="center"/>
              <w:rPr>
                <w:rFonts w:hint="default"/>
                <w:sz w:val="21"/>
                <w:szCs w:val="21"/>
                <w:lang w:val="en-US" w:eastAsia="zh-CN"/>
              </w:rPr>
            </w:pPr>
            <w:r>
              <w:rPr>
                <w:rFonts w:hint="eastAsia"/>
                <w:sz w:val="21"/>
                <w:szCs w:val="21"/>
              </w:rPr>
              <w:t>声阻抗仪</w:t>
            </w:r>
          </w:p>
        </w:tc>
        <w:tc>
          <w:tcPr>
            <w:tcW w:w="912" w:type="dxa"/>
            <w:vAlign w:val="center"/>
          </w:tcPr>
          <w:p w14:paraId="4370905A">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68CDDDC">
            <w:pPr>
              <w:bidi w:val="0"/>
              <w:jc w:val="center"/>
              <w:rPr>
                <w:rFonts w:hint="default"/>
                <w:sz w:val="21"/>
                <w:szCs w:val="21"/>
                <w:lang w:val="en-US" w:eastAsia="zh-CN"/>
              </w:rPr>
            </w:pPr>
            <w:r>
              <w:rPr>
                <w:rFonts w:hint="eastAsia"/>
                <w:sz w:val="21"/>
                <w:szCs w:val="21"/>
                <w:lang w:val="en-US" w:eastAsia="zh-CN"/>
              </w:rPr>
              <w:t>台</w:t>
            </w:r>
          </w:p>
        </w:tc>
      </w:tr>
      <w:tr w14:paraId="4B37FB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A86339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85</w:t>
            </w:r>
          </w:p>
        </w:tc>
        <w:tc>
          <w:tcPr>
            <w:tcW w:w="2688" w:type="dxa"/>
            <w:vMerge w:val="continue"/>
            <w:vAlign w:val="center"/>
          </w:tcPr>
          <w:p w14:paraId="7C15DA91">
            <w:pPr>
              <w:bidi w:val="0"/>
              <w:jc w:val="center"/>
              <w:rPr>
                <w:rFonts w:hint="default"/>
                <w:sz w:val="21"/>
                <w:szCs w:val="21"/>
                <w:lang w:val="en-US" w:eastAsia="zh-CN"/>
              </w:rPr>
            </w:pPr>
          </w:p>
        </w:tc>
        <w:tc>
          <w:tcPr>
            <w:tcW w:w="3212" w:type="dxa"/>
            <w:vAlign w:val="center"/>
          </w:tcPr>
          <w:p w14:paraId="2947358C">
            <w:pPr>
              <w:bidi w:val="0"/>
              <w:jc w:val="center"/>
              <w:rPr>
                <w:rFonts w:hint="default"/>
                <w:sz w:val="21"/>
                <w:szCs w:val="21"/>
                <w:lang w:val="en-US" w:eastAsia="zh-CN"/>
              </w:rPr>
            </w:pPr>
            <w:r>
              <w:rPr>
                <w:rFonts w:hint="eastAsia"/>
                <w:sz w:val="21"/>
                <w:szCs w:val="21"/>
              </w:rPr>
              <w:t>听觉诱发电位仪</w:t>
            </w:r>
          </w:p>
        </w:tc>
        <w:tc>
          <w:tcPr>
            <w:tcW w:w="912" w:type="dxa"/>
            <w:vAlign w:val="center"/>
          </w:tcPr>
          <w:p w14:paraId="3A3CC3D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17230BF">
            <w:pPr>
              <w:bidi w:val="0"/>
              <w:jc w:val="center"/>
              <w:rPr>
                <w:rFonts w:hint="default"/>
                <w:sz w:val="21"/>
                <w:szCs w:val="21"/>
                <w:lang w:val="en-US" w:eastAsia="zh-CN"/>
              </w:rPr>
            </w:pPr>
            <w:r>
              <w:rPr>
                <w:rFonts w:hint="eastAsia"/>
                <w:sz w:val="21"/>
                <w:szCs w:val="21"/>
                <w:lang w:val="en-US" w:eastAsia="zh-CN"/>
              </w:rPr>
              <w:t>台</w:t>
            </w:r>
          </w:p>
        </w:tc>
      </w:tr>
      <w:tr w14:paraId="622E6E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FBCA40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86</w:t>
            </w:r>
          </w:p>
        </w:tc>
        <w:tc>
          <w:tcPr>
            <w:tcW w:w="2688" w:type="dxa"/>
            <w:vMerge w:val="continue"/>
            <w:vAlign w:val="center"/>
          </w:tcPr>
          <w:p w14:paraId="0C53D0D5">
            <w:pPr>
              <w:bidi w:val="0"/>
              <w:jc w:val="center"/>
              <w:rPr>
                <w:rFonts w:hint="default"/>
                <w:sz w:val="21"/>
                <w:szCs w:val="21"/>
                <w:lang w:val="en-US" w:eastAsia="zh-CN"/>
              </w:rPr>
            </w:pPr>
          </w:p>
        </w:tc>
        <w:tc>
          <w:tcPr>
            <w:tcW w:w="3212" w:type="dxa"/>
            <w:vAlign w:val="center"/>
          </w:tcPr>
          <w:p w14:paraId="42C7A82D">
            <w:pPr>
              <w:bidi w:val="0"/>
              <w:jc w:val="center"/>
              <w:rPr>
                <w:rFonts w:hint="default"/>
                <w:sz w:val="21"/>
                <w:szCs w:val="21"/>
                <w:lang w:val="en-US" w:eastAsia="zh-CN"/>
              </w:rPr>
            </w:pPr>
            <w:r>
              <w:rPr>
                <w:rFonts w:hint="eastAsia"/>
                <w:sz w:val="21"/>
                <w:szCs w:val="21"/>
              </w:rPr>
              <w:t>鼻咽喉镜系统</w:t>
            </w:r>
          </w:p>
        </w:tc>
        <w:tc>
          <w:tcPr>
            <w:tcW w:w="912" w:type="dxa"/>
            <w:vAlign w:val="center"/>
          </w:tcPr>
          <w:p w14:paraId="5AD2C494">
            <w:pPr>
              <w:bidi w:val="0"/>
              <w:jc w:val="center"/>
              <w:rPr>
                <w:rFonts w:hint="default"/>
                <w:sz w:val="21"/>
                <w:szCs w:val="21"/>
                <w:lang w:val="en-US" w:eastAsia="zh-CN"/>
              </w:rPr>
            </w:pPr>
            <w:r>
              <w:rPr>
                <w:rFonts w:hint="eastAsia"/>
                <w:sz w:val="21"/>
                <w:szCs w:val="21"/>
                <w:lang w:val="en-US" w:eastAsia="zh-CN"/>
              </w:rPr>
              <w:t>6</w:t>
            </w:r>
          </w:p>
        </w:tc>
        <w:tc>
          <w:tcPr>
            <w:tcW w:w="990" w:type="dxa"/>
            <w:vAlign w:val="center"/>
          </w:tcPr>
          <w:p w14:paraId="7AA02F19">
            <w:pPr>
              <w:bidi w:val="0"/>
              <w:jc w:val="center"/>
              <w:rPr>
                <w:rFonts w:hint="default"/>
                <w:sz w:val="21"/>
                <w:szCs w:val="21"/>
                <w:lang w:val="en-US" w:eastAsia="zh-CN"/>
              </w:rPr>
            </w:pPr>
            <w:r>
              <w:rPr>
                <w:rFonts w:hint="eastAsia"/>
                <w:sz w:val="21"/>
                <w:szCs w:val="21"/>
                <w:lang w:val="en-US" w:eastAsia="zh-CN"/>
              </w:rPr>
              <w:t>台</w:t>
            </w:r>
          </w:p>
        </w:tc>
      </w:tr>
      <w:tr w14:paraId="7F9D7F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2F0624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87</w:t>
            </w:r>
          </w:p>
        </w:tc>
        <w:tc>
          <w:tcPr>
            <w:tcW w:w="2688" w:type="dxa"/>
            <w:vMerge w:val="continue"/>
            <w:vAlign w:val="center"/>
          </w:tcPr>
          <w:p w14:paraId="7BC4312E">
            <w:pPr>
              <w:bidi w:val="0"/>
              <w:jc w:val="center"/>
              <w:rPr>
                <w:rFonts w:hint="default"/>
                <w:sz w:val="21"/>
                <w:szCs w:val="21"/>
                <w:lang w:val="en-US" w:eastAsia="zh-CN"/>
              </w:rPr>
            </w:pPr>
          </w:p>
        </w:tc>
        <w:tc>
          <w:tcPr>
            <w:tcW w:w="3212" w:type="dxa"/>
            <w:vAlign w:val="center"/>
          </w:tcPr>
          <w:p w14:paraId="6556C4CE">
            <w:pPr>
              <w:bidi w:val="0"/>
              <w:jc w:val="center"/>
              <w:rPr>
                <w:rFonts w:hint="default"/>
                <w:sz w:val="21"/>
                <w:szCs w:val="21"/>
                <w:lang w:val="en-US" w:eastAsia="zh-CN"/>
              </w:rPr>
            </w:pPr>
            <w:r>
              <w:rPr>
                <w:rFonts w:hint="eastAsia"/>
                <w:sz w:val="21"/>
                <w:szCs w:val="21"/>
              </w:rPr>
              <w:t>听力计</w:t>
            </w:r>
          </w:p>
        </w:tc>
        <w:tc>
          <w:tcPr>
            <w:tcW w:w="912" w:type="dxa"/>
            <w:vAlign w:val="center"/>
          </w:tcPr>
          <w:p w14:paraId="748DA9D6">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7CE4886E">
            <w:pPr>
              <w:bidi w:val="0"/>
              <w:jc w:val="center"/>
              <w:rPr>
                <w:rFonts w:hint="default"/>
                <w:sz w:val="21"/>
                <w:szCs w:val="21"/>
                <w:lang w:val="en-US" w:eastAsia="zh-CN"/>
              </w:rPr>
            </w:pPr>
            <w:r>
              <w:rPr>
                <w:rFonts w:hint="eastAsia"/>
                <w:sz w:val="21"/>
                <w:szCs w:val="21"/>
                <w:lang w:val="en-US" w:eastAsia="zh-CN"/>
              </w:rPr>
              <w:t>台</w:t>
            </w:r>
          </w:p>
        </w:tc>
      </w:tr>
      <w:tr w14:paraId="594C6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F201A6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88</w:t>
            </w:r>
          </w:p>
        </w:tc>
        <w:tc>
          <w:tcPr>
            <w:tcW w:w="2688" w:type="dxa"/>
            <w:vMerge w:val="continue"/>
            <w:vAlign w:val="center"/>
          </w:tcPr>
          <w:p w14:paraId="407CB991">
            <w:pPr>
              <w:bidi w:val="0"/>
              <w:jc w:val="center"/>
              <w:rPr>
                <w:rFonts w:hint="default"/>
                <w:sz w:val="21"/>
                <w:szCs w:val="21"/>
                <w:lang w:val="en-US" w:eastAsia="zh-CN"/>
              </w:rPr>
            </w:pPr>
          </w:p>
        </w:tc>
        <w:tc>
          <w:tcPr>
            <w:tcW w:w="3212" w:type="dxa"/>
            <w:vAlign w:val="center"/>
          </w:tcPr>
          <w:p w14:paraId="1B6D33C5">
            <w:pPr>
              <w:bidi w:val="0"/>
              <w:jc w:val="center"/>
              <w:rPr>
                <w:rFonts w:hint="default"/>
                <w:sz w:val="21"/>
                <w:szCs w:val="21"/>
                <w:lang w:val="en-US" w:eastAsia="zh-CN"/>
              </w:rPr>
            </w:pPr>
            <w:r>
              <w:rPr>
                <w:rFonts w:hint="eastAsia"/>
                <w:sz w:val="21"/>
                <w:szCs w:val="21"/>
              </w:rPr>
              <w:t>可视喉镜</w:t>
            </w:r>
          </w:p>
        </w:tc>
        <w:tc>
          <w:tcPr>
            <w:tcW w:w="912" w:type="dxa"/>
            <w:vAlign w:val="center"/>
          </w:tcPr>
          <w:p w14:paraId="3CC7CB0F">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F2395D7">
            <w:pPr>
              <w:bidi w:val="0"/>
              <w:jc w:val="center"/>
              <w:rPr>
                <w:rFonts w:hint="default"/>
                <w:sz w:val="21"/>
                <w:szCs w:val="21"/>
                <w:lang w:val="en-US" w:eastAsia="zh-CN"/>
              </w:rPr>
            </w:pPr>
            <w:r>
              <w:rPr>
                <w:rFonts w:hint="eastAsia"/>
                <w:sz w:val="21"/>
                <w:szCs w:val="21"/>
                <w:lang w:val="en-US" w:eastAsia="zh-CN"/>
              </w:rPr>
              <w:t>台</w:t>
            </w:r>
          </w:p>
        </w:tc>
      </w:tr>
      <w:tr w14:paraId="67283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ED8D96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89</w:t>
            </w:r>
          </w:p>
        </w:tc>
        <w:tc>
          <w:tcPr>
            <w:tcW w:w="2688" w:type="dxa"/>
            <w:vMerge w:val="continue"/>
            <w:vAlign w:val="center"/>
          </w:tcPr>
          <w:p w14:paraId="501106D2">
            <w:pPr>
              <w:bidi w:val="0"/>
              <w:jc w:val="center"/>
              <w:rPr>
                <w:rFonts w:hint="default"/>
                <w:sz w:val="21"/>
                <w:szCs w:val="21"/>
                <w:lang w:val="en-US" w:eastAsia="zh-CN"/>
              </w:rPr>
            </w:pPr>
          </w:p>
        </w:tc>
        <w:tc>
          <w:tcPr>
            <w:tcW w:w="3212" w:type="dxa"/>
            <w:vAlign w:val="center"/>
          </w:tcPr>
          <w:p w14:paraId="1FC273AD">
            <w:pPr>
              <w:bidi w:val="0"/>
              <w:jc w:val="center"/>
              <w:rPr>
                <w:rFonts w:hint="default"/>
                <w:sz w:val="21"/>
                <w:szCs w:val="21"/>
                <w:lang w:val="en-US" w:eastAsia="zh-CN"/>
              </w:rPr>
            </w:pPr>
            <w:r>
              <w:rPr>
                <w:rFonts w:hint="eastAsia"/>
                <w:sz w:val="21"/>
                <w:szCs w:val="21"/>
              </w:rPr>
              <w:t>前庭功能仪</w:t>
            </w:r>
          </w:p>
        </w:tc>
        <w:tc>
          <w:tcPr>
            <w:tcW w:w="912" w:type="dxa"/>
            <w:vAlign w:val="center"/>
          </w:tcPr>
          <w:p w14:paraId="647D6C55">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6C3602F">
            <w:pPr>
              <w:bidi w:val="0"/>
              <w:jc w:val="center"/>
              <w:rPr>
                <w:rFonts w:hint="default"/>
                <w:sz w:val="21"/>
                <w:szCs w:val="21"/>
                <w:lang w:val="en-US" w:eastAsia="zh-CN"/>
              </w:rPr>
            </w:pPr>
            <w:r>
              <w:rPr>
                <w:rFonts w:hint="eastAsia"/>
                <w:sz w:val="21"/>
                <w:szCs w:val="21"/>
                <w:lang w:val="en-US" w:eastAsia="zh-CN"/>
              </w:rPr>
              <w:t>台</w:t>
            </w:r>
          </w:p>
        </w:tc>
      </w:tr>
      <w:tr w14:paraId="2EE2BC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2D3DB9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90</w:t>
            </w:r>
          </w:p>
        </w:tc>
        <w:tc>
          <w:tcPr>
            <w:tcW w:w="2688" w:type="dxa"/>
            <w:vMerge w:val="continue"/>
            <w:vAlign w:val="center"/>
          </w:tcPr>
          <w:p w14:paraId="4F40B0A2">
            <w:pPr>
              <w:bidi w:val="0"/>
              <w:jc w:val="center"/>
              <w:rPr>
                <w:rFonts w:hint="default"/>
                <w:sz w:val="21"/>
                <w:szCs w:val="21"/>
                <w:lang w:val="en-US" w:eastAsia="zh-CN"/>
              </w:rPr>
            </w:pPr>
          </w:p>
        </w:tc>
        <w:tc>
          <w:tcPr>
            <w:tcW w:w="3212" w:type="dxa"/>
            <w:vAlign w:val="center"/>
          </w:tcPr>
          <w:p w14:paraId="3E32A6CF">
            <w:pPr>
              <w:bidi w:val="0"/>
              <w:jc w:val="center"/>
              <w:rPr>
                <w:rFonts w:hint="default"/>
                <w:sz w:val="21"/>
                <w:szCs w:val="21"/>
                <w:lang w:val="en-US" w:eastAsia="zh-CN"/>
              </w:rPr>
            </w:pPr>
            <w:r>
              <w:rPr>
                <w:rFonts w:hint="eastAsia"/>
                <w:sz w:val="21"/>
                <w:szCs w:val="21"/>
              </w:rPr>
              <w:t>激光治疗仪</w:t>
            </w:r>
          </w:p>
        </w:tc>
        <w:tc>
          <w:tcPr>
            <w:tcW w:w="912" w:type="dxa"/>
            <w:vAlign w:val="center"/>
          </w:tcPr>
          <w:p w14:paraId="4FADE8B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49D1CA3">
            <w:pPr>
              <w:bidi w:val="0"/>
              <w:jc w:val="center"/>
              <w:rPr>
                <w:rFonts w:hint="default"/>
                <w:sz w:val="21"/>
                <w:szCs w:val="21"/>
                <w:lang w:val="en-US" w:eastAsia="zh-CN"/>
              </w:rPr>
            </w:pPr>
            <w:r>
              <w:rPr>
                <w:rFonts w:hint="eastAsia"/>
                <w:sz w:val="21"/>
                <w:szCs w:val="21"/>
                <w:lang w:val="en-US" w:eastAsia="zh-CN"/>
              </w:rPr>
              <w:t>台</w:t>
            </w:r>
          </w:p>
        </w:tc>
      </w:tr>
      <w:tr w14:paraId="75BC0B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205C0E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91</w:t>
            </w:r>
          </w:p>
        </w:tc>
        <w:tc>
          <w:tcPr>
            <w:tcW w:w="2688" w:type="dxa"/>
            <w:vMerge w:val="continue"/>
            <w:vAlign w:val="center"/>
          </w:tcPr>
          <w:p w14:paraId="52EAAF78">
            <w:pPr>
              <w:bidi w:val="0"/>
              <w:jc w:val="center"/>
              <w:rPr>
                <w:rFonts w:hint="default"/>
                <w:sz w:val="21"/>
                <w:szCs w:val="21"/>
                <w:lang w:val="en-US" w:eastAsia="zh-CN"/>
              </w:rPr>
            </w:pPr>
          </w:p>
        </w:tc>
        <w:tc>
          <w:tcPr>
            <w:tcW w:w="3212" w:type="dxa"/>
            <w:vAlign w:val="center"/>
          </w:tcPr>
          <w:p w14:paraId="0CA4FE4E">
            <w:pPr>
              <w:bidi w:val="0"/>
              <w:jc w:val="center"/>
              <w:rPr>
                <w:rFonts w:hint="default"/>
                <w:sz w:val="21"/>
                <w:szCs w:val="21"/>
                <w:lang w:val="en-US" w:eastAsia="zh-CN"/>
              </w:rPr>
            </w:pPr>
            <w:r>
              <w:rPr>
                <w:rFonts w:hint="eastAsia"/>
                <w:sz w:val="21"/>
                <w:szCs w:val="21"/>
              </w:rPr>
              <w:t>诊疗床</w:t>
            </w:r>
          </w:p>
        </w:tc>
        <w:tc>
          <w:tcPr>
            <w:tcW w:w="912" w:type="dxa"/>
            <w:vAlign w:val="center"/>
          </w:tcPr>
          <w:p w14:paraId="0949F280">
            <w:pPr>
              <w:bidi w:val="0"/>
              <w:jc w:val="center"/>
              <w:rPr>
                <w:rFonts w:hint="default"/>
                <w:sz w:val="21"/>
                <w:szCs w:val="21"/>
                <w:lang w:val="en-US" w:eastAsia="zh-CN"/>
              </w:rPr>
            </w:pPr>
            <w:r>
              <w:rPr>
                <w:rFonts w:hint="eastAsia"/>
                <w:sz w:val="21"/>
                <w:szCs w:val="21"/>
                <w:lang w:val="en-US" w:eastAsia="zh-CN"/>
              </w:rPr>
              <w:t>5</w:t>
            </w:r>
          </w:p>
        </w:tc>
        <w:tc>
          <w:tcPr>
            <w:tcW w:w="990" w:type="dxa"/>
            <w:vAlign w:val="center"/>
          </w:tcPr>
          <w:p w14:paraId="24229F32">
            <w:pPr>
              <w:bidi w:val="0"/>
              <w:jc w:val="center"/>
              <w:rPr>
                <w:rFonts w:hint="default"/>
                <w:sz w:val="21"/>
                <w:szCs w:val="21"/>
                <w:lang w:val="en-US" w:eastAsia="zh-CN"/>
              </w:rPr>
            </w:pPr>
            <w:r>
              <w:rPr>
                <w:rFonts w:hint="eastAsia"/>
                <w:sz w:val="21"/>
                <w:szCs w:val="21"/>
                <w:lang w:val="en-US" w:eastAsia="zh-CN"/>
              </w:rPr>
              <w:t>台</w:t>
            </w:r>
          </w:p>
        </w:tc>
      </w:tr>
      <w:tr w14:paraId="31B7B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514BA6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92</w:t>
            </w:r>
          </w:p>
        </w:tc>
        <w:tc>
          <w:tcPr>
            <w:tcW w:w="2688" w:type="dxa"/>
            <w:vMerge w:val="restart"/>
            <w:vAlign w:val="center"/>
          </w:tcPr>
          <w:p w14:paraId="6EE6CBE1">
            <w:pPr>
              <w:bidi w:val="0"/>
              <w:jc w:val="center"/>
              <w:rPr>
                <w:rFonts w:hint="default"/>
                <w:sz w:val="21"/>
                <w:szCs w:val="21"/>
                <w:lang w:val="en-US" w:eastAsia="zh-CN"/>
              </w:rPr>
            </w:pPr>
            <w:r>
              <w:rPr>
                <w:rFonts w:hint="eastAsia"/>
                <w:sz w:val="21"/>
                <w:szCs w:val="21"/>
                <w:lang w:val="en-US" w:eastAsia="zh-CN"/>
              </w:rPr>
              <w:t>口腔科</w:t>
            </w:r>
          </w:p>
        </w:tc>
        <w:tc>
          <w:tcPr>
            <w:tcW w:w="3212" w:type="dxa"/>
            <w:vAlign w:val="center"/>
          </w:tcPr>
          <w:p w14:paraId="1BF931EC">
            <w:pPr>
              <w:bidi w:val="0"/>
              <w:jc w:val="center"/>
              <w:rPr>
                <w:rFonts w:hint="default"/>
                <w:sz w:val="21"/>
                <w:szCs w:val="21"/>
                <w:lang w:val="en-US" w:eastAsia="zh-CN"/>
              </w:rPr>
            </w:pPr>
            <w:r>
              <w:rPr>
                <w:rFonts w:hint="default"/>
                <w:sz w:val="21"/>
                <w:szCs w:val="21"/>
                <w:lang w:val="en-US" w:eastAsia="zh-CN"/>
              </w:rPr>
              <w:t>超声波清洗机</w:t>
            </w:r>
          </w:p>
        </w:tc>
        <w:tc>
          <w:tcPr>
            <w:tcW w:w="912" w:type="dxa"/>
            <w:vAlign w:val="center"/>
          </w:tcPr>
          <w:p w14:paraId="572F65E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DFE6BB2">
            <w:pPr>
              <w:bidi w:val="0"/>
              <w:jc w:val="center"/>
              <w:rPr>
                <w:rFonts w:hint="default"/>
                <w:sz w:val="21"/>
                <w:szCs w:val="21"/>
                <w:lang w:val="en-US" w:eastAsia="zh-CN"/>
              </w:rPr>
            </w:pPr>
            <w:r>
              <w:rPr>
                <w:rFonts w:hint="eastAsia"/>
                <w:sz w:val="21"/>
                <w:szCs w:val="21"/>
                <w:lang w:val="en-US" w:eastAsia="zh-CN"/>
              </w:rPr>
              <w:t>台</w:t>
            </w:r>
          </w:p>
        </w:tc>
      </w:tr>
      <w:tr w14:paraId="6FA791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4E2AA2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93</w:t>
            </w:r>
          </w:p>
        </w:tc>
        <w:tc>
          <w:tcPr>
            <w:tcW w:w="2688" w:type="dxa"/>
            <w:vMerge w:val="continue"/>
            <w:vAlign w:val="center"/>
          </w:tcPr>
          <w:p w14:paraId="2BBA664E">
            <w:pPr>
              <w:bidi w:val="0"/>
              <w:jc w:val="center"/>
              <w:rPr>
                <w:rFonts w:hint="default"/>
                <w:sz w:val="21"/>
                <w:szCs w:val="21"/>
                <w:lang w:val="en-US" w:eastAsia="zh-CN"/>
              </w:rPr>
            </w:pPr>
          </w:p>
        </w:tc>
        <w:tc>
          <w:tcPr>
            <w:tcW w:w="3212" w:type="dxa"/>
            <w:vAlign w:val="center"/>
          </w:tcPr>
          <w:p w14:paraId="45A99483">
            <w:pPr>
              <w:bidi w:val="0"/>
              <w:jc w:val="center"/>
              <w:rPr>
                <w:rFonts w:hint="default"/>
                <w:sz w:val="21"/>
                <w:szCs w:val="21"/>
                <w:lang w:val="en-US" w:eastAsia="zh-CN"/>
              </w:rPr>
            </w:pPr>
            <w:r>
              <w:rPr>
                <w:rFonts w:hint="default"/>
                <w:sz w:val="21"/>
                <w:szCs w:val="21"/>
                <w:lang w:val="en-US" w:eastAsia="zh-CN"/>
              </w:rPr>
              <w:t>牙科综合治疗台</w:t>
            </w:r>
          </w:p>
        </w:tc>
        <w:tc>
          <w:tcPr>
            <w:tcW w:w="912" w:type="dxa"/>
            <w:vAlign w:val="center"/>
          </w:tcPr>
          <w:p w14:paraId="67D17320">
            <w:pPr>
              <w:bidi w:val="0"/>
              <w:jc w:val="center"/>
              <w:rPr>
                <w:rFonts w:hint="default"/>
                <w:sz w:val="21"/>
                <w:szCs w:val="21"/>
                <w:lang w:val="en-US" w:eastAsia="zh-CN"/>
              </w:rPr>
            </w:pPr>
            <w:r>
              <w:rPr>
                <w:rFonts w:hint="eastAsia"/>
                <w:sz w:val="21"/>
                <w:szCs w:val="21"/>
                <w:lang w:val="en-US" w:eastAsia="zh-CN"/>
              </w:rPr>
              <w:t>9</w:t>
            </w:r>
          </w:p>
        </w:tc>
        <w:tc>
          <w:tcPr>
            <w:tcW w:w="990" w:type="dxa"/>
            <w:vAlign w:val="center"/>
          </w:tcPr>
          <w:p w14:paraId="4CDD995A">
            <w:pPr>
              <w:bidi w:val="0"/>
              <w:jc w:val="center"/>
              <w:rPr>
                <w:rFonts w:hint="default"/>
                <w:sz w:val="21"/>
                <w:szCs w:val="21"/>
                <w:lang w:val="en-US" w:eastAsia="zh-CN"/>
              </w:rPr>
            </w:pPr>
            <w:r>
              <w:rPr>
                <w:rFonts w:hint="eastAsia"/>
                <w:sz w:val="21"/>
                <w:szCs w:val="21"/>
                <w:lang w:val="en-US" w:eastAsia="zh-CN"/>
              </w:rPr>
              <w:t>套</w:t>
            </w:r>
          </w:p>
        </w:tc>
      </w:tr>
      <w:tr w14:paraId="6CD50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1BF9D6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94</w:t>
            </w:r>
          </w:p>
        </w:tc>
        <w:tc>
          <w:tcPr>
            <w:tcW w:w="2688" w:type="dxa"/>
            <w:vMerge w:val="continue"/>
            <w:vAlign w:val="center"/>
          </w:tcPr>
          <w:p w14:paraId="09B30869">
            <w:pPr>
              <w:bidi w:val="0"/>
              <w:jc w:val="center"/>
              <w:rPr>
                <w:rFonts w:hint="default"/>
                <w:sz w:val="21"/>
                <w:szCs w:val="21"/>
                <w:lang w:val="en-US" w:eastAsia="zh-CN"/>
              </w:rPr>
            </w:pPr>
          </w:p>
        </w:tc>
        <w:tc>
          <w:tcPr>
            <w:tcW w:w="3212" w:type="dxa"/>
            <w:vAlign w:val="center"/>
          </w:tcPr>
          <w:p w14:paraId="43BAA6E9">
            <w:pPr>
              <w:bidi w:val="0"/>
              <w:jc w:val="center"/>
              <w:rPr>
                <w:rFonts w:hint="default"/>
                <w:sz w:val="21"/>
                <w:szCs w:val="21"/>
                <w:lang w:val="en-US" w:eastAsia="zh-CN"/>
              </w:rPr>
            </w:pPr>
            <w:r>
              <w:rPr>
                <w:rFonts w:hint="eastAsia"/>
                <w:sz w:val="21"/>
                <w:szCs w:val="21"/>
              </w:rPr>
              <w:t>封口机</w:t>
            </w:r>
          </w:p>
        </w:tc>
        <w:tc>
          <w:tcPr>
            <w:tcW w:w="912" w:type="dxa"/>
            <w:vAlign w:val="center"/>
          </w:tcPr>
          <w:p w14:paraId="5D8BEFFB">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0F2F682">
            <w:pPr>
              <w:bidi w:val="0"/>
              <w:jc w:val="center"/>
              <w:rPr>
                <w:rFonts w:hint="default"/>
                <w:sz w:val="21"/>
                <w:szCs w:val="21"/>
                <w:lang w:val="en-US" w:eastAsia="zh-CN"/>
              </w:rPr>
            </w:pPr>
            <w:r>
              <w:rPr>
                <w:rFonts w:hint="eastAsia"/>
                <w:sz w:val="21"/>
                <w:szCs w:val="21"/>
                <w:lang w:val="en-US" w:eastAsia="zh-CN"/>
              </w:rPr>
              <w:t>台</w:t>
            </w:r>
          </w:p>
        </w:tc>
      </w:tr>
      <w:tr w14:paraId="12449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914650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95</w:t>
            </w:r>
          </w:p>
        </w:tc>
        <w:tc>
          <w:tcPr>
            <w:tcW w:w="2688" w:type="dxa"/>
            <w:vMerge w:val="continue"/>
            <w:vAlign w:val="center"/>
          </w:tcPr>
          <w:p w14:paraId="4C20B9FD">
            <w:pPr>
              <w:bidi w:val="0"/>
              <w:jc w:val="center"/>
              <w:rPr>
                <w:rFonts w:hint="default"/>
                <w:sz w:val="21"/>
                <w:szCs w:val="21"/>
                <w:lang w:val="en-US" w:eastAsia="zh-CN"/>
              </w:rPr>
            </w:pPr>
          </w:p>
        </w:tc>
        <w:tc>
          <w:tcPr>
            <w:tcW w:w="3212" w:type="dxa"/>
            <w:vAlign w:val="center"/>
          </w:tcPr>
          <w:p w14:paraId="5FB93429">
            <w:pPr>
              <w:bidi w:val="0"/>
              <w:jc w:val="center"/>
              <w:rPr>
                <w:rFonts w:hint="default"/>
                <w:sz w:val="21"/>
                <w:szCs w:val="21"/>
                <w:lang w:val="en-US" w:eastAsia="zh-CN"/>
              </w:rPr>
            </w:pPr>
            <w:r>
              <w:rPr>
                <w:rFonts w:hint="eastAsia"/>
                <w:sz w:val="21"/>
                <w:szCs w:val="21"/>
              </w:rPr>
              <w:t>全自动牙科洗片机</w:t>
            </w:r>
          </w:p>
        </w:tc>
        <w:tc>
          <w:tcPr>
            <w:tcW w:w="912" w:type="dxa"/>
            <w:vAlign w:val="center"/>
          </w:tcPr>
          <w:p w14:paraId="6545008D">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5DA828D">
            <w:pPr>
              <w:bidi w:val="0"/>
              <w:jc w:val="center"/>
              <w:rPr>
                <w:rFonts w:hint="default"/>
                <w:sz w:val="21"/>
                <w:szCs w:val="21"/>
                <w:lang w:val="en-US" w:eastAsia="zh-CN"/>
              </w:rPr>
            </w:pPr>
            <w:r>
              <w:rPr>
                <w:rFonts w:hint="eastAsia"/>
                <w:sz w:val="21"/>
                <w:szCs w:val="21"/>
                <w:lang w:val="en-US" w:eastAsia="zh-CN"/>
              </w:rPr>
              <w:t>台</w:t>
            </w:r>
          </w:p>
        </w:tc>
      </w:tr>
      <w:tr w14:paraId="321D9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43C7DB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2688" w:type="dxa"/>
            <w:vMerge w:val="continue"/>
            <w:vAlign w:val="center"/>
          </w:tcPr>
          <w:p w14:paraId="2482B6B7">
            <w:pPr>
              <w:bidi w:val="0"/>
              <w:jc w:val="center"/>
              <w:rPr>
                <w:rFonts w:hint="default"/>
                <w:sz w:val="21"/>
                <w:szCs w:val="21"/>
                <w:lang w:val="en-US" w:eastAsia="zh-CN"/>
              </w:rPr>
            </w:pPr>
          </w:p>
        </w:tc>
        <w:tc>
          <w:tcPr>
            <w:tcW w:w="3212" w:type="dxa"/>
            <w:vAlign w:val="center"/>
          </w:tcPr>
          <w:p w14:paraId="53301ACC">
            <w:pPr>
              <w:bidi w:val="0"/>
              <w:jc w:val="center"/>
              <w:rPr>
                <w:rFonts w:hint="default"/>
                <w:sz w:val="21"/>
                <w:szCs w:val="21"/>
                <w:lang w:val="en-US" w:eastAsia="zh-CN"/>
              </w:rPr>
            </w:pPr>
            <w:r>
              <w:rPr>
                <w:rFonts w:hint="eastAsia"/>
                <w:sz w:val="21"/>
                <w:szCs w:val="21"/>
              </w:rPr>
              <w:t>手术显微镜系统</w:t>
            </w:r>
          </w:p>
        </w:tc>
        <w:tc>
          <w:tcPr>
            <w:tcW w:w="912" w:type="dxa"/>
            <w:vAlign w:val="center"/>
          </w:tcPr>
          <w:p w14:paraId="2B95AFA4">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0CA7CC7">
            <w:pPr>
              <w:bidi w:val="0"/>
              <w:jc w:val="center"/>
              <w:rPr>
                <w:rFonts w:hint="default"/>
                <w:sz w:val="21"/>
                <w:szCs w:val="21"/>
                <w:lang w:val="en-US" w:eastAsia="zh-CN"/>
              </w:rPr>
            </w:pPr>
            <w:r>
              <w:rPr>
                <w:rFonts w:hint="eastAsia"/>
                <w:sz w:val="21"/>
                <w:szCs w:val="21"/>
                <w:lang w:val="en-US" w:eastAsia="zh-CN"/>
              </w:rPr>
              <w:t>台</w:t>
            </w:r>
          </w:p>
        </w:tc>
      </w:tr>
      <w:tr w14:paraId="0EE586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88CBEF1">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97</w:t>
            </w:r>
          </w:p>
        </w:tc>
        <w:tc>
          <w:tcPr>
            <w:tcW w:w="2688" w:type="dxa"/>
            <w:vAlign w:val="center"/>
          </w:tcPr>
          <w:p w14:paraId="0F468513">
            <w:pPr>
              <w:bidi w:val="0"/>
              <w:jc w:val="center"/>
              <w:rPr>
                <w:rFonts w:hint="default"/>
                <w:sz w:val="21"/>
                <w:szCs w:val="21"/>
                <w:lang w:val="en-US" w:eastAsia="zh-CN"/>
              </w:rPr>
            </w:pPr>
            <w:r>
              <w:rPr>
                <w:rFonts w:hint="eastAsia"/>
                <w:sz w:val="21"/>
                <w:szCs w:val="21"/>
                <w:lang w:val="en-US" w:eastAsia="zh-CN"/>
              </w:rPr>
              <w:t>血透中心</w:t>
            </w:r>
          </w:p>
        </w:tc>
        <w:tc>
          <w:tcPr>
            <w:tcW w:w="3212" w:type="dxa"/>
            <w:vAlign w:val="center"/>
          </w:tcPr>
          <w:p w14:paraId="257B35CF">
            <w:pPr>
              <w:bidi w:val="0"/>
              <w:jc w:val="center"/>
              <w:rPr>
                <w:rFonts w:hint="default"/>
                <w:sz w:val="21"/>
                <w:szCs w:val="21"/>
                <w:lang w:val="en-US" w:eastAsia="zh-CN"/>
              </w:rPr>
            </w:pPr>
            <w:r>
              <w:rPr>
                <w:rFonts w:hint="eastAsia"/>
                <w:sz w:val="21"/>
                <w:szCs w:val="21"/>
              </w:rPr>
              <w:t>血透机(血滤、双血浆置换等)</w:t>
            </w:r>
          </w:p>
        </w:tc>
        <w:tc>
          <w:tcPr>
            <w:tcW w:w="912" w:type="dxa"/>
            <w:vAlign w:val="center"/>
          </w:tcPr>
          <w:p w14:paraId="33DF25B5">
            <w:pPr>
              <w:bidi w:val="0"/>
              <w:jc w:val="center"/>
              <w:rPr>
                <w:rFonts w:hint="default"/>
                <w:sz w:val="21"/>
                <w:szCs w:val="21"/>
                <w:lang w:val="en-US" w:eastAsia="zh-CN"/>
              </w:rPr>
            </w:pPr>
            <w:r>
              <w:rPr>
                <w:rFonts w:hint="eastAsia"/>
                <w:sz w:val="21"/>
                <w:szCs w:val="21"/>
                <w:lang w:val="en-US" w:eastAsia="zh-CN"/>
              </w:rPr>
              <w:t>9</w:t>
            </w:r>
          </w:p>
        </w:tc>
        <w:tc>
          <w:tcPr>
            <w:tcW w:w="990" w:type="dxa"/>
            <w:vAlign w:val="center"/>
          </w:tcPr>
          <w:p w14:paraId="3888A912">
            <w:pPr>
              <w:bidi w:val="0"/>
              <w:jc w:val="center"/>
              <w:rPr>
                <w:rFonts w:hint="default"/>
                <w:sz w:val="21"/>
                <w:szCs w:val="21"/>
                <w:lang w:val="en-US" w:eastAsia="zh-CN"/>
              </w:rPr>
            </w:pPr>
            <w:r>
              <w:rPr>
                <w:rFonts w:hint="eastAsia"/>
                <w:sz w:val="21"/>
                <w:szCs w:val="21"/>
                <w:lang w:val="en-US" w:eastAsia="zh-CN"/>
              </w:rPr>
              <w:t>台</w:t>
            </w:r>
          </w:p>
        </w:tc>
      </w:tr>
      <w:tr w14:paraId="5E66C7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7BEBA4F">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98</w:t>
            </w:r>
          </w:p>
        </w:tc>
        <w:tc>
          <w:tcPr>
            <w:tcW w:w="2688" w:type="dxa"/>
            <w:vMerge w:val="restart"/>
            <w:vAlign w:val="center"/>
          </w:tcPr>
          <w:p w14:paraId="3A5A762A">
            <w:pPr>
              <w:bidi w:val="0"/>
              <w:jc w:val="center"/>
              <w:rPr>
                <w:rFonts w:hint="default"/>
                <w:sz w:val="21"/>
                <w:szCs w:val="21"/>
                <w:lang w:val="en-US" w:eastAsia="zh-CN"/>
              </w:rPr>
            </w:pPr>
            <w:r>
              <w:rPr>
                <w:rFonts w:hint="eastAsia"/>
                <w:sz w:val="21"/>
                <w:szCs w:val="21"/>
                <w:lang w:val="en-US" w:eastAsia="zh-CN"/>
              </w:rPr>
              <w:t>理疗科</w:t>
            </w:r>
          </w:p>
        </w:tc>
        <w:tc>
          <w:tcPr>
            <w:tcW w:w="3212" w:type="dxa"/>
            <w:vAlign w:val="center"/>
          </w:tcPr>
          <w:p w14:paraId="20FE16A8">
            <w:pPr>
              <w:bidi w:val="0"/>
              <w:jc w:val="center"/>
              <w:rPr>
                <w:rFonts w:hint="default"/>
                <w:sz w:val="21"/>
                <w:szCs w:val="21"/>
                <w:lang w:val="en-US" w:eastAsia="zh-CN"/>
              </w:rPr>
            </w:pPr>
            <w:r>
              <w:rPr>
                <w:rFonts w:hint="eastAsia"/>
                <w:sz w:val="21"/>
                <w:szCs w:val="21"/>
              </w:rPr>
              <w:t>看片灯</w:t>
            </w:r>
          </w:p>
        </w:tc>
        <w:tc>
          <w:tcPr>
            <w:tcW w:w="912" w:type="dxa"/>
            <w:vAlign w:val="center"/>
          </w:tcPr>
          <w:p w14:paraId="397E08DF">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445FC9C2">
            <w:pPr>
              <w:bidi w:val="0"/>
              <w:jc w:val="center"/>
              <w:rPr>
                <w:rFonts w:hint="default"/>
                <w:sz w:val="21"/>
                <w:szCs w:val="21"/>
                <w:lang w:val="en-US" w:eastAsia="zh-CN"/>
              </w:rPr>
            </w:pPr>
            <w:r>
              <w:rPr>
                <w:rFonts w:hint="eastAsia"/>
                <w:sz w:val="21"/>
                <w:szCs w:val="21"/>
                <w:lang w:val="en-US" w:eastAsia="zh-CN"/>
              </w:rPr>
              <w:t>台</w:t>
            </w:r>
          </w:p>
        </w:tc>
      </w:tr>
      <w:tr w14:paraId="6BBEFE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E9835C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99</w:t>
            </w:r>
          </w:p>
        </w:tc>
        <w:tc>
          <w:tcPr>
            <w:tcW w:w="2688" w:type="dxa"/>
            <w:vMerge w:val="continue"/>
            <w:vAlign w:val="center"/>
          </w:tcPr>
          <w:p w14:paraId="3FDE0C8E">
            <w:pPr>
              <w:bidi w:val="0"/>
              <w:jc w:val="center"/>
              <w:rPr>
                <w:rFonts w:hint="default"/>
                <w:sz w:val="21"/>
                <w:szCs w:val="21"/>
                <w:lang w:val="en-US" w:eastAsia="zh-CN"/>
              </w:rPr>
            </w:pPr>
          </w:p>
        </w:tc>
        <w:tc>
          <w:tcPr>
            <w:tcW w:w="3212" w:type="dxa"/>
            <w:vAlign w:val="center"/>
          </w:tcPr>
          <w:p w14:paraId="5DB17D7F">
            <w:pPr>
              <w:bidi w:val="0"/>
              <w:jc w:val="center"/>
              <w:rPr>
                <w:rFonts w:hint="default"/>
                <w:sz w:val="21"/>
                <w:szCs w:val="21"/>
                <w:lang w:val="en-US" w:eastAsia="zh-CN"/>
              </w:rPr>
            </w:pPr>
            <w:r>
              <w:rPr>
                <w:rFonts w:hint="eastAsia"/>
                <w:sz w:val="21"/>
                <w:szCs w:val="21"/>
              </w:rPr>
              <w:t>激光治疗仪</w:t>
            </w:r>
          </w:p>
        </w:tc>
        <w:tc>
          <w:tcPr>
            <w:tcW w:w="912" w:type="dxa"/>
            <w:vAlign w:val="center"/>
          </w:tcPr>
          <w:p w14:paraId="7F162A4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09A47EE">
            <w:pPr>
              <w:bidi w:val="0"/>
              <w:jc w:val="center"/>
              <w:rPr>
                <w:rFonts w:hint="default"/>
                <w:sz w:val="21"/>
                <w:szCs w:val="21"/>
                <w:lang w:val="en-US" w:eastAsia="zh-CN"/>
              </w:rPr>
            </w:pPr>
            <w:r>
              <w:rPr>
                <w:rFonts w:hint="eastAsia"/>
                <w:sz w:val="21"/>
                <w:szCs w:val="21"/>
                <w:lang w:val="en-US" w:eastAsia="zh-CN"/>
              </w:rPr>
              <w:t>台</w:t>
            </w:r>
          </w:p>
        </w:tc>
      </w:tr>
      <w:tr w14:paraId="17BE72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C42D20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2688" w:type="dxa"/>
            <w:vMerge w:val="continue"/>
            <w:vAlign w:val="center"/>
          </w:tcPr>
          <w:p w14:paraId="0A102D63">
            <w:pPr>
              <w:bidi w:val="0"/>
              <w:jc w:val="center"/>
              <w:rPr>
                <w:rFonts w:hint="default"/>
                <w:sz w:val="21"/>
                <w:szCs w:val="21"/>
                <w:lang w:val="en-US" w:eastAsia="zh-CN"/>
              </w:rPr>
            </w:pPr>
          </w:p>
        </w:tc>
        <w:tc>
          <w:tcPr>
            <w:tcW w:w="3212" w:type="dxa"/>
            <w:vAlign w:val="center"/>
          </w:tcPr>
          <w:p w14:paraId="474B9565">
            <w:pPr>
              <w:bidi w:val="0"/>
              <w:jc w:val="center"/>
              <w:rPr>
                <w:rFonts w:hint="default"/>
                <w:sz w:val="21"/>
                <w:szCs w:val="21"/>
                <w:lang w:val="en-US" w:eastAsia="zh-CN"/>
              </w:rPr>
            </w:pPr>
            <w:r>
              <w:rPr>
                <w:rFonts w:hint="eastAsia"/>
                <w:sz w:val="21"/>
                <w:szCs w:val="21"/>
              </w:rPr>
              <w:t>电脑中频治疗仪</w:t>
            </w:r>
          </w:p>
        </w:tc>
        <w:tc>
          <w:tcPr>
            <w:tcW w:w="912" w:type="dxa"/>
            <w:vAlign w:val="center"/>
          </w:tcPr>
          <w:p w14:paraId="2E9EAF4D">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6B0CC206">
            <w:pPr>
              <w:bidi w:val="0"/>
              <w:jc w:val="center"/>
              <w:rPr>
                <w:rFonts w:hint="default"/>
                <w:sz w:val="21"/>
                <w:szCs w:val="21"/>
                <w:lang w:val="en-US" w:eastAsia="zh-CN"/>
              </w:rPr>
            </w:pPr>
            <w:r>
              <w:rPr>
                <w:rFonts w:hint="eastAsia"/>
                <w:sz w:val="21"/>
                <w:szCs w:val="21"/>
                <w:lang w:val="en-US" w:eastAsia="zh-CN"/>
              </w:rPr>
              <w:t>台</w:t>
            </w:r>
          </w:p>
        </w:tc>
      </w:tr>
      <w:tr w14:paraId="26369D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C36B62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101</w:t>
            </w:r>
          </w:p>
        </w:tc>
        <w:tc>
          <w:tcPr>
            <w:tcW w:w="2688" w:type="dxa"/>
            <w:vMerge w:val="continue"/>
            <w:vAlign w:val="center"/>
          </w:tcPr>
          <w:p w14:paraId="2AC9C829">
            <w:pPr>
              <w:bidi w:val="0"/>
              <w:jc w:val="center"/>
              <w:rPr>
                <w:rFonts w:hint="default"/>
                <w:sz w:val="21"/>
                <w:szCs w:val="21"/>
                <w:lang w:val="en-US" w:eastAsia="zh-CN"/>
              </w:rPr>
            </w:pPr>
          </w:p>
        </w:tc>
        <w:tc>
          <w:tcPr>
            <w:tcW w:w="3212" w:type="dxa"/>
            <w:vAlign w:val="center"/>
          </w:tcPr>
          <w:p w14:paraId="6A2238F9">
            <w:pPr>
              <w:bidi w:val="0"/>
              <w:jc w:val="center"/>
              <w:rPr>
                <w:rFonts w:hint="default"/>
                <w:sz w:val="21"/>
                <w:szCs w:val="21"/>
                <w:lang w:val="en-US" w:eastAsia="zh-CN"/>
              </w:rPr>
            </w:pPr>
            <w:r>
              <w:rPr>
                <w:rFonts w:hint="eastAsia"/>
                <w:sz w:val="21"/>
                <w:szCs w:val="21"/>
              </w:rPr>
              <w:t>超短波电疗机</w:t>
            </w:r>
          </w:p>
        </w:tc>
        <w:tc>
          <w:tcPr>
            <w:tcW w:w="912" w:type="dxa"/>
            <w:vAlign w:val="center"/>
          </w:tcPr>
          <w:p w14:paraId="53EE7055">
            <w:pPr>
              <w:bidi w:val="0"/>
              <w:jc w:val="center"/>
              <w:rPr>
                <w:rFonts w:hint="default"/>
                <w:sz w:val="21"/>
                <w:szCs w:val="21"/>
                <w:lang w:val="en-US" w:eastAsia="zh-CN"/>
              </w:rPr>
            </w:pPr>
            <w:r>
              <w:rPr>
                <w:rFonts w:hint="eastAsia"/>
                <w:sz w:val="21"/>
                <w:szCs w:val="21"/>
                <w:lang w:val="en-US" w:eastAsia="zh-CN"/>
              </w:rPr>
              <w:t>4</w:t>
            </w:r>
          </w:p>
        </w:tc>
        <w:tc>
          <w:tcPr>
            <w:tcW w:w="990" w:type="dxa"/>
            <w:vAlign w:val="center"/>
          </w:tcPr>
          <w:p w14:paraId="313CD15C">
            <w:pPr>
              <w:bidi w:val="0"/>
              <w:jc w:val="center"/>
              <w:rPr>
                <w:rFonts w:hint="default"/>
                <w:sz w:val="21"/>
                <w:szCs w:val="21"/>
                <w:lang w:val="en-US" w:eastAsia="zh-CN"/>
              </w:rPr>
            </w:pPr>
            <w:r>
              <w:rPr>
                <w:rFonts w:hint="eastAsia"/>
                <w:sz w:val="21"/>
                <w:szCs w:val="21"/>
                <w:lang w:val="en-US" w:eastAsia="zh-CN"/>
              </w:rPr>
              <w:t>台</w:t>
            </w:r>
          </w:p>
        </w:tc>
      </w:tr>
      <w:tr w14:paraId="2420C5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FC060E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102</w:t>
            </w:r>
          </w:p>
        </w:tc>
        <w:tc>
          <w:tcPr>
            <w:tcW w:w="2688" w:type="dxa"/>
            <w:vMerge w:val="continue"/>
            <w:vAlign w:val="center"/>
          </w:tcPr>
          <w:p w14:paraId="08F59115">
            <w:pPr>
              <w:bidi w:val="0"/>
              <w:jc w:val="center"/>
              <w:rPr>
                <w:rFonts w:hint="default"/>
                <w:sz w:val="21"/>
                <w:szCs w:val="21"/>
                <w:lang w:val="en-US" w:eastAsia="zh-CN"/>
              </w:rPr>
            </w:pPr>
          </w:p>
        </w:tc>
        <w:tc>
          <w:tcPr>
            <w:tcW w:w="3212" w:type="dxa"/>
            <w:vAlign w:val="center"/>
          </w:tcPr>
          <w:p w14:paraId="07DAA067">
            <w:pPr>
              <w:bidi w:val="0"/>
              <w:jc w:val="center"/>
              <w:rPr>
                <w:rFonts w:hint="default"/>
                <w:sz w:val="21"/>
                <w:szCs w:val="21"/>
                <w:lang w:val="en-US" w:eastAsia="zh-CN"/>
              </w:rPr>
            </w:pPr>
            <w:r>
              <w:rPr>
                <w:rFonts w:hint="eastAsia"/>
                <w:sz w:val="21"/>
                <w:szCs w:val="21"/>
              </w:rPr>
              <w:t>五官科超短波电疗机</w:t>
            </w:r>
          </w:p>
        </w:tc>
        <w:tc>
          <w:tcPr>
            <w:tcW w:w="912" w:type="dxa"/>
            <w:vAlign w:val="center"/>
          </w:tcPr>
          <w:p w14:paraId="3CD8BBA1">
            <w:pPr>
              <w:bidi w:val="0"/>
              <w:jc w:val="center"/>
              <w:rPr>
                <w:rFonts w:hint="default"/>
                <w:sz w:val="21"/>
                <w:szCs w:val="21"/>
                <w:lang w:val="en-US" w:eastAsia="zh-CN"/>
              </w:rPr>
            </w:pPr>
            <w:r>
              <w:rPr>
                <w:rFonts w:hint="eastAsia"/>
                <w:sz w:val="21"/>
                <w:szCs w:val="21"/>
                <w:lang w:val="en-US" w:eastAsia="zh-CN"/>
              </w:rPr>
              <w:t>4</w:t>
            </w:r>
          </w:p>
        </w:tc>
        <w:tc>
          <w:tcPr>
            <w:tcW w:w="990" w:type="dxa"/>
            <w:vAlign w:val="center"/>
          </w:tcPr>
          <w:p w14:paraId="6ED13802">
            <w:pPr>
              <w:bidi w:val="0"/>
              <w:jc w:val="center"/>
              <w:rPr>
                <w:rFonts w:hint="default"/>
                <w:sz w:val="21"/>
                <w:szCs w:val="21"/>
                <w:lang w:val="en-US" w:eastAsia="zh-CN"/>
              </w:rPr>
            </w:pPr>
            <w:r>
              <w:rPr>
                <w:rFonts w:hint="eastAsia"/>
                <w:sz w:val="21"/>
                <w:szCs w:val="21"/>
                <w:lang w:val="en-US" w:eastAsia="zh-CN"/>
              </w:rPr>
              <w:t>台</w:t>
            </w:r>
          </w:p>
        </w:tc>
      </w:tr>
      <w:tr w14:paraId="2B4DB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8083CA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103</w:t>
            </w:r>
          </w:p>
        </w:tc>
        <w:tc>
          <w:tcPr>
            <w:tcW w:w="2688" w:type="dxa"/>
            <w:vMerge w:val="continue"/>
            <w:vAlign w:val="center"/>
          </w:tcPr>
          <w:p w14:paraId="5A9B083E">
            <w:pPr>
              <w:bidi w:val="0"/>
              <w:jc w:val="center"/>
              <w:rPr>
                <w:rFonts w:hint="default"/>
                <w:sz w:val="21"/>
                <w:szCs w:val="21"/>
                <w:lang w:val="en-US" w:eastAsia="zh-CN"/>
              </w:rPr>
            </w:pPr>
          </w:p>
        </w:tc>
        <w:tc>
          <w:tcPr>
            <w:tcW w:w="3212" w:type="dxa"/>
            <w:vAlign w:val="center"/>
          </w:tcPr>
          <w:p w14:paraId="0094D6A1">
            <w:pPr>
              <w:bidi w:val="0"/>
              <w:jc w:val="center"/>
              <w:rPr>
                <w:rFonts w:hint="default"/>
                <w:sz w:val="21"/>
                <w:szCs w:val="21"/>
                <w:lang w:val="en-US" w:eastAsia="zh-CN"/>
              </w:rPr>
            </w:pPr>
            <w:r>
              <w:rPr>
                <w:rFonts w:hint="eastAsia"/>
                <w:sz w:val="21"/>
                <w:szCs w:val="21"/>
              </w:rPr>
              <w:t>紫外线治疗机</w:t>
            </w:r>
          </w:p>
        </w:tc>
        <w:tc>
          <w:tcPr>
            <w:tcW w:w="912" w:type="dxa"/>
            <w:vAlign w:val="center"/>
          </w:tcPr>
          <w:p w14:paraId="3CC1CB23">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1588607">
            <w:pPr>
              <w:bidi w:val="0"/>
              <w:jc w:val="center"/>
              <w:rPr>
                <w:rFonts w:hint="default"/>
                <w:sz w:val="21"/>
                <w:szCs w:val="21"/>
                <w:lang w:val="en-US" w:eastAsia="zh-CN"/>
              </w:rPr>
            </w:pPr>
            <w:r>
              <w:rPr>
                <w:rFonts w:hint="eastAsia"/>
                <w:sz w:val="21"/>
                <w:szCs w:val="21"/>
                <w:lang w:val="en-US" w:eastAsia="zh-CN"/>
              </w:rPr>
              <w:t>台</w:t>
            </w:r>
          </w:p>
        </w:tc>
      </w:tr>
      <w:tr w14:paraId="44BF7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41B693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104</w:t>
            </w:r>
          </w:p>
        </w:tc>
        <w:tc>
          <w:tcPr>
            <w:tcW w:w="2688" w:type="dxa"/>
            <w:vMerge w:val="continue"/>
            <w:vAlign w:val="center"/>
          </w:tcPr>
          <w:p w14:paraId="7589C660">
            <w:pPr>
              <w:bidi w:val="0"/>
              <w:jc w:val="center"/>
              <w:rPr>
                <w:rFonts w:hint="default"/>
                <w:sz w:val="21"/>
                <w:szCs w:val="21"/>
                <w:lang w:val="en-US" w:eastAsia="zh-CN"/>
              </w:rPr>
            </w:pPr>
          </w:p>
        </w:tc>
        <w:tc>
          <w:tcPr>
            <w:tcW w:w="3212" w:type="dxa"/>
            <w:vAlign w:val="center"/>
          </w:tcPr>
          <w:p w14:paraId="740C704D">
            <w:pPr>
              <w:bidi w:val="0"/>
              <w:jc w:val="center"/>
              <w:rPr>
                <w:rFonts w:hint="default"/>
                <w:sz w:val="21"/>
                <w:szCs w:val="21"/>
                <w:lang w:val="en-US" w:eastAsia="zh-CN"/>
              </w:rPr>
            </w:pPr>
            <w:r>
              <w:rPr>
                <w:rFonts w:hint="eastAsia"/>
                <w:sz w:val="21"/>
                <w:szCs w:val="21"/>
              </w:rPr>
              <w:t>红外线治疗机</w:t>
            </w:r>
          </w:p>
        </w:tc>
        <w:tc>
          <w:tcPr>
            <w:tcW w:w="912" w:type="dxa"/>
            <w:vAlign w:val="center"/>
          </w:tcPr>
          <w:p w14:paraId="77DC6662">
            <w:pPr>
              <w:bidi w:val="0"/>
              <w:jc w:val="center"/>
              <w:rPr>
                <w:rFonts w:hint="default"/>
                <w:sz w:val="21"/>
                <w:szCs w:val="21"/>
                <w:lang w:val="en-US" w:eastAsia="zh-CN"/>
              </w:rPr>
            </w:pPr>
            <w:r>
              <w:rPr>
                <w:rFonts w:hint="eastAsia"/>
                <w:sz w:val="21"/>
                <w:szCs w:val="21"/>
                <w:lang w:val="en-US" w:eastAsia="zh-CN"/>
              </w:rPr>
              <w:t>4</w:t>
            </w:r>
          </w:p>
        </w:tc>
        <w:tc>
          <w:tcPr>
            <w:tcW w:w="990" w:type="dxa"/>
            <w:vAlign w:val="center"/>
          </w:tcPr>
          <w:p w14:paraId="32B9E51F">
            <w:pPr>
              <w:bidi w:val="0"/>
              <w:jc w:val="center"/>
              <w:rPr>
                <w:rFonts w:hint="default"/>
                <w:sz w:val="21"/>
                <w:szCs w:val="21"/>
                <w:lang w:val="en-US" w:eastAsia="zh-CN"/>
              </w:rPr>
            </w:pPr>
            <w:r>
              <w:rPr>
                <w:rFonts w:hint="eastAsia"/>
                <w:sz w:val="21"/>
                <w:szCs w:val="21"/>
                <w:lang w:val="en-US" w:eastAsia="zh-CN"/>
              </w:rPr>
              <w:t>台</w:t>
            </w:r>
          </w:p>
        </w:tc>
      </w:tr>
      <w:tr w14:paraId="5241EC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49C1BE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105</w:t>
            </w:r>
          </w:p>
        </w:tc>
        <w:tc>
          <w:tcPr>
            <w:tcW w:w="2688" w:type="dxa"/>
            <w:vMerge w:val="continue"/>
            <w:vAlign w:val="center"/>
          </w:tcPr>
          <w:p w14:paraId="7C27427C">
            <w:pPr>
              <w:bidi w:val="0"/>
              <w:jc w:val="center"/>
              <w:rPr>
                <w:rFonts w:hint="default"/>
                <w:sz w:val="21"/>
                <w:szCs w:val="21"/>
                <w:lang w:val="en-US" w:eastAsia="zh-CN"/>
              </w:rPr>
            </w:pPr>
          </w:p>
        </w:tc>
        <w:tc>
          <w:tcPr>
            <w:tcW w:w="3212" w:type="dxa"/>
            <w:vAlign w:val="center"/>
          </w:tcPr>
          <w:p w14:paraId="55637399">
            <w:pPr>
              <w:bidi w:val="0"/>
              <w:jc w:val="center"/>
              <w:rPr>
                <w:rFonts w:hint="default"/>
                <w:sz w:val="21"/>
                <w:szCs w:val="21"/>
                <w:lang w:val="en-US" w:eastAsia="zh-CN"/>
              </w:rPr>
            </w:pPr>
            <w:r>
              <w:rPr>
                <w:rFonts w:hint="eastAsia"/>
                <w:sz w:val="21"/>
                <w:szCs w:val="21"/>
              </w:rPr>
              <w:t>半导体激光治疗机</w:t>
            </w:r>
          </w:p>
        </w:tc>
        <w:tc>
          <w:tcPr>
            <w:tcW w:w="912" w:type="dxa"/>
            <w:vAlign w:val="center"/>
          </w:tcPr>
          <w:p w14:paraId="5F593D3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D212243">
            <w:pPr>
              <w:bidi w:val="0"/>
              <w:jc w:val="center"/>
              <w:rPr>
                <w:rFonts w:hint="default"/>
                <w:sz w:val="21"/>
                <w:szCs w:val="21"/>
                <w:lang w:val="en-US" w:eastAsia="zh-CN"/>
              </w:rPr>
            </w:pPr>
            <w:r>
              <w:rPr>
                <w:rFonts w:hint="eastAsia"/>
                <w:sz w:val="21"/>
                <w:szCs w:val="21"/>
                <w:lang w:val="en-US" w:eastAsia="zh-CN"/>
              </w:rPr>
              <w:t>套</w:t>
            </w:r>
          </w:p>
        </w:tc>
      </w:tr>
      <w:tr w14:paraId="440BC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C66460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106</w:t>
            </w:r>
          </w:p>
        </w:tc>
        <w:tc>
          <w:tcPr>
            <w:tcW w:w="2688" w:type="dxa"/>
            <w:vMerge w:val="continue"/>
            <w:vAlign w:val="center"/>
          </w:tcPr>
          <w:p w14:paraId="4A61EDBB">
            <w:pPr>
              <w:bidi w:val="0"/>
              <w:jc w:val="center"/>
              <w:rPr>
                <w:rFonts w:hint="default"/>
                <w:sz w:val="21"/>
                <w:szCs w:val="21"/>
                <w:lang w:val="en-US" w:eastAsia="zh-CN"/>
              </w:rPr>
            </w:pPr>
          </w:p>
        </w:tc>
        <w:tc>
          <w:tcPr>
            <w:tcW w:w="3212" w:type="dxa"/>
            <w:vAlign w:val="center"/>
          </w:tcPr>
          <w:p w14:paraId="2FD1B6E1">
            <w:pPr>
              <w:bidi w:val="0"/>
              <w:jc w:val="center"/>
              <w:rPr>
                <w:rFonts w:hint="default"/>
                <w:sz w:val="21"/>
                <w:szCs w:val="21"/>
                <w:lang w:val="en-US" w:eastAsia="zh-CN"/>
              </w:rPr>
            </w:pPr>
            <w:r>
              <w:rPr>
                <w:rFonts w:hint="eastAsia"/>
                <w:sz w:val="21"/>
                <w:szCs w:val="21"/>
              </w:rPr>
              <w:t>颈腰椎牵引床</w:t>
            </w:r>
          </w:p>
        </w:tc>
        <w:tc>
          <w:tcPr>
            <w:tcW w:w="912" w:type="dxa"/>
            <w:vAlign w:val="center"/>
          </w:tcPr>
          <w:p w14:paraId="1DF2A178">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047ADCC">
            <w:pPr>
              <w:bidi w:val="0"/>
              <w:jc w:val="center"/>
              <w:rPr>
                <w:rFonts w:hint="default"/>
                <w:sz w:val="21"/>
                <w:szCs w:val="21"/>
                <w:lang w:val="en-US" w:eastAsia="zh-CN"/>
              </w:rPr>
            </w:pPr>
            <w:r>
              <w:rPr>
                <w:rFonts w:hint="eastAsia"/>
                <w:sz w:val="21"/>
                <w:szCs w:val="21"/>
                <w:lang w:val="en-US" w:eastAsia="zh-CN"/>
              </w:rPr>
              <w:t>套</w:t>
            </w:r>
          </w:p>
        </w:tc>
      </w:tr>
      <w:tr w14:paraId="2543E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74190ED">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107</w:t>
            </w:r>
          </w:p>
        </w:tc>
        <w:tc>
          <w:tcPr>
            <w:tcW w:w="2688" w:type="dxa"/>
            <w:vMerge w:val="restart"/>
            <w:vAlign w:val="center"/>
          </w:tcPr>
          <w:p w14:paraId="747F0F2E">
            <w:pPr>
              <w:bidi w:val="0"/>
              <w:jc w:val="center"/>
              <w:rPr>
                <w:rFonts w:hint="default"/>
                <w:sz w:val="21"/>
                <w:szCs w:val="21"/>
                <w:lang w:val="en-US" w:eastAsia="zh-CN"/>
              </w:rPr>
            </w:pPr>
            <w:r>
              <w:rPr>
                <w:rFonts w:hint="eastAsia"/>
                <w:sz w:val="21"/>
                <w:szCs w:val="21"/>
                <w:lang w:val="en-US" w:eastAsia="zh-CN"/>
              </w:rPr>
              <w:t>病理科</w:t>
            </w:r>
          </w:p>
        </w:tc>
        <w:tc>
          <w:tcPr>
            <w:tcW w:w="3212" w:type="dxa"/>
            <w:vAlign w:val="center"/>
          </w:tcPr>
          <w:p w14:paraId="165003F6">
            <w:pPr>
              <w:bidi w:val="0"/>
              <w:jc w:val="center"/>
              <w:rPr>
                <w:rFonts w:hint="default"/>
                <w:sz w:val="21"/>
                <w:szCs w:val="21"/>
                <w:lang w:val="en-US" w:eastAsia="zh-CN"/>
              </w:rPr>
            </w:pPr>
            <w:r>
              <w:rPr>
                <w:rFonts w:hint="eastAsia"/>
                <w:sz w:val="21"/>
                <w:szCs w:val="21"/>
              </w:rPr>
              <w:t>恒温水浴箱</w:t>
            </w:r>
          </w:p>
        </w:tc>
        <w:tc>
          <w:tcPr>
            <w:tcW w:w="912" w:type="dxa"/>
            <w:vAlign w:val="center"/>
          </w:tcPr>
          <w:p w14:paraId="63C6C78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015AADC8">
            <w:pPr>
              <w:bidi w:val="0"/>
              <w:jc w:val="center"/>
              <w:rPr>
                <w:rFonts w:hint="default"/>
                <w:sz w:val="21"/>
                <w:szCs w:val="21"/>
                <w:lang w:val="en-US" w:eastAsia="zh-CN"/>
              </w:rPr>
            </w:pPr>
            <w:r>
              <w:rPr>
                <w:rFonts w:hint="eastAsia"/>
                <w:sz w:val="21"/>
                <w:szCs w:val="21"/>
                <w:lang w:val="en-US" w:eastAsia="zh-CN"/>
              </w:rPr>
              <w:t>台</w:t>
            </w:r>
          </w:p>
        </w:tc>
      </w:tr>
      <w:tr w14:paraId="308CB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5EFED5B">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108</w:t>
            </w:r>
          </w:p>
        </w:tc>
        <w:tc>
          <w:tcPr>
            <w:tcW w:w="2688" w:type="dxa"/>
            <w:vMerge w:val="continue"/>
            <w:vAlign w:val="center"/>
          </w:tcPr>
          <w:p w14:paraId="04B03744">
            <w:pPr>
              <w:bidi w:val="0"/>
              <w:jc w:val="center"/>
              <w:rPr>
                <w:rFonts w:hint="default"/>
                <w:sz w:val="21"/>
                <w:szCs w:val="21"/>
                <w:lang w:val="en-US" w:eastAsia="zh-CN"/>
              </w:rPr>
            </w:pPr>
          </w:p>
        </w:tc>
        <w:tc>
          <w:tcPr>
            <w:tcW w:w="3212" w:type="dxa"/>
            <w:vAlign w:val="center"/>
          </w:tcPr>
          <w:p w14:paraId="72817D7B">
            <w:pPr>
              <w:bidi w:val="0"/>
              <w:jc w:val="center"/>
              <w:rPr>
                <w:rFonts w:hint="default"/>
                <w:sz w:val="21"/>
                <w:szCs w:val="21"/>
                <w:lang w:val="en-US" w:eastAsia="zh-CN"/>
              </w:rPr>
            </w:pPr>
            <w:r>
              <w:rPr>
                <w:rFonts w:hint="eastAsia"/>
                <w:sz w:val="21"/>
                <w:szCs w:val="21"/>
              </w:rPr>
              <w:t>生物显微镜</w:t>
            </w:r>
          </w:p>
        </w:tc>
        <w:tc>
          <w:tcPr>
            <w:tcW w:w="912" w:type="dxa"/>
            <w:vAlign w:val="center"/>
          </w:tcPr>
          <w:p w14:paraId="4A7FBF5E">
            <w:pPr>
              <w:bidi w:val="0"/>
              <w:jc w:val="center"/>
              <w:rPr>
                <w:rFonts w:hint="default"/>
                <w:sz w:val="21"/>
                <w:szCs w:val="21"/>
                <w:lang w:val="en-US" w:eastAsia="zh-CN"/>
              </w:rPr>
            </w:pPr>
            <w:r>
              <w:rPr>
                <w:rFonts w:hint="eastAsia"/>
                <w:sz w:val="21"/>
                <w:szCs w:val="21"/>
                <w:lang w:val="en-US" w:eastAsia="zh-CN"/>
              </w:rPr>
              <w:t>7</w:t>
            </w:r>
          </w:p>
        </w:tc>
        <w:tc>
          <w:tcPr>
            <w:tcW w:w="990" w:type="dxa"/>
            <w:vAlign w:val="center"/>
          </w:tcPr>
          <w:p w14:paraId="4B851D4D">
            <w:pPr>
              <w:bidi w:val="0"/>
              <w:jc w:val="center"/>
              <w:rPr>
                <w:rFonts w:hint="default"/>
                <w:sz w:val="21"/>
                <w:szCs w:val="21"/>
                <w:lang w:val="en-US" w:eastAsia="zh-CN"/>
              </w:rPr>
            </w:pPr>
            <w:r>
              <w:rPr>
                <w:rFonts w:hint="eastAsia"/>
                <w:sz w:val="21"/>
                <w:szCs w:val="21"/>
                <w:lang w:val="en-US" w:eastAsia="zh-CN"/>
              </w:rPr>
              <w:t>台</w:t>
            </w:r>
          </w:p>
        </w:tc>
      </w:tr>
      <w:tr w14:paraId="05CB5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081013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109</w:t>
            </w:r>
          </w:p>
        </w:tc>
        <w:tc>
          <w:tcPr>
            <w:tcW w:w="2688" w:type="dxa"/>
            <w:vMerge w:val="continue"/>
            <w:vAlign w:val="center"/>
          </w:tcPr>
          <w:p w14:paraId="3C18CECB">
            <w:pPr>
              <w:bidi w:val="0"/>
              <w:jc w:val="center"/>
              <w:rPr>
                <w:rFonts w:hint="default"/>
                <w:sz w:val="21"/>
                <w:szCs w:val="21"/>
                <w:lang w:val="en-US" w:eastAsia="zh-CN"/>
              </w:rPr>
            </w:pPr>
          </w:p>
        </w:tc>
        <w:tc>
          <w:tcPr>
            <w:tcW w:w="3212" w:type="dxa"/>
            <w:vAlign w:val="center"/>
          </w:tcPr>
          <w:p w14:paraId="54BC3F67">
            <w:pPr>
              <w:bidi w:val="0"/>
              <w:jc w:val="center"/>
              <w:rPr>
                <w:rFonts w:hint="default"/>
                <w:sz w:val="21"/>
                <w:szCs w:val="21"/>
                <w:lang w:val="en-US" w:eastAsia="zh-CN"/>
              </w:rPr>
            </w:pPr>
            <w:r>
              <w:rPr>
                <w:rFonts w:hint="eastAsia"/>
                <w:sz w:val="21"/>
                <w:szCs w:val="21"/>
              </w:rPr>
              <w:t>荧光显微镜</w:t>
            </w:r>
          </w:p>
        </w:tc>
        <w:tc>
          <w:tcPr>
            <w:tcW w:w="912" w:type="dxa"/>
            <w:vAlign w:val="center"/>
          </w:tcPr>
          <w:p w14:paraId="3989C9CB">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B7B1909">
            <w:pPr>
              <w:bidi w:val="0"/>
              <w:jc w:val="center"/>
              <w:rPr>
                <w:rFonts w:hint="default"/>
                <w:sz w:val="21"/>
                <w:szCs w:val="21"/>
                <w:lang w:val="en-US" w:eastAsia="zh-CN"/>
              </w:rPr>
            </w:pPr>
            <w:r>
              <w:rPr>
                <w:rFonts w:hint="eastAsia"/>
                <w:sz w:val="21"/>
                <w:szCs w:val="21"/>
                <w:lang w:val="en-US" w:eastAsia="zh-CN"/>
              </w:rPr>
              <w:t>台</w:t>
            </w:r>
          </w:p>
        </w:tc>
      </w:tr>
      <w:tr w14:paraId="39C7D2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8F773C5">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110</w:t>
            </w:r>
          </w:p>
        </w:tc>
        <w:tc>
          <w:tcPr>
            <w:tcW w:w="2688" w:type="dxa"/>
            <w:vMerge w:val="continue"/>
            <w:vAlign w:val="center"/>
          </w:tcPr>
          <w:p w14:paraId="66FB3816">
            <w:pPr>
              <w:bidi w:val="0"/>
              <w:jc w:val="center"/>
              <w:rPr>
                <w:rFonts w:hint="default"/>
                <w:sz w:val="21"/>
                <w:szCs w:val="21"/>
                <w:lang w:val="en-US" w:eastAsia="zh-CN"/>
              </w:rPr>
            </w:pPr>
          </w:p>
        </w:tc>
        <w:tc>
          <w:tcPr>
            <w:tcW w:w="3212" w:type="dxa"/>
            <w:vAlign w:val="center"/>
          </w:tcPr>
          <w:p w14:paraId="0E879B5F">
            <w:pPr>
              <w:bidi w:val="0"/>
              <w:jc w:val="center"/>
              <w:rPr>
                <w:rFonts w:hint="default"/>
                <w:sz w:val="21"/>
                <w:szCs w:val="21"/>
                <w:lang w:val="en-US" w:eastAsia="zh-CN"/>
              </w:rPr>
            </w:pPr>
            <w:r>
              <w:rPr>
                <w:rFonts w:hint="eastAsia"/>
                <w:sz w:val="21"/>
                <w:szCs w:val="21"/>
              </w:rPr>
              <w:t>电热干燥箱</w:t>
            </w:r>
          </w:p>
        </w:tc>
        <w:tc>
          <w:tcPr>
            <w:tcW w:w="912" w:type="dxa"/>
            <w:vAlign w:val="center"/>
          </w:tcPr>
          <w:p w14:paraId="627FAE21">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47718B4">
            <w:pPr>
              <w:bidi w:val="0"/>
              <w:jc w:val="center"/>
              <w:rPr>
                <w:rFonts w:hint="default"/>
                <w:sz w:val="21"/>
                <w:szCs w:val="21"/>
                <w:lang w:val="en-US" w:eastAsia="zh-CN"/>
              </w:rPr>
            </w:pPr>
            <w:r>
              <w:rPr>
                <w:rFonts w:hint="eastAsia"/>
                <w:sz w:val="21"/>
                <w:szCs w:val="21"/>
                <w:lang w:val="en-US" w:eastAsia="zh-CN"/>
              </w:rPr>
              <w:t>台</w:t>
            </w:r>
          </w:p>
        </w:tc>
      </w:tr>
      <w:tr w14:paraId="14D5E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DF458C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111</w:t>
            </w:r>
          </w:p>
        </w:tc>
        <w:tc>
          <w:tcPr>
            <w:tcW w:w="2688" w:type="dxa"/>
            <w:vMerge w:val="continue"/>
            <w:vAlign w:val="center"/>
          </w:tcPr>
          <w:p w14:paraId="0A873EC4">
            <w:pPr>
              <w:bidi w:val="0"/>
              <w:jc w:val="center"/>
              <w:rPr>
                <w:rFonts w:hint="default"/>
                <w:sz w:val="21"/>
                <w:szCs w:val="21"/>
                <w:lang w:val="en-US" w:eastAsia="zh-CN"/>
              </w:rPr>
            </w:pPr>
          </w:p>
        </w:tc>
        <w:tc>
          <w:tcPr>
            <w:tcW w:w="3212" w:type="dxa"/>
            <w:vAlign w:val="center"/>
          </w:tcPr>
          <w:p w14:paraId="58E2DA56">
            <w:pPr>
              <w:bidi w:val="0"/>
              <w:jc w:val="center"/>
              <w:rPr>
                <w:rFonts w:hint="default"/>
                <w:sz w:val="21"/>
                <w:szCs w:val="21"/>
                <w:lang w:val="en-US" w:eastAsia="zh-CN"/>
              </w:rPr>
            </w:pPr>
            <w:r>
              <w:rPr>
                <w:rFonts w:hint="eastAsia"/>
                <w:sz w:val="21"/>
                <w:szCs w:val="21"/>
              </w:rPr>
              <w:t>电子天平</w:t>
            </w:r>
          </w:p>
        </w:tc>
        <w:tc>
          <w:tcPr>
            <w:tcW w:w="912" w:type="dxa"/>
            <w:vAlign w:val="center"/>
          </w:tcPr>
          <w:p w14:paraId="5952467E">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3F70B172">
            <w:pPr>
              <w:bidi w:val="0"/>
              <w:jc w:val="center"/>
              <w:rPr>
                <w:rFonts w:hint="default"/>
                <w:sz w:val="21"/>
                <w:szCs w:val="21"/>
                <w:lang w:val="en-US" w:eastAsia="zh-CN"/>
              </w:rPr>
            </w:pPr>
            <w:r>
              <w:rPr>
                <w:rFonts w:hint="eastAsia"/>
                <w:sz w:val="21"/>
                <w:szCs w:val="21"/>
                <w:lang w:val="en-US" w:eastAsia="zh-CN"/>
              </w:rPr>
              <w:t>台</w:t>
            </w:r>
          </w:p>
        </w:tc>
      </w:tr>
      <w:tr w14:paraId="1512AE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9B577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112</w:t>
            </w:r>
          </w:p>
        </w:tc>
        <w:tc>
          <w:tcPr>
            <w:tcW w:w="2688" w:type="dxa"/>
            <w:vMerge w:val="continue"/>
            <w:vAlign w:val="center"/>
          </w:tcPr>
          <w:p w14:paraId="4017BF42">
            <w:pPr>
              <w:bidi w:val="0"/>
              <w:jc w:val="center"/>
              <w:rPr>
                <w:rFonts w:hint="default"/>
                <w:sz w:val="21"/>
                <w:szCs w:val="21"/>
                <w:lang w:val="en-US" w:eastAsia="zh-CN"/>
              </w:rPr>
            </w:pPr>
          </w:p>
        </w:tc>
        <w:tc>
          <w:tcPr>
            <w:tcW w:w="3212" w:type="dxa"/>
            <w:vAlign w:val="center"/>
          </w:tcPr>
          <w:p w14:paraId="1AEEF83D">
            <w:pPr>
              <w:bidi w:val="0"/>
              <w:jc w:val="center"/>
              <w:rPr>
                <w:rFonts w:hint="default"/>
                <w:sz w:val="21"/>
                <w:szCs w:val="21"/>
                <w:lang w:val="en-US" w:eastAsia="zh-CN"/>
              </w:rPr>
            </w:pPr>
            <w:r>
              <w:rPr>
                <w:rFonts w:hint="eastAsia"/>
                <w:sz w:val="21"/>
                <w:szCs w:val="21"/>
              </w:rPr>
              <w:t>离心机</w:t>
            </w:r>
          </w:p>
        </w:tc>
        <w:tc>
          <w:tcPr>
            <w:tcW w:w="912" w:type="dxa"/>
            <w:vAlign w:val="center"/>
          </w:tcPr>
          <w:p w14:paraId="11676A11">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2E28F6CB">
            <w:pPr>
              <w:bidi w:val="0"/>
              <w:jc w:val="center"/>
              <w:rPr>
                <w:rFonts w:hint="default"/>
                <w:sz w:val="21"/>
                <w:szCs w:val="21"/>
                <w:lang w:val="en-US" w:eastAsia="zh-CN"/>
              </w:rPr>
            </w:pPr>
            <w:r>
              <w:rPr>
                <w:rFonts w:hint="eastAsia"/>
                <w:sz w:val="21"/>
                <w:szCs w:val="21"/>
                <w:lang w:val="en-US" w:eastAsia="zh-CN"/>
              </w:rPr>
              <w:t>台</w:t>
            </w:r>
          </w:p>
        </w:tc>
      </w:tr>
      <w:tr w14:paraId="51BFFC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04364B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113</w:t>
            </w:r>
          </w:p>
        </w:tc>
        <w:tc>
          <w:tcPr>
            <w:tcW w:w="2688" w:type="dxa"/>
            <w:vMerge w:val="continue"/>
            <w:vAlign w:val="center"/>
          </w:tcPr>
          <w:p w14:paraId="600327BF">
            <w:pPr>
              <w:bidi w:val="0"/>
              <w:jc w:val="center"/>
              <w:rPr>
                <w:rFonts w:hint="default"/>
                <w:sz w:val="21"/>
                <w:szCs w:val="21"/>
                <w:lang w:val="en-US" w:eastAsia="zh-CN"/>
              </w:rPr>
            </w:pPr>
          </w:p>
        </w:tc>
        <w:tc>
          <w:tcPr>
            <w:tcW w:w="3212" w:type="dxa"/>
            <w:vAlign w:val="center"/>
          </w:tcPr>
          <w:p w14:paraId="0E07EDAB">
            <w:pPr>
              <w:bidi w:val="0"/>
              <w:jc w:val="center"/>
              <w:rPr>
                <w:rFonts w:hint="default"/>
                <w:sz w:val="21"/>
                <w:szCs w:val="21"/>
                <w:lang w:val="en-US" w:eastAsia="zh-CN"/>
              </w:rPr>
            </w:pPr>
            <w:r>
              <w:rPr>
                <w:rFonts w:hint="eastAsia"/>
                <w:sz w:val="21"/>
                <w:szCs w:val="21"/>
              </w:rPr>
              <w:t>切片机</w:t>
            </w:r>
          </w:p>
        </w:tc>
        <w:tc>
          <w:tcPr>
            <w:tcW w:w="912" w:type="dxa"/>
            <w:vAlign w:val="center"/>
          </w:tcPr>
          <w:p w14:paraId="61CD786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53FF49EA">
            <w:pPr>
              <w:bidi w:val="0"/>
              <w:jc w:val="center"/>
              <w:rPr>
                <w:rFonts w:hint="default"/>
                <w:sz w:val="21"/>
                <w:szCs w:val="21"/>
                <w:lang w:val="en-US" w:eastAsia="zh-CN"/>
              </w:rPr>
            </w:pPr>
            <w:r>
              <w:rPr>
                <w:rFonts w:hint="eastAsia"/>
                <w:sz w:val="21"/>
                <w:szCs w:val="21"/>
                <w:lang w:val="en-US" w:eastAsia="zh-CN"/>
              </w:rPr>
              <w:t>台</w:t>
            </w:r>
          </w:p>
        </w:tc>
      </w:tr>
      <w:tr w14:paraId="0A51D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61578B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114</w:t>
            </w:r>
          </w:p>
        </w:tc>
        <w:tc>
          <w:tcPr>
            <w:tcW w:w="2688" w:type="dxa"/>
            <w:vMerge w:val="continue"/>
            <w:vAlign w:val="center"/>
          </w:tcPr>
          <w:p w14:paraId="607F2E47">
            <w:pPr>
              <w:bidi w:val="0"/>
              <w:jc w:val="center"/>
              <w:rPr>
                <w:rFonts w:hint="default"/>
                <w:sz w:val="21"/>
                <w:szCs w:val="21"/>
                <w:lang w:val="en-US" w:eastAsia="zh-CN"/>
              </w:rPr>
            </w:pPr>
          </w:p>
        </w:tc>
        <w:tc>
          <w:tcPr>
            <w:tcW w:w="3212" w:type="dxa"/>
            <w:vAlign w:val="center"/>
          </w:tcPr>
          <w:p w14:paraId="547F67C5">
            <w:pPr>
              <w:bidi w:val="0"/>
              <w:jc w:val="center"/>
              <w:rPr>
                <w:rFonts w:hint="default"/>
                <w:sz w:val="21"/>
                <w:szCs w:val="21"/>
                <w:lang w:val="en-US" w:eastAsia="zh-CN"/>
              </w:rPr>
            </w:pPr>
            <w:r>
              <w:rPr>
                <w:rFonts w:hint="eastAsia"/>
                <w:sz w:val="21"/>
                <w:szCs w:val="21"/>
              </w:rPr>
              <w:t>染色机</w:t>
            </w:r>
          </w:p>
        </w:tc>
        <w:tc>
          <w:tcPr>
            <w:tcW w:w="912" w:type="dxa"/>
            <w:vAlign w:val="center"/>
          </w:tcPr>
          <w:p w14:paraId="1E2D15FE">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418DE3A">
            <w:pPr>
              <w:bidi w:val="0"/>
              <w:jc w:val="center"/>
              <w:rPr>
                <w:rFonts w:hint="default"/>
                <w:sz w:val="21"/>
                <w:szCs w:val="21"/>
                <w:lang w:val="en-US" w:eastAsia="zh-CN"/>
              </w:rPr>
            </w:pPr>
            <w:r>
              <w:rPr>
                <w:rFonts w:hint="eastAsia"/>
                <w:sz w:val="21"/>
                <w:szCs w:val="21"/>
                <w:lang w:val="en-US" w:eastAsia="zh-CN"/>
              </w:rPr>
              <w:t>台</w:t>
            </w:r>
          </w:p>
        </w:tc>
      </w:tr>
      <w:tr w14:paraId="3DEAB7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CFEE6D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115</w:t>
            </w:r>
          </w:p>
        </w:tc>
        <w:tc>
          <w:tcPr>
            <w:tcW w:w="2688" w:type="dxa"/>
            <w:vMerge w:val="continue"/>
            <w:vAlign w:val="center"/>
          </w:tcPr>
          <w:p w14:paraId="586B3A56">
            <w:pPr>
              <w:bidi w:val="0"/>
              <w:jc w:val="center"/>
              <w:rPr>
                <w:rFonts w:hint="default"/>
                <w:sz w:val="21"/>
                <w:szCs w:val="21"/>
                <w:lang w:val="en-US" w:eastAsia="zh-CN"/>
              </w:rPr>
            </w:pPr>
          </w:p>
        </w:tc>
        <w:tc>
          <w:tcPr>
            <w:tcW w:w="3212" w:type="dxa"/>
            <w:vAlign w:val="center"/>
          </w:tcPr>
          <w:p w14:paraId="51B40214">
            <w:pPr>
              <w:bidi w:val="0"/>
              <w:jc w:val="center"/>
              <w:rPr>
                <w:rFonts w:hint="default"/>
                <w:sz w:val="21"/>
                <w:szCs w:val="21"/>
                <w:lang w:val="en-US" w:eastAsia="zh-CN"/>
              </w:rPr>
            </w:pPr>
            <w:r>
              <w:rPr>
                <w:rFonts w:hint="eastAsia"/>
                <w:sz w:val="21"/>
                <w:szCs w:val="21"/>
              </w:rPr>
              <w:t>自动脱水机</w:t>
            </w:r>
          </w:p>
        </w:tc>
        <w:tc>
          <w:tcPr>
            <w:tcW w:w="912" w:type="dxa"/>
            <w:vAlign w:val="center"/>
          </w:tcPr>
          <w:p w14:paraId="181509AF">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C9C06AA">
            <w:pPr>
              <w:bidi w:val="0"/>
              <w:jc w:val="center"/>
              <w:rPr>
                <w:rFonts w:hint="default"/>
                <w:sz w:val="21"/>
                <w:szCs w:val="21"/>
                <w:lang w:val="en-US" w:eastAsia="zh-CN"/>
              </w:rPr>
            </w:pPr>
            <w:r>
              <w:rPr>
                <w:rFonts w:hint="eastAsia"/>
                <w:sz w:val="21"/>
                <w:szCs w:val="21"/>
                <w:lang w:val="en-US" w:eastAsia="zh-CN"/>
              </w:rPr>
              <w:t>台</w:t>
            </w:r>
          </w:p>
        </w:tc>
      </w:tr>
      <w:tr w14:paraId="51185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21D57C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116</w:t>
            </w:r>
          </w:p>
        </w:tc>
        <w:tc>
          <w:tcPr>
            <w:tcW w:w="2688" w:type="dxa"/>
            <w:vMerge w:val="continue"/>
            <w:vAlign w:val="center"/>
          </w:tcPr>
          <w:p w14:paraId="5B2A60B2">
            <w:pPr>
              <w:bidi w:val="0"/>
              <w:jc w:val="center"/>
              <w:rPr>
                <w:rFonts w:hint="default"/>
                <w:sz w:val="21"/>
                <w:szCs w:val="21"/>
                <w:lang w:val="en-US" w:eastAsia="zh-CN"/>
              </w:rPr>
            </w:pPr>
          </w:p>
        </w:tc>
        <w:tc>
          <w:tcPr>
            <w:tcW w:w="3212" w:type="dxa"/>
            <w:vAlign w:val="center"/>
          </w:tcPr>
          <w:p w14:paraId="703696F7">
            <w:pPr>
              <w:bidi w:val="0"/>
              <w:jc w:val="center"/>
              <w:rPr>
                <w:rFonts w:hint="default"/>
                <w:sz w:val="21"/>
                <w:szCs w:val="21"/>
                <w:lang w:val="en-US" w:eastAsia="zh-CN"/>
              </w:rPr>
            </w:pPr>
            <w:r>
              <w:rPr>
                <w:rFonts w:hint="eastAsia"/>
                <w:sz w:val="21"/>
                <w:szCs w:val="21"/>
              </w:rPr>
              <w:t>病理图像分析系统</w:t>
            </w:r>
          </w:p>
        </w:tc>
        <w:tc>
          <w:tcPr>
            <w:tcW w:w="912" w:type="dxa"/>
            <w:vAlign w:val="center"/>
          </w:tcPr>
          <w:p w14:paraId="36A55CF7">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3CC80F35">
            <w:pPr>
              <w:bidi w:val="0"/>
              <w:jc w:val="center"/>
              <w:rPr>
                <w:rFonts w:hint="default"/>
                <w:sz w:val="21"/>
                <w:szCs w:val="21"/>
                <w:lang w:val="en-US" w:eastAsia="zh-CN"/>
              </w:rPr>
            </w:pPr>
            <w:r>
              <w:rPr>
                <w:rFonts w:hint="eastAsia"/>
                <w:sz w:val="21"/>
                <w:szCs w:val="21"/>
                <w:lang w:val="en-US" w:eastAsia="zh-CN"/>
              </w:rPr>
              <w:t>台</w:t>
            </w:r>
          </w:p>
        </w:tc>
      </w:tr>
      <w:tr w14:paraId="4D8FE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375133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117</w:t>
            </w:r>
          </w:p>
        </w:tc>
        <w:tc>
          <w:tcPr>
            <w:tcW w:w="2688" w:type="dxa"/>
            <w:vMerge w:val="restart"/>
            <w:vAlign w:val="center"/>
          </w:tcPr>
          <w:p w14:paraId="59E136D4">
            <w:pPr>
              <w:bidi w:val="0"/>
              <w:jc w:val="center"/>
              <w:rPr>
                <w:rFonts w:hint="default"/>
                <w:sz w:val="21"/>
                <w:szCs w:val="21"/>
                <w:lang w:val="en-US" w:eastAsia="zh-CN"/>
              </w:rPr>
            </w:pPr>
            <w:r>
              <w:rPr>
                <w:rFonts w:hint="eastAsia"/>
                <w:sz w:val="21"/>
                <w:szCs w:val="21"/>
                <w:lang w:val="en-US" w:eastAsia="zh-CN"/>
              </w:rPr>
              <w:t>输血科</w:t>
            </w:r>
          </w:p>
        </w:tc>
        <w:tc>
          <w:tcPr>
            <w:tcW w:w="3212" w:type="dxa"/>
            <w:vAlign w:val="center"/>
          </w:tcPr>
          <w:p w14:paraId="56DBC9FE">
            <w:pPr>
              <w:bidi w:val="0"/>
              <w:jc w:val="center"/>
              <w:rPr>
                <w:rFonts w:hint="default"/>
                <w:sz w:val="21"/>
                <w:szCs w:val="21"/>
                <w:lang w:val="en-US" w:eastAsia="zh-CN"/>
              </w:rPr>
            </w:pPr>
            <w:r>
              <w:rPr>
                <w:rFonts w:hint="eastAsia"/>
                <w:sz w:val="21"/>
                <w:szCs w:val="21"/>
              </w:rPr>
              <w:t>血细胞分析仪</w:t>
            </w:r>
          </w:p>
        </w:tc>
        <w:tc>
          <w:tcPr>
            <w:tcW w:w="912" w:type="dxa"/>
            <w:vAlign w:val="center"/>
          </w:tcPr>
          <w:p w14:paraId="6D1D2202">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83E350E">
            <w:pPr>
              <w:bidi w:val="0"/>
              <w:jc w:val="center"/>
              <w:rPr>
                <w:rFonts w:hint="default"/>
                <w:sz w:val="21"/>
                <w:szCs w:val="21"/>
                <w:lang w:val="en-US" w:eastAsia="zh-CN"/>
              </w:rPr>
            </w:pPr>
            <w:r>
              <w:rPr>
                <w:rFonts w:hint="eastAsia"/>
                <w:sz w:val="21"/>
                <w:szCs w:val="21"/>
                <w:lang w:val="en-US" w:eastAsia="zh-CN"/>
              </w:rPr>
              <w:t>台</w:t>
            </w:r>
          </w:p>
        </w:tc>
      </w:tr>
      <w:tr w14:paraId="253660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E5E4BBE">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118</w:t>
            </w:r>
          </w:p>
        </w:tc>
        <w:tc>
          <w:tcPr>
            <w:tcW w:w="2688" w:type="dxa"/>
            <w:vMerge w:val="continue"/>
            <w:vAlign w:val="center"/>
          </w:tcPr>
          <w:p w14:paraId="55734D4E">
            <w:pPr>
              <w:bidi w:val="0"/>
              <w:jc w:val="center"/>
              <w:rPr>
                <w:rFonts w:hint="default"/>
                <w:sz w:val="21"/>
                <w:szCs w:val="21"/>
                <w:lang w:val="en-US" w:eastAsia="zh-CN"/>
              </w:rPr>
            </w:pPr>
          </w:p>
        </w:tc>
        <w:tc>
          <w:tcPr>
            <w:tcW w:w="3212" w:type="dxa"/>
            <w:vAlign w:val="center"/>
          </w:tcPr>
          <w:p w14:paraId="20BF047C">
            <w:pPr>
              <w:bidi w:val="0"/>
              <w:jc w:val="center"/>
              <w:rPr>
                <w:rFonts w:hint="default"/>
                <w:sz w:val="21"/>
                <w:szCs w:val="21"/>
                <w:lang w:val="en-US" w:eastAsia="zh-CN"/>
              </w:rPr>
            </w:pPr>
            <w:r>
              <w:rPr>
                <w:rFonts w:hint="eastAsia"/>
                <w:sz w:val="21"/>
                <w:szCs w:val="21"/>
              </w:rPr>
              <w:t>血型鉴定仪(卡式血型鉴定仪)</w:t>
            </w:r>
          </w:p>
        </w:tc>
        <w:tc>
          <w:tcPr>
            <w:tcW w:w="912" w:type="dxa"/>
            <w:vAlign w:val="center"/>
          </w:tcPr>
          <w:p w14:paraId="5AE3C38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A9F0FFA">
            <w:pPr>
              <w:bidi w:val="0"/>
              <w:jc w:val="center"/>
              <w:rPr>
                <w:rFonts w:hint="default"/>
                <w:sz w:val="21"/>
                <w:szCs w:val="21"/>
                <w:lang w:val="en-US" w:eastAsia="zh-CN"/>
              </w:rPr>
            </w:pPr>
            <w:r>
              <w:rPr>
                <w:rFonts w:hint="eastAsia"/>
                <w:sz w:val="21"/>
                <w:szCs w:val="21"/>
                <w:lang w:val="en-US" w:eastAsia="zh-CN"/>
              </w:rPr>
              <w:t>台</w:t>
            </w:r>
          </w:p>
        </w:tc>
      </w:tr>
      <w:tr w14:paraId="1E821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7293E7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119</w:t>
            </w:r>
          </w:p>
        </w:tc>
        <w:tc>
          <w:tcPr>
            <w:tcW w:w="2688" w:type="dxa"/>
            <w:vMerge w:val="continue"/>
            <w:vAlign w:val="center"/>
          </w:tcPr>
          <w:p w14:paraId="7D8E6810">
            <w:pPr>
              <w:bidi w:val="0"/>
              <w:jc w:val="center"/>
              <w:rPr>
                <w:rFonts w:hint="default"/>
                <w:sz w:val="21"/>
                <w:szCs w:val="21"/>
                <w:lang w:val="en-US" w:eastAsia="zh-CN"/>
              </w:rPr>
            </w:pPr>
          </w:p>
        </w:tc>
        <w:tc>
          <w:tcPr>
            <w:tcW w:w="3212" w:type="dxa"/>
            <w:vAlign w:val="center"/>
          </w:tcPr>
          <w:p w14:paraId="3A0567BB">
            <w:pPr>
              <w:bidi w:val="0"/>
              <w:jc w:val="center"/>
              <w:rPr>
                <w:rFonts w:hint="default"/>
                <w:sz w:val="21"/>
                <w:szCs w:val="21"/>
                <w:lang w:val="en-US" w:eastAsia="zh-CN"/>
              </w:rPr>
            </w:pPr>
            <w:r>
              <w:rPr>
                <w:rFonts w:hint="eastAsia"/>
                <w:sz w:val="21"/>
                <w:szCs w:val="21"/>
              </w:rPr>
              <w:t>恒温水浴箱</w:t>
            </w:r>
          </w:p>
        </w:tc>
        <w:tc>
          <w:tcPr>
            <w:tcW w:w="912" w:type="dxa"/>
            <w:vAlign w:val="center"/>
          </w:tcPr>
          <w:p w14:paraId="269D6131">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08CB3D69">
            <w:pPr>
              <w:bidi w:val="0"/>
              <w:jc w:val="center"/>
              <w:rPr>
                <w:rFonts w:hint="default"/>
                <w:sz w:val="21"/>
                <w:szCs w:val="21"/>
                <w:lang w:val="en-US" w:eastAsia="zh-CN"/>
              </w:rPr>
            </w:pPr>
            <w:r>
              <w:rPr>
                <w:rFonts w:hint="eastAsia"/>
                <w:sz w:val="21"/>
                <w:szCs w:val="21"/>
                <w:lang w:val="en-US" w:eastAsia="zh-CN"/>
              </w:rPr>
              <w:t>台</w:t>
            </w:r>
          </w:p>
        </w:tc>
      </w:tr>
      <w:tr w14:paraId="60729E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AA1DC52">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120</w:t>
            </w:r>
          </w:p>
        </w:tc>
        <w:tc>
          <w:tcPr>
            <w:tcW w:w="2688" w:type="dxa"/>
            <w:vMerge w:val="continue"/>
            <w:vAlign w:val="center"/>
          </w:tcPr>
          <w:p w14:paraId="7804C194">
            <w:pPr>
              <w:bidi w:val="0"/>
              <w:jc w:val="center"/>
              <w:rPr>
                <w:rFonts w:hint="default"/>
                <w:sz w:val="21"/>
                <w:szCs w:val="21"/>
                <w:lang w:val="en-US" w:eastAsia="zh-CN"/>
              </w:rPr>
            </w:pPr>
          </w:p>
        </w:tc>
        <w:tc>
          <w:tcPr>
            <w:tcW w:w="3212" w:type="dxa"/>
            <w:vAlign w:val="center"/>
          </w:tcPr>
          <w:p w14:paraId="4218F0EB">
            <w:pPr>
              <w:bidi w:val="0"/>
              <w:jc w:val="center"/>
              <w:rPr>
                <w:rFonts w:hint="default"/>
                <w:sz w:val="21"/>
                <w:szCs w:val="21"/>
                <w:lang w:val="en-US" w:eastAsia="zh-CN"/>
              </w:rPr>
            </w:pPr>
            <w:r>
              <w:rPr>
                <w:rFonts w:hint="eastAsia"/>
                <w:sz w:val="21"/>
                <w:szCs w:val="21"/>
              </w:rPr>
              <w:t>生物显微镜</w:t>
            </w:r>
          </w:p>
        </w:tc>
        <w:tc>
          <w:tcPr>
            <w:tcW w:w="912" w:type="dxa"/>
            <w:vAlign w:val="center"/>
          </w:tcPr>
          <w:p w14:paraId="5DA6D65B">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5ED28BCD">
            <w:pPr>
              <w:bidi w:val="0"/>
              <w:jc w:val="center"/>
              <w:rPr>
                <w:rFonts w:hint="default"/>
                <w:sz w:val="21"/>
                <w:szCs w:val="21"/>
                <w:lang w:val="en-US" w:eastAsia="zh-CN"/>
              </w:rPr>
            </w:pPr>
            <w:r>
              <w:rPr>
                <w:rFonts w:hint="eastAsia"/>
                <w:sz w:val="21"/>
                <w:szCs w:val="21"/>
                <w:lang w:val="en-US" w:eastAsia="zh-CN"/>
              </w:rPr>
              <w:t>台</w:t>
            </w:r>
          </w:p>
        </w:tc>
      </w:tr>
      <w:tr w14:paraId="05B5F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B8B049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121</w:t>
            </w:r>
          </w:p>
        </w:tc>
        <w:tc>
          <w:tcPr>
            <w:tcW w:w="2688" w:type="dxa"/>
            <w:vMerge w:val="continue"/>
            <w:vAlign w:val="center"/>
          </w:tcPr>
          <w:p w14:paraId="1548693E">
            <w:pPr>
              <w:bidi w:val="0"/>
              <w:jc w:val="center"/>
              <w:rPr>
                <w:rFonts w:hint="default"/>
                <w:sz w:val="21"/>
                <w:szCs w:val="21"/>
                <w:lang w:val="en-US" w:eastAsia="zh-CN"/>
              </w:rPr>
            </w:pPr>
          </w:p>
        </w:tc>
        <w:tc>
          <w:tcPr>
            <w:tcW w:w="3212" w:type="dxa"/>
            <w:vAlign w:val="center"/>
          </w:tcPr>
          <w:p w14:paraId="722EF571">
            <w:pPr>
              <w:bidi w:val="0"/>
              <w:jc w:val="center"/>
              <w:rPr>
                <w:rFonts w:hint="default"/>
                <w:sz w:val="21"/>
                <w:szCs w:val="21"/>
                <w:lang w:val="en-US" w:eastAsia="zh-CN"/>
              </w:rPr>
            </w:pPr>
            <w:r>
              <w:rPr>
                <w:rFonts w:hint="eastAsia"/>
                <w:sz w:val="21"/>
                <w:szCs w:val="21"/>
              </w:rPr>
              <w:t>离心机</w:t>
            </w:r>
          </w:p>
        </w:tc>
        <w:tc>
          <w:tcPr>
            <w:tcW w:w="912" w:type="dxa"/>
            <w:vAlign w:val="center"/>
          </w:tcPr>
          <w:p w14:paraId="4707BADB">
            <w:pPr>
              <w:bidi w:val="0"/>
              <w:jc w:val="center"/>
              <w:rPr>
                <w:rFonts w:hint="default"/>
                <w:sz w:val="21"/>
                <w:szCs w:val="21"/>
                <w:lang w:val="en-US" w:eastAsia="zh-CN"/>
              </w:rPr>
            </w:pPr>
            <w:r>
              <w:rPr>
                <w:rFonts w:hint="eastAsia"/>
                <w:sz w:val="21"/>
                <w:szCs w:val="21"/>
                <w:lang w:val="en-US" w:eastAsia="zh-CN"/>
              </w:rPr>
              <w:t>3</w:t>
            </w:r>
          </w:p>
        </w:tc>
        <w:tc>
          <w:tcPr>
            <w:tcW w:w="990" w:type="dxa"/>
            <w:vAlign w:val="center"/>
          </w:tcPr>
          <w:p w14:paraId="4017543B">
            <w:pPr>
              <w:bidi w:val="0"/>
              <w:jc w:val="center"/>
              <w:rPr>
                <w:rFonts w:hint="default"/>
                <w:sz w:val="21"/>
                <w:szCs w:val="21"/>
                <w:lang w:val="en-US" w:eastAsia="zh-CN"/>
              </w:rPr>
            </w:pPr>
            <w:r>
              <w:rPr>
                <w:rFonts w:hint="eastAsia"/>
                <w:sz w:val="21"/>
                <w:szCs w:val="21"/>
                <w:lang w:val="en-US" w:eastAsia="zh-CN"/>
              </w:rPr>
              <w:t>台</w:t>
            </w:r>
          </w:p>
        </w:tc>
      </w:tr>
      <w:tr w14:paraId="01722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92EE5B8">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122</w:t>
            </w:r>
          </w:p>
        </w:tc>
        <w:tc>
          <w:tcPr>
            <w:tcW w:w="2688" w:type="dxa"/>
            <w:vMerge w:val="continue"/>
            <w:vAlign w:val="center"/>
          </w:tcPr>
          <w:p w14:paraId="61A4C460">
            <w:pPr>
              <w:bidi w:val="0"/>
              <w:jc w:val="center"/>
              <w:rPr>
                <w:rFonts w:hint="default"/>
                <w:sz w:val="21"/>
                <w:szCs w:val="21"/>
                <w:lang w:val="en-US" w:eastAsia="zh-CN"/>
              </w:rPr>
            </w:pPr>
          </w:p>
        </w:tc>
        <w:tc>
          <w:tcPr>
            <w:tcW w:w="3212" w:type="dxa"/>
            <w:vAlign w:val="center"/>
          </w:tcPr>
          <w:p w14:paraId="1F30DEB7">
            <w:pPr>
              <w:bidi w:val="0"/>
              <w:jc w:val="center"/>
              <w:rPr>
                <w:rFonts w:hint="default"/>
                <w:sz w:val="21"/>
                <w:szCs w:val="21"/>
                <w:lang w:val="en-US" w:eastAsia="zh-CN"/>
              </w:rPr>
            </w:pPr>
            <w:r>
              <w:rPr>
                <w:rFonts w:hint="eastAsia"/>
                <w:sz w:val="21"/>
                <w:szCs w:val="21"/>
              </w:rPr>
              <w:t>冰冻血浆解冻机</w:t>
            </w:r>
          </w:p>
        </w:tc>
        <w:tc>
          <w:tcPr>
            <w:tcW w:w="912" w:type="dxa"/>
            <w:vAlign w:val="center"/>
          </w:tcPr>
          <w:p w14:paraId="15ECC2EA">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6D995407">
            <w:pPr>
              <w:bidi w:val="0"/>
              <w:jc w:val="center"/>
              <w:rPr>
                <w:rFonts w:hint="default"/>
                <w:sz w:val="21"/>
                <w:szCs w:val="21"/>
                <w:lang w:val="en-US" w:eastAsia="zh-CN"/>
              </w:rPr>
            </w:pPr>
            <w:r>
              <w:rPr>
                <w:rFonts w:hint="eastAsia"/>
                <w:sz w:val="21"/>
                <w:szCs w:val="21"/>
                <w:lang w:val="en-US" w:eastAsia="zh-CN"/>
              </w:rPr>
              <w:t>台</w:t>
            </w:r>
          </w:p>
        </w:tc>
      </w:tr>
      <w:tr w14:paraId="50A11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BA52F9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123</w:t>
            </w:r>
          </w:p>
        </w:tc>
        <w:tc>
          <w:tcPr>
            <w:tcW w:w="2688" w:type="dxa"/>
            <w:vMerge w:val="continue"/>
            <w:vAlign w:val="center"/>
          </w:tcPr>
          <w:p w14:paraId="2D0AA059">
            <w:pPr>
              <w:bidi w:val="0"/>
              <w:jc w:val="center"/>
              <w:rPr>
                <w:rFonts w:hint="default"/>
                <w:sz w:val="21"/>
                <w:szCs w:val="21"/>
                <w:lang w:val="en-US" w:eastAsia="zh-CN"/>
              </w:rPr>
            </w:pPr>
          </w:p>
        </w:tc>
        <w:tc>
          <w:tcPr>
            <w:tcW w:w="3212" w:type="dxa"/>
            <w:vAlign w:val="center"/>
          </w:tcPr>
          <w:p w14:paraId="5FF473C2">
            <w:pPr>
              <w:bidi w:val="0"/>
              <w:jc w:val="center"/>
              <w:rPr>
                <w:rFonts w:hint="default"/>
                <w:sz w:val="21"/>
                <w:szCs w:val="21"/>
                <w:lang w:val="en-US" w:eastAsia="zh-CN"/>
              </w:rPr>
            </w:pPr>
            <w:r>
              <w:rPr>
                <w:rFonts w:hint="eastAsia"/>
                <w:sz w:val="21"/>
                <w:szCs w:val="21"/>
              </w:rPr>
              <w:t>血库冰箱(柜)</w:t>
            </w:r>
          </w:p>
        </w:tc>
        <w:tc>
          <w:tcPr>
            <w:tcW w:w="912" w:type="dxa"/>
            <w:vAlign w:val="center"/>
          </w:tcPr>
          <w:p w14:paraId="0E0F6AF2">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2A343184">
            <w:pPr>
              <w:bidi w:val="0"/>
              <w:jc w:val="center"/>
              <w:rPr>
                <w:rFonts w:hint="default"/>
                <w:sz w:val="21"/>
                <w:szCs w:val="21"/>
                <w:lang w:val="en-US" w:eastAsia="zh-CN"/>
              </w:rPr>
            </w:pPr>
            <w:r>
              <w:rPr>
                <w:rFonts w:hint="eastAsia"/>
                <w:sz w:val="21"/>
                <w:szCs w:val="21"/>
                <w:lang w:val="en-US" w:eastAsia="zh-CN"/>
              </w:rPr>
              <w:t>台</w:t>
            </w:r>
          </w:p>
        </w:tc>
      </w:tr>
      <w:tr w14:paraId="66BAD1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21CDCA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124</w:t>
            </w:r>
          </w:p>
        </w:tc>
        <w:tc>
          <w:tcPr>
            <w:tcW w:w="2688" w:type="dxa"/>
            <w:vMerge w:val="continue"/>
            <w:vAlign w:val="center"/>
          </w:tcPr>
          <w:p w14:paraId="2314B9B7">
            <w:pPr>
              <w:bidi w:val="0"/>
              <w:jc w:val="center"/>
              <w:rPr>
                <w:rFonts w:hint="default"/>
                <w:sz w:val="21"/>
                <w:szCs w:val="21"/>
                <w:lang w:val="en-US" w:eastAsia="zh-CN"/>
              </w:rPr>
            </w:pPr>
          </w:p>
        </w:tc>
        <w:tc>
          <w:tcPr>
            <w:tcW w:w="3212" w:type="dxa"/>
            <w:vAlign w:val="center"/>
          </w:tcPr>
          <w:p w14:paraId="5C40E845">
            <w:pPr>
              <w:bidi w:val="0"/>
              <w:jc w:val="center"/>
              <w:rPr>
                <w:rFonts w:hint="default"/>
                <w:sz w:val="21"/>
                <w:szCs w:val="21"/>
                <w:lang w:val="en-US" w:eastAsia="zh-CN"/>
              </w:rPr>
            </w:pPr>
            <w:r>
              <w:rPr>
                <w:rFonts w:hint="eastAsia"/>
                <w:sz w:val="21"/>
                <w:szCs w:val="21"/>
              </w:rPr>
              <w:t>超净工作台</w:t>
            </w:r>
          </w:p>
        </w:tc>
        <w:tc>
          <w:tcPr>
            <w:tcW w:w="912" w:type="dxa"/>
            <w:vAlign w:val="center"/>
          </w:tcPr>
          <w:p w14:paraId="747AC89E">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F9522D1">
            <w:pPr>
              <w:bidi w:val="0"/>
              <w:jc w:val="center"/>
              <w:rPr>
                <w:rFonts w:hint="default"/>
                <w:sz w:val="21"/>
                <w:szCs w:val="21"/>
                <w:lang w:val="en-US" w:eastAsia="zh-CN"/>
              </w:rPr>
            </w:pPr>
            <w:r>
              <w:rPr>
                <w:rFonts w:hint="eastAsia"/>
                <w:sz w:val="21"/>
                <w:szCs w:val="21"/>
                <w:lang w:val="en-US" w:eastAsia="zh-CN"/>
              </w:rPr>
              <w:t>台</w:t>
            </w:r>
          </w:p>
        </w:tc>
      </w:tr>
      <w:tr w14:paraId="45FF4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E6DE73C">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125</w:t>
            </w:r>
          </w:p>
        </w:tc>
        <w:tc>
          <w:tcPr>
            <w:tcW w:w="2688" w:type="dxa"/>
            <w:vMerge w:val="continue"/>
            <w:vAlign w:val="center"/>
          </w:tcPr>
          <w:p w14:paraId="0073CA28">
            <w:pPr>
              <w:bidi w:val="0"/>
              <w:jc w:val="center"/>
              <w:rPr>
                <w:rFonts w:hint="default"/>
                <w:sz w:val="21"/>
                <w:szCs w:val="21"/>
                <w:lang w:val="en-US" w:eastAsia="zh-CN"/>
              </w:rPr>
            </w:pPr>
          </w:p>
        </w:tc>
        <w:tc>
          <w:tcPr>
            <w:tcW w:w="3212" w:type="dxa"/>
            <w:vAlign w:val="center"/>
          </w:tcPr>
          <w:p w14:paraId="764FA7A7">
            <w:pPr>
              <w:bidi w:val="0"/>
              <w:jc w:val="center"/>
              <w:rPr>
                <w:rFonts w:hint="default"/>
                <w:sz w:val="21"/>
                <w:szCs w:val="21"/>
                <w:lang w:val="en-US" w:eastAsia="zh-CN"/>
              </w:rPr>
            </w:pPr>
            <w:r>
              <w:rPr>
                <w:rFonts w:hint="eastAsia"/>
                <w:sz w:val="21"/>
                <w:szCs w:val="21"/>
              </w:rPr>
              <w:t>超低温冰箱</w:t>
            </w:r>
          </w:p>
        </w:tc>
        <w:tc>
          <w:tcPr>
            <w:tcW w:w="912" w:type="dxa"/>
            <w:vAlign w:val="center"/>
          </w:tcPr>
          <w:p w14:paraId="0EB6B356">
            <w:pPr>
              <w:bidi w:val="0"/>
              <w:jc w:val="center"/>
              <w:rPr>
                <w:rFonts w:hint="default"/>
                <w:sz w:val="21"/>
                <w:szCs w:val="21"/>
                <w:lang w:val="en-US" w:eastAsia="zh-CN"/>
              </w:rPr>
            </w:pPr>
            <w:r>
              <w:rPr>
                <w:rFonts w:hint="eastAsia"/>
                <w:sz w:val="21"/>
                <w:szCs w:val="21"/>
                <w:lang w:val="en-US" w:eastAsia="zh-CN"/>
              </w:rPr>
              <w:t>2</w:t>
            </w:r>
          </w:p>
        </w:tc>
        <w:tc>
          <w:tcPr>
            <w:tcW w:w="990" w:type="dxa"/>
            <w:vAlign w:val="center"/>
          </w:tcPr>
          <w:p w14:paraId="281BBFE2">
            <w:pPr>
              <w:bidi w:val="0"/>
              <w:jc w:val="center"/>
              <w:rPr>
                <w:rFonts w:hint="default"/>
                <w:sz w:val="21"/>
                <w:szCs w:val="21"/>
                <w:lang w:val="en-US" w:eastAsia="zh-CN"/>
              </w:rPr>
            </w:pPr>
            <w:r>
              <w:rPr>
                <w:rFonts w:hint="eastAsia"/>
                <w:sz w:val="21"/>
                <w:szCs w:val="21"/>
                <w:lang w:val="en-US" w:eastAsia="zh-CN"/>
              </w:rPr>
              <w:t>台</w:t>
            </w:r>
          </w:p>
        </w:tc>
      </w:tr>
      <w:tr w14:paraId="6FE678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6205C44">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126</w:t>
            </w:r>
          </w:p>
        </w:tc>
        <w:tc>
          <w:tcPr>
            <w:tcW w:w="2688" w:type="dxa"/>
            <w:vMerge w:val="restart"/>
            <w:vAlign w:val="center"/>
          </w:tcPr>
          <w:p w14:paraId="5BB9A0A8">
            <w:pPr>
              <w:bidi w:val="0"/>
              <w:jc w:val="center"/>
              <w:rPr>
                <w:rFonts w:hint="default"/>
                <w:sz w:val="21"/>
                <w:szCs w:val="21"/>
                <w:lang w:val="en-US" w:eastAsia="zh-CN"/>
              </w:rPr>
            </w:pPr>
            <w:r>
              <w:rPr>
                <w:rFonts w:hint="eastAsia"/>
                <w:sz w:val="21"/>
                <w:szCs w:val="21"/>
                <w:lang w:val="en-US" w:eastAsia="zh-CN"/>
              </w:rPr>
              <w:t>中心供应室设备</w:t>
            </w:r>
          </w:p>
        </w:tc>
        <w:tc>
          <w:tcPr>
            <w:tcW w:w="3212" w:type="dxa"/>
            <w:vAlign w:val="center"/>
          </w:tcPr>
          <w:p w14:paraId="4C3319E4">
            <w:pPr>
              <w:bidi w:val="0"/>
              <w:jc w:val="center"/>
              <w:rPr>
                <w:rFonts w:hint="default"/>
                <w:sz w:val="21"/>
                <w:szCs w:val="21"/>
                <w:lang w:val="en-US" w:eastAsia="zh-CN"/>
              </w:rPr>
            </w:pPr>
            <w:r>
              <w:rPr>
                <w:rFonts w:hint="eastAsia"/>
                <w:sz w:val="21"/>
                <w:szCs w:val="21"/>
              </w:rPr>
              <w:t>恒温水浴箱</w:t>
            </w:r>
          </w:p>
        </w:tc>
        <w:tc>
          <w:tcPr>
            <w:tcW w:w="912" w:type="dxa"/>
            <w:vAlign w:val="center"/>
          </w:tcPr>
          <w:p w14:paraId="747050A5">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709DE80">
            <w:pPr>
              <w:bidi w:val="0"/>
              <w:jc w:val="center"/>
              <w:rPr>
                <w:rFonts w:hint="default"/>
                <w:sz w:val="21"/>
                <w:szCs w:val="21"/>
                <w:lang w:val="en-US" w:eastAsia="zh-CN"/>
              </w:rPr>
            </w:pPr>
            <w:r>
              <w:rPr>
                <w:rFonts w:hint="eastAsia"/>
                <w:sz w:val="21"/>
                <w:szCs w:val="21"/>
                <w:lang w:val="en-US" w:eastAsia="zh-CN"/>
              </w:rPr>
              <w:t>台</w:t>
            </w:r>
          </w:p>
        </w:tc>
      </w:tr>
      <w:tr w14:paraId="51FDC9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16187F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127</w:t>
            </w:r>
          </w:p>
        </w:tc>
        <w:tc>
          <w:tcPr>
            <w:tcW w:w="2688" w:type="dxa"/>
            <w:vMerge w:val="continue"/>
            <w:vAlign w:val="center"/>
          </w:tcPr>
          <w:p w14:paraId="54BCADAF">
            <w:pPr>
              <w:bidi w:val="0"/>
              <w:jc w:val="center"/>
              <w:rPr>
                <w:rFonts w:hint="default"/>
                <w:sz w:val="21"/>
                <w:szCs w:val="21"/>
                <w:lang w:val="en-US" w:eastAsia="zh-CN"/>
              </w:rPr>
            </w:pPr>
          </w:p>
        </w:tc>
        <w:tc>
          <w:tcPr>
            <w:tcW w:w="3212" w:type="dxa"/>
            <w:vAlign w:val="center"/>
          </w:tcPr>
          <w:p w14:paraId="57522304">
            <w:pPr>
              <w:bidi w:val="0"/>
              <w:jc w:val="center"/>
              <w:rPr>
                <w:rFonts w:hint="default"/>
                <w:sz w:val="21"/>
                <w:szCs w:val="21"/>
                <w:lang w:val="en-US" w:eastAsia="zh-CN"/>
              </w:rPr>
            </w:pPr>
            <w:r>
              <w:rPr>
                <w:rFonts w:hint="eastAsia"/>
                <w:sz w:val="21"/>
                <w:szCs w:val="21"/>
              </w:rPr>
              <w:t>高压灭菌器</w:t>
            </w:r>
          </w:p>
        </w:tc>
        <w:tc>
          <w:tcPr>
            <w:tcW w:w="912" w:type="dxa"/>
            <w:vAlign w:val="center"/>
          </w:tcPr>
          <w:p w14:paraId="372946DC">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F0B6159">
            <w:pPr>
              <w:bidi w:val="0"/>
              <w:jc w:val="center"/>
              <w:rPr>
                <w:rFonts w:hint="default"/>
                <w:sz w:val="21"/>
                <w:szCs w:val="21"/>
                <w:lang w:val="en-US" w:eastAsia="zh-CN"/>
              </w:rPr>
            </w:pPr>
            <w:r>
              <w:rPr>
                <w:rFonts w:hint="eastAsia"/>
                <w:sz w:val="21"/>
                <w:szCs w:val="21"/>
                <w:lang w:val="en-US" w:eastAsia="zh-CN"/>
              </w:rPr>
              <w:t>台</w:t>
            </w:r>
          </w:p>
        </w:tc>
      </w:tr>
      <w:tr w14:paraId="3F35A3C2">
        <w:tblPrEx>
          <w:tblCellMar>
            <w:top w:w="0" w:type="dxa"/>
            <w:left w:w="108" w:type="dxa"/>
            <w:bottom w:w="0" w:type="dxa"/>
            <w:right w:w="108" w:type="dxa"/>
          </w:tblCellMar>
        </w:tblPrEx>
        <w:tc>
          <w:tcPr>
            <w:tcW w:w="720" w:type="dxa"/>
            <w:vAlign w:val="center"/>
          </w:tcPr>
          <w:p w14:paraId="1CBA094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128</w:t>
            </w:r>
          </w:p>
        </w:tc>
        <w:tc>
          <w:tcPr>
            <w:tcW w:w="2688" w:type="dxa"/>
            <w:vMerge w:val="continue"/>
            <w:vAlign w:val="center"/>
          </w:tcPr>
          <w:p w14:paraId="261931EE">
            <w:pPr>
              <w:bidi w:val="0"/>
              <w:jc w:val="center"/>
              <w:rPr>
                <w:rFonts w:hint="default"/>
                <w:sz w:val="21"/>
                <w:szCs w:val="21"/>
                <w:lang w:val="en-US" w:eastAsia="zh-CN"/>
              </w:rPr>
            </w:pPr>
          </w:p>
        </w:tc>
        <w:tc>
          <w:tcPr>
            <w:tcW w:w="3212" w:type="dxa"/>
            <w:vAlign w:val="center"/>
          </w:tcPr>
          <w:p w14:paraId="292DFC62">
            <w:pPr>
              <w:bidi w:val="0"/>
              <w:jc w:val="center"/>
              <w:rPr>
                <w:rFonts w:hint="default"/>
                <w:sz w:val="21"/>
                <w:szCs w:val="21"/>
                <w:lang w:val="en-US" w:eastAsia="zh-CN"/>
              </w:rPr>
            </w:pPr>
            <w:r>
              <w:rPr>
                <w:rFonts w:hint="eastAsia"/>
                <w:sz w:val="21"/>
                <w:szCs w:val="21"/>
              </w:rPr>
              <w:t>高压灭菌器</w:t>
            </w:r>
          </w:p>
        </w:tc>
        <w:tc>
          <w:tcPr>
            <w:tcW w:w="912" w:type="dxa"/>
            <w:vAlign w:val="center"/>
          </w:tcPr>
          <w:p w14:paraId="474C7A37">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763B9ADF">
            <w:pPr>
              <w:bidi w:val="0"/>
              <w:jc w:val="center"/>
              <w:rPr>
                <w:rFonts w:hint="default"/>
                <w:sz w:val="21"/>
                <w:szCs w:val="21"/>
                <w:lang w:val="en-US" w:eastAsia="zh-CN"/>
              </w:rPr>
            </w:pPr>
            <w:r>
              <w:rPr>
                <w:rFonts w:hint="eastAsia"/>
                <w:sz w:val="21"/>
                <w:szCs w:val="21"/>
                <w:lang w:val="en-US" w:eastAsia="zh-CN"/>
              </w:rPr>
              <w:t>台</w:t>
            </w:r>
          </w:p>
        </w:tc>
      </w:tr>
      <w:tr w14:paraId="34DD8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34E623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129</w:t>
            </w:r>
          </w:p>
        </w:tc>
        <w:tc>
          <w:tcPr>
            <w:tcW w:w="2688" w:type="dxa"/>
            <w:vMerge w:val="continue"/>
            <w:vAlign w:val="center"/>
          </w:tcPr>
          <w:p w14:paraId="7719FFB7">
            <w:pPr>
              <w:bidi w:val="0"/>
              <w:jc w:val="center"/>
              <w:rPr>
                <w:rFonts w:hint="default"/>
                <w:sz w:val="21"/>
                <w:szCs w:val="21"/>
                <w:lang w:val="en-US" w:eastAsia="zh-CN"/>
              </w:rPr>
            </w:pPr>
          </w:p>
        </w:tc>
        <w:tc>
          <w:tcPr>
            <w:tcW w:w="3212" w:type="dxa"/>
            <w:vAlign w:val="center"/>
          </w:tcPr>
          <w:p w14:paraId="45236E00">
            <w:pPr>
              <w:bidi w:val="0"/>
              <w:jc w:val="center"/>
              <w:rPr>
                <w:rFonts w:hint="default"/>
                <w:sz w:val="21"/>
                <w:szCs w:val="21"/>
                <w:lang w:val="en-US" w:eastAsia="zh-CN"/>
              </w:rPr>
            </w:pPr>
            <w:r>
              <w:rPr>
                <w:rFonts w:hint="eastAsia"/>
                <w:sz w:val="21"/>
                <w:szCs w:val="21"/>
              </w:rPr>
              <w:t>超声波清洗机</w:t>
            </w:r>
          </w:p>
        </w:tc>
        <w:tc>
          <w:tcPr>
            <w:tcW w:w="912" w:type="dxa"/>
            <w:vAlign w:val="center"/>
          </w:tcPr>
          <w:p w14:paraId="2ADC7DCB">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1DDF2245">
            <w:pPr>
              <w:bidi w:val="0"/>
              <w:jc w:val="center"/>
              <w:rPr>
                <w:rFonts w:hint="default"/>
                <w:sz w:val="21"/>
                <w:szCs w:val="21"/>
                <w:lang w:val="en-US" w:eastAsia="zh-CN"/>
              </w:rPr>
            </w:pPr>
            <w:r>
              <w:rPr>
                <w:rFonts w:hint="eastAsia"/>
                <w:sz w:val="21"/>
                <w:szCs w:val="21"/>
                <w:lang w:val="en-US" w:eastAsia="zh-CN"/>
              </w:rPr>
              <w:t>台</w:t>
            </w:r>
          </w:p>
        </w:tc>
      </w:tr>
      <w:tr w14:paraId="3F436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E2A46D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130</w:t>
            </w:r>
          </w:p>
        </w:tc>
        <w:tc>
          <w:tcPr>
            <w:tcW w:w="2688" w:type="dxa"/>
            <w:vMerge w:val="continue"/>
            <w:vAlign w:val="center"/>
          </w:tcPr>
          <w:p w14:paraId="07E4EF72">
            <w:pPr>
              <w:bidi w:val="0"/>
              <w:jc w:val="center"/>
              <w:rPr>
                <w:rFonts w:hint="default"/>
                <w:sz w:val="21"/>
                <w:szCs w:val="21"/>
                <w:lang w:val="en-US" w:eastAsia="zh-CN"/>
              </w:rPr>
            </w:pPr>
          </w:p>
        </w:tc>
        <w:tc>
          <w:tcPr>
            <w:tcW w:w="3212" w:type="dxa"/>
            <w:vAlign w:val="center"/>
          </w:tcPr>
          <w:p w14:paraId="79340E67">
            <w:pPr>
              <w:bidi w:val="0"/>
              <w:jc w:val="center"/>
              <w:rPr>
                <w:rFonts w:hint="default"/>
                <w:sz w:val="21"/>
                <w:szCs w:val="21"/>
                <w:lang w:val="en-US" w:eastAsia="zh-CN"/>
              </w:rPr>
            </w:pPr>
            <w:r>
              <w:rPr>
                <w:rFonts w:hint="eastAsia"/>
                <w:sz w:val="21"/>
                <w:szCs w:val="21"/>
              </w:rPr>
              <w:t>低温灭菌器</w:t>
            </w:r>
          </w:p>
        </w:tc>
        <w:tc>
          <w:tcPr>
            <w:tcW w:w="912" w:type="dxa"/>
            <w:vAlign w:val="center"/>
          </w:tcPr>
          <w:p w14:paraId="4495FDA6">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6DEDB6E4">
            <w:pPr>
              <w:bidi w:val="0"/>
              <w:jc w:val="center"/>
              <w:rPr>
                <w:rFonts w:hint="default"/>
                <w:sz w:val="21"/>
                <w:szCs w:val="21"/>
                <w:lang w:val="en-US" w:eastAsia="zh-CN"/>
              </w:rPr>
            </w:pPr>
            <w:r>
              <w:rPr>
                <w:rFonts w:hint="eastAsia"/>
                <w:sz w:val="21"/>
                <w:szCs w:val="21"/>
                <w:lang w:val="en-US" w:eastAsia="zh-CN"/>
              </w:rPr>
              <w:t>台</w:t>
            </w:r>
          </w:p>
        </w:tc>
      </w:tr>
      <w:tr w14:paraId="6B2AC2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87B928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131</w:t>
            </w:r>
          </w:p>
        </w:tc>
        <w:tc>
          <w:tcPr>
            <w:tcW w:w="2688" w:type="dxa"/>
            <w:vMerge w:val="continue"/>
            <w:vAlign w:val="center"/>
          </w:tcPr>
          <w:p w14:paraId="14D08F45">
            <w:pPr>
              <w:bidi w:val="0"/>
              <w:jc w:val="center"/>
              <w:rPr>
                <w:rFonts w:hint="default"/>
                <w:sz w:val="21"/>
                <w:szCs w:val="21"/>
                <w:lang w:val="en-US" w:eastAsia="zh-CN"/>
              </w:rPr>
            </w:pPr>
          </w:p>
        </w:tc>
        <w:tc>
          <w:tcPr>
            <w:tcW w:w="3212" w:type="dxa"/>
            <w:vAlign w:val="center"/>
          </w:tcPr>
          <w:p w14:paraId="4C43AA10">
            <w:pPr>
              <w:bidi w:val="0"/>
              <w:jc w:val="center"/>
              <w:rPr>
                <w:rFonts w:hint="default"/>
                <w:sz w:val="21"/>
                <w:szCs w:val="21"/>
                <w:lang w:val="en-US" w:eastAsia="zh-CN"/>
              </w:rPr>
            </w:pPr>
            <w:r>
              <w:rPr>
                <w:rFonts w:hint="eastAsia"/>
                <w:sz w:val="21"/>
                <w:szCs w:val="21"/>
              </w:rPr>
              <w:t>封口机</w:t>
            </w:r>
          </w:p>
        </w:tc>
        <w:tc>
          <w:tcPr>
            <w:tcW w:w="912" w:type="dxa"/>
            <w:vAlign w:val="center"/>
          </w:tcPr>
          <w:p w14:paraId="5069E96F">
            <w:pPr>
              <w:bidi w:val="0"/>
              <w:jc w:val="center"/>
              <w:rPr>
                <w:rFonts w:hint="default"/>
                <w:sz w:val="21"/>
                <w:szCs w:val="21"/>
                <w:lang w:val="en-US" w:eastAsia="zh-CN"/>
              </w:rPr>
            </w:pPr>
            <w:r>
              <w:rPr>
                <w:rFonts w:hint="eastAsia"/>
                <w:sz w:val="21"/>
                <w:szCs w:val="21"/>
                <w:lang w:val="en-US" w:eastAsia="zh-CN"/>
              </w:rPr>
              <w:t>1</w:t>
            </w:r>
          </w:p>
        </w:tc>
        <w:tc>
          <w:tcPr>
            <w:tcW w:w="990" w:type="dxa"/>
            <w:vAlign w:val="center"/>
          </w:tcPr>
          <w:p w14:paraId="2576E1A8">
            <w:pPr>
              <w:bidi w:val="0"/>
              <w:jc w:val="center"/>
              <w:rPr>
                <w:rFonts w:hint="default"/>
                <w:sz w:val="21"/>
                <w:szCs w:val="21"/>
                <w:lang w:val="en-US" w:eastAsia="zh-CN"/>
              </w:rPr>
            </w:pPr>
            <w:r>
              <w:rPr>
                <w:rFonts w:hint="eastAsia"/>
                <w:sz w:val="21"/>
                <w:szCs w:val="21"/>
                <w:lang w:val="en-US" w:eastAsia="zh-CN"/>
              </w:rPr>
              <w:t>台</w:t>
            </w:r>
          </w:p>
        </w:tc>
      </w:tr>
      <w:tr w14:paraId="38A55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474EC66">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132</w:t>
            </w:r>
          </w:p>
        </w:tc>
        <w:tc>
          <w:tcPr>
            <w:tcW w:w="2688" w:type="dxa"/>
            <w:vMerge w:val="restart"/>
            <w:vAlign w:val="center"/>
          </w:tcPr>
          <w:p w14:paraId="709B1187">
            <w:pPr>
              <w:bidi w:val="0"/>
              <w:jc w:val="center"/>
              <w:rPr>
                <w:rFonts w:hint="default"/>
                <w:sz w:val="21"/>
                <w:szCs w:val="21"/>
                <w:lang w:val="en-US" w:eastAsia="zh-CN"/>
              </w:rPr>
            </w:pPr>
            <w:r>
              <w:rPr>
                <w:rFonts w:hint="eastAsia"/>
                <w:sz w:val="21"/>
                <w:szCs w:val="21"/>
                <w:lang w:val="en-US" w:eastAsia="zh-CN"/>
              </w:rPr>
              <w:t>病房设备</w:t>
            </w:r>
          </w:p>
        </w:tc>
        <w:tc>
          <w:tcPr>
            <w:tcW w:w="3212" w:type="dxa"/>
            <w:vAlign w:val="center"/>
          </w:tcPr>
          <w:p w14:paraId="37C71A03">
            <w:pPr>
              <w:bidi w:val="0"/>
              <w:jc w:val="center"/>
              <w:rPr>
                <w:rFonts w:hint="default"/>
                <w:sz w:val="21"/>
                <w:szCs w:val="21"/>
                <w:lang w:val="en-US" w:eastAsia="zh-CN"/>
              </w:rPr>
            </w:pPr>
            <w:r>
              <w:rPr>
                <w:rFonts w:hint="eastAsia"/>
                <w:sz w:val="21"/>
                <w:szCs w:val="21"/>
              </w:rPr>
              <w:t>多参数监护仪.</w:t>
            </w:r>
          </w:p>
        </w:tc>
        <w:tc>
          <w:tcPr>
            <w:tcW w:w="912" w:type="dxa"/>
            <w:vAlign w:val="center"/>
          </w:tcPr>
          <w:p w14:paraId="35A10ED0">
            <w:pPr>
              <w:bidi w:val="0"/>
              <w:jc w:val="center"/>
              <w:rPr>
                <w:rFonts w:hint="default"/>
                <w:sz w:val="21"/>
                <w:szCs w:val="21"/>
                <w:lang w:val="en-US" w:eastAsia="zh-CN"/>
              </w:rPr>
            </w:pPr>
            <w:r>
              <w:rPr>
                <w:rFonts w:hint="eastAsia"/>
                <w:sz w:val="21"/>
                <w:szCs w:val="21"/>
                <w:lang w:val="en-US" w:eastAsia="zh-CN"/>
              </w:rPr>
              <w:t>若干</w:t>
            </w:r>
          </w:p>
        </w:tc>
        <w:tc>
          <w:tcPr>
            <w:tcW w:w="990" w:type="dxa"/>
            <w:vAlign w:val="center"/>
          </w:tcPr>
          <w:p w14:paraId="17177DB2">
            <w:pPr>
              <w:bidi w:val="0"/>
              <w:jc w:val="center"/>
              <w:rPr>
                <w:rFonts w:hint="default"/>
                <w:sz w:val="21"/>
                <w:szCs w:val="21"/>
                <w:lang w:val="en-US" w:eastAsia="zh-CN"/>
              </w:rPr>
            </w:pPr>
            <w:r>
              <w:rPr>
                <w:rFonts w:hint="eastAsia"/>
                <w:sz w:val="21"/>
                <w:szCs w:val="21"/>
                <w:lang w:val="en-US" w:eastAsia="zh-CN"/>
              </w:rPr>
              <w:t>台</w:t>
            </w:r>
          </w:p>
        </w:tc>
      </w:tr>
      <w:tr w14:paraId="5EBB2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B5B73A">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133</w:t>
            </w:r>
          </w:p>
        </w:tc>
        <w:tc>
          <w:tcPr>
            <w:tcW w:w="2688" w:type="dxa"/>
            <w:vMerge w:val="continue"/>
            <w:vAlign w:val="center"/>
          </w:tcPr>
          <w:p w14:paraId="25DB9A39">
            <w:pPr>
              <w:bidi w:val="0"/>
              <w:jc w:val="center"/>
              <w:rPr>
                <w:rFonts w:hint="default"/>
                <w:sz w:val="21"/>
                <w:szCs w:val="21"/>
                <w:lang w:val="en-US" w:eastAsia="zh-CN"/>
              </w:rPr>
            </w:pPr>
          </w:p>
        </w:tc>
        <w:tc>
          <w:tcPr>
            <w:tcW w:w="3212" w:type="dxa"/>
            <w:vAlign w:val="center"/>
          </w:tcPr>
          <w:p w14:paraId="415A8583">
            <w:pPr>
              <w:bidi w:val="0"/>
              <w:jc w:val="center"/>
              <w:rPr>
                <w:rFonts w:hint="default"/>
                <w:sz w:val="21"/>
                <w:szCs w:val="21"/>
                <w:lang w:val="en-US" w:eastAsia="zh-CN"/>
              </w:rPr>
            </w:pPr>
            <w:r>
              <w:rPr>
                <w:rFonts w:hint="eastAsia"/>
                <w:sz w:val="21"/>
                <w:szCs w:val="21"/>
              </w:rPr>
              <w:t>便携式呼吸机</w:t>
            </w:r>
          </w:p>
        </w:tc>
        <w:tc>
          <w:tcPr>
            <w:tcW w:w="912" w:type="dxa"/>
            <w:vAlign w:val="center"/>
          </w:tcPr>
          <w:p w14:paraId="4015DFB4">
            <w:pPr>
              <w:bidi w:val="0"/>
              <w:jc w:val="center"/>
              <w:rPr>
                <w:rFonts w:hint="default"/>
                <w:sz w:val="21"/>
                <w:szCs w:val="21"/>
                <w:lang w:val="en-US" w:eastAsia="zh-CN"/>
              </w:rPr>
            </w:pPr>
            <w:r>
              <w:rPr>
                <w:rFonts w:hint="eastAsia"/>
                <w:sz w:val="21"/>
                <w:szCs w:val="21"/>
                <w:lang w:val="en-US" w:eastAsia="zh-CN"/>
              </w:rPr>
              <w:t>若干</w:t>
            </w:r>
          </w:p>
        </w:tc>
        <w:tc>
          <w:tcPr>
            <w:tcW w:w="990" w:type="dxa"/>
            <w:vAlign w:val="center"/>
          </w:tcPr>
          <w:p w14:paraId="1509AFA6">
            <w:pPr>
              <w:bidi w:val="0"/>
              <w:jc w:val="center"/>
              <w:rPr>
                <w:rFonts w:hint="default"/>
                <w:sz w:val="21"/>
                <w:szCs w:val="21"/>
                <w:lang w:val="en-US" w:eastAsia="zh-CN"/>
              </w:rPr>
            </w:pPr>
            <w:r>
              <w:rPr>
                <w:rFonts w:hint="eastAsia"/>
                <w:sz w:val="21"/>
                <w:szCs w:val="21"/>
                <w:lang w:val="en-US" w:eastAsia="zh-CN"/>
              </w:rPr>
              <w:t>台</w:t>
            </w:r>
          </w:p>
        </w:tc>
      </w:tr>
      <w:tr w14:paraId="04CE05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B13D8F7">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134</w:t>
            </w:r>
          </w:p>
        </w:tc>
        <w:tc>
          <w:tcPr>
            <w:tcW w:w="2688" w:type="dxa"/>
            <w:vMerge w:val="continue"/>
            <w:vAlign w:val="center"/>
          </w:tcPr>
          <w:p w14:paraId="397AC66B">
            <w:pPr>
              <w:bidi w:val="0"/>
              <w:jc w:val="center"/>
              <w:rPr>
                <w:rFonts w:hint="default"/>
                <w:sz w:val="21"/>
                <w:szCs w:val="21"/>
                <w:lang w:val="en-US" w:eastAsia="zh-CN"/>
              </w:rPr>
            </w:pPr>
          </w:p>
        </w:tc>
        <w:tc>
          <w:tcPr>
            <w:tcW w:w="3212" w:type="dxa"/>
            <w:vAlign w:val="center"/>
          </w:tcPr>
          <w:p w14:paraId="4A6A46BB">
            <w:pPr>
              <w:bidi w:val="0"/>
              <w:jc w:val="center"/>
              <w:rPr>
                <w:rFonts w:hint="default"/>
                <w:sz w:val="21"/>
                <w:szCs w:val="21"/>
                <w:lang w:val="en-US" w:eastAsia="zh-CN"/>
              </w:rPr>
            </w:pPr>
            <w:r>
              <w:rPr>
                <w:rFonts w:hint="eastAsia"/>
                <w:sz w:val="21"/>
                <w:szCs w:val="21"/>
              </w:rPr>
              <w:t>输液泵</w:t>
            </w:r>
          </w:p>
        </w:tc>
        <w:tc>
          <w:tcPr>
            <w:tcW w:w="912" w:type="dxa"/>
            <w:vAlign w:val="center"/>
          </w:tcPr>
          <w:p w14:paraId="6A4F5088">
            <w:pPr>
              <w:bidi w:val="0"/>
              <w:jc w:val="center"/>
              <w:rPr>
                <w:rFonts w:hint="default"/>
                <w:sz w:val="21"/>
                <w:szCs w:val="21"/>
                <w:lang w:val="en-US" w:eastAsia="zh-CN"/>
              </w:rPr>
            </w:pPr>
            <w:r>
              <w:rPr>
                <w:rFonts w:hint="eastAsia"/>
                <w:sz w:val="21"/>
                <w:szCs w:val="21"/>
                <w:lang w:val="en-US" w:eastAsia="zh-CN"/>
              </w:rPr>
              <w:t>若干</w:t>
            </w:r>
          </w:p>
        </w:tc>
        <w:tc>
          <w:tcPr>
            <w:tcW w:w="990" w:type="dxa"/>
            <w:vAlign w:val="center"/>
          </w:tcPr>
          <w:p w14:paraId="724D2187">
            <w:pPr>
              <w:bidi w:val="0"/>
              <w:jc w:val="center"/>
              <w:rPr>
                <w:rFonts w:hint="default"/>
                <w:sz w:val="21"/>
                <w:szCs w:val="21"/>
                <w:lang w:val="en-US" w:eastAsia="zh-CN"/>
              </w:rPr>
            </w:pPr>
            <w:r>
              <w:rPr>
                <w:rFonts w:hint="eastAsia"/>
                <w:sz w:val="21"/>
                <w:szCs w:val="21"/>
                <w:lang w:val="en-US" w:eastAsia="zh-CN"/>
              </w:rPr>
              <w:t>台</w:t>
            </w:r>
          </w:p>
        </w:tc>
      </w:tr>
      <w:tr w14:paraId="111E61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2DBE3E3">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135</w:t>
            </w:r>
          </w:p>
        </w:tc>
        <w:tc>
          <w:tcPr>
            <w:tcW w:w="2688" w:type="dxa"/>
            <w:vMerge w:val="continue"/>
            <w:vAlign w:val="center"/>
          </w:tcPr>
          <w:p w14:paraId="67B2E7B2">
            <w:pPr>
              <w:bidi w:val="0"/>
              <w:jc w:val="center"/>
              <w:rPr>
                <w:rFonts w:hint="default"/>
                <w:sz w:val="21"/>
                <w:szCs w:val="21"/>
                <w:lang w:val="en-US" w:eastAsia="zh-CN"/>
              </w:rPr>
            </w:pPr>
          </w:p>
        </w:tc>
        <w:tc>
          <w:tcPr>
            <w:tcW w:w="3212" w:type="dxa"/>
            <w:vAlign w:val="center"/>
          </w:tcPr>
          <w:p w14:paraId="191BB088">
            <w:pPr>
              <w:bidi w:val="0"/>
              <w:jc w:val="center"/>
              <w:rPr>
                <w:rFonts w:hint="default"/>
                <w:sz w:val="21"/>
                <w:szCs w:val="21"/>
                <w:lang w:val="en-US" w:eastAsia="zh-CN"/>
              </w:rPr>
            </w:pPr>
            <w:r>
              <w:rPr>
                <w:rFonts w:hint="eastAsia"/>
                <w:sz w:val="21"/>
                <w:szCs w:val="21"/>
              </w:rPr>
              <w:t>注射泵.</w:t>
            </w:r>
          </w:p>
        </w:tc>
        <w:tc>
          <w:tcPr>
            <w:tcW w:w="912" w:type="dxa"/>
            <w:vAlign w:val="center"/>
          </w:tcPr>
          <w:p w14:paraId="5D35AFE9">
            <w:pPr>
              <w:bidi w:val="0"/>
              <w:jc w:val="center"/>
              <w:rPr>
                <w:rFonts w:hint="default"/>
                <w:sz w:val="21"/>
                <w:szCs w:val="21"/>
                <w:lang w:val="en-US" w:eastAsia="zh-CN"/>
              </w:rPr>
            </w:pPr>
            <w:r>
              <w:rPr>
                <w:rFonts w:hint="eastAsia"/>
                <w:sz w:val="21"/>
                <w:szCs w:val="21"/>
                <w:lang w:val="en-US" w:eastAsia="zh-CN"/>
              </w:rPr>
              <w:t>若干</w:t>
            </w:r>
          </w:p>
        </w:tc>
        <w:tc>
          <w:tcPr>
            <w:tcW w:w="990" w:type="dxa"/>
            <w:vAlign w:val="center"/>
          </w:tcPr>
          <w:p w14:paraId="248DC6A6">
            <w:pPr>
              <w:bidi w:val="0"/>
              <w:jc w:val="center"/>
              <w:rPr>
                <w:rFonts w:hint="default"/>
                <w:sz w:val="21"/>
                <w:szCs w:val="21"/>
                <w:lang w:val="en-US" w:eastAsia="zh-CN"/>
              </w:rPr>
            </w:pPr>
            <w:r>
              <w:rPr>
                <w:rFonts w:hint="eastAsia"/>
                <w:sz w:val="21"/>
                <w:szCs w:val="21"/>
                <w:lang w:val="en-US" w:eastAsia="zh-CN"/>
              </w:rPr>
              <w:t>台</w:t>
            </w:r>
          </w:p>
        </w:tc>
      </w:tr>
      <w:tr w14:paraId="5E6C4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D0419C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136</w:t>
            </w:r>
          </w:p>
        </w:tc>
        <w:tc>
          <w:tcPr>
            <w:tcW w:w="2688" w:type="dxa"/>
            <w:vMerge w:val="continue"/>
            <w:vAlign w:val="center"/>
          </w:tcPr>
          <w:p w14:paraId="3C6A9631">
            <w:pPr>
              <w:bidi w:val="0"/>
              <w:jc w:val="center"/>
              <w:rPr>
                <w:rFonts w:hint="default"/>
                <w:sz w:val="21"/>
                <w:szCs w:val="21"/>
                <w:lang w:val="en-US" w:eastAsia="zh-CN"/>
              </w:rPr>
            </w:pPr>
          </w:p>
        </w:tc>
        <w:tc>
          <w:tcPr>
            <w:tcW w:w="3212" w:type="dxa"/>
            <w:vAlign w:val="center"/>
          </w:tcPr>
          <w:p w14:paraId="478F05CD">
            <w:pPr>
              <w:bidi w:val="0"/>
              <w:jc w:val="center"/>
              <w:rPr>
                <w:rFonts w:hint="default"/>
                <w:sz w:val="21"/>
                <w:szCs w:val="21"/>
                <w:lang w:val="en-US" w:eastAsia="zh-CN"/>
              </w:rPr>
            </w:pPr>
            <w:r>
              <w:rPr>
                <w:rFonts w:hint="eastAsia"/>
                <w:sz w:val="21"/>
                <w:szCs w:val="21"/>
              </w:rPr>
              <w:t>治疗车</w:t>
            </w:r>
          </w:p>
        </w:tc>
        <w:tc>
          <w:tcPr>
            <w:tcW w:w="912" w:type="dxa"/>
            <w:vAlign w:val="center"/>
          </w:tcPr>
          <w:p w14:paraId="111DEDE1">
            <w:pPr>
              <w:bidi w:val="0"/>
              <w:jc w:val="center"/>
              <w:rPr>
                <w:rFonts w:hint="default"/>
                <w:sz w:val="21"/>
                <w:szCs w:val="21"/>
                <w:lang w:val="en-US" w:eastAsia="zh-CN"/>
              </w:rPr>
            </w:pPr>
            <w:r>
              <w:rPr>
                <w:rFonts w:hint="eastAsia"/>
                <w:sz w:val="21"/>
                <w:szCs w:val="21"/>
                <w:lang w:val="en-US" w:eastAsia="zh-CN"/>
              </w:rPr>
              <w:t>50</w:t>
            </w:r>
          </w:p>
        </w:tc>
        <w:tc>
          <w:tcPr>
            <w:tcW w:w="990" w:type="dxa"/>
            <w:vAlign w:val="center"/>
          </w:tcPr>
          <w:p w14:paraId="558F734C">
            <w:pPr>
              <w:bidi w:val="0"/>
              <w:jc w:val="center"/>
              <w:rPr>
                <w:rFonts w:hint="default"/>
                <w:sz w:val="21"/>
                <w:szCs w:val="21"/>
                <w:lang w:val="en-US" w:eastAsia="zh-CN"/>
              </w:rPr>
            </w:pPr>
            <w:r>
              <w:rPr>
                <w:rFonts w:hint="eastAsia"/>
                <w:sz w:val="21"/>
                <w:szCs w:val="21"/>
                <w:lang w:val="en-US" w:eastAsia="zh-CN"/>
              </w:rPr>
              <w:t>台</w:t>
            </w:r>
          </w:p>
        </w:tc>
      </w:tr>
      <w:tr w14:paraId="1CD1B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4471999">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137</w:t>
            </w:r>
          </w:p>
        </w:tc>
        <w:tc>
          <w:tcPr>
            <w:tcW w:w="2688" w:type="dxa"/>
            <w:vMerge w:val="continue"/>
            <w:vAlign w:val="center"/>
          </w:tcPr>
          <w:p w14:paraId="0CDE3C7C">
            <w:pPr>
              <w:bidi w:val="0"/>
              <w:jc w:val="center"/>
              <w:rPr>
                <w:rFonts w:hint="default"/>
                <w:sz w:val="21"/>
                <w:szCs w:val="21"/>
                <w:lang w:val="en-US" w:eastAsia="zh-CN"/>
              </w:rPr>
            </w:pPr>
          </w:p>
        </w:tc>
        <w:tc>
          <w:tcPr>
            <w:tcW w:w="3212" w:type="dxa"/>
            <w:vAlign w:val="center"/>
          </w:tcPr>
          <w:p w14:paraId="76D0A2FB">
            <w:pPr>
              <w:bidi w:val="0"/>
              <w:jc w:val="center"/>
              <w:rPr>
                <w:rFonts w:hint="default"/>
                <w:sz w:val="21"/>
                <w:szCs w:val="21"/>
                <w:lang w:val="en-US" w:eastAsia="zh-CN"/>
              </w:rPr>
            </w:pPr>
            <w:r>
              <w:rPr>
                <w:rFonts w:hint="eastAsia"/>
                <w:sz w:val="21"/>
                <w:szCs w:val="21"/>
                <w:lang w:val="en-US" w:eastAsia="zh-CN"/>
              </w:rPr>
              <w:t>器械车</w:t>
            </w:r>
          </w:p>
        </w:tc>
        <w:tc>
          <w:tcPr>
            <w:tcW w:w="912" w:type="dxa"/>
            <w:vAlign w:val="center"/>
          </w:tcPr>
          <w:p w14:paraId="717014AD">
            <w:pPr>
              <w:bidi w:val="0"/>
              <w:jc w:val="center"/>
              <w:rPr>
                <w:rFonts w:hint="default"/>
                <w:sz w:val="21"/>
                <w:szCs w:val="21"/>
                <w:lang w:val="en-US" w:eastAsia="zh-CN"/>
              </w:rPr>
            </w:pPr>
            <w:r>
              <w:rPr>
                <w:rFonts w:hint="eastAsia"/>
                <w:sz w:val="21"/>
                <w:szCs w:val="21"/>
                <w:lang w:val="en-US" w:eastAsia="zh-CN"/>
              </w:rPr>
              <w:t>50</w:t>
            </w:r>
          </w:p>
        </w:tc>
        <w:tc>
          <w:tcPr>
            <w:tcW w:w="990" w:type="dxa"/>
            <w:vAlign w:val="center"/>
          </w:tcPr>
          <w:p w14:paraId="17E39A14">
            <w:pPr>
              <w:bidi w:val="0"/>
              <w:jc w:val="center"/>
              <w:rPr>
                <w:rFonts w:hint="default"/>
                <w:sz w:val="21"/>
                <w:szCs w:val="21"/>
                <w:lang w:val="en-US" w:eastAsia="zh-CN"/>
              </w:rPr>
            </w:pPr>
            <w:r>
              <w:rPr>
                <w:rFonts w:hint="eastAsia"/>
                <w:sz w:val="21"/>
                <w:szCs w:val="21"/>
                <w:lang w:val="en-US" w:eastAsia="zh-CN"/>
              </w:rPr>
              <w:t>台</w:t>
            </w:r>
          </w:p>
        </w:tc>
      </w:tr>
      <w:tr w14:paraId="55C1637E">
        <w:tblPrEx>
          <w:tblCellMar>
            <w:top w:w="0" w:type="dxa"/>
            <w:left w:w="108" w:type="dxa"/>
            <w:bottom w:w="0" w:type="dxa"/>
            <w:right w:w="108" w:type="dxa"/>
          </w:tblCellMar>
        </w:tblPrEx>
        <w:tc>
          <w:tcPr>
            <w:tcW w:w="720" w:type="dxa"/>
            <w:vAlign w:val="center"/>
          </w:tcPr>
          <w:p w14:paraId="76982C60">
            <w:pPr>
              <w:keepNext w:val="0"/>
              <w:keepLines w:val="0"/>
              <w:widowControl/>
              <w:suppressLineNumbers w:val="0"/>
              <w:jc w:val="center"/>
              <w:textAlignment w:val="center"/>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138</w:t>
            </w:r>
          </w:p>
        </w:tc>
        <w:tc>
          <w:tcPr>
            <w:tcW w:w="2688" w:type="dxa"/>
            <w:vMerge w:val="continue"/>
            <w:vAlign w:val="center"/>
          </w:tcPr>
          <w:p w14:paraId="32BB3932">
            <w:pPr>
              <w:bidi w:val="0"/>
              <w:jc w:val="center"/>
              <w:rPr>
                <w:rFonts w:hint="default"/>
                <w:sz w:val="21"/>
                <w:szCs w:val="21"/>
                <w:lang w:val="en-US" w:eastAsia="zh-CN"/>
              </w:rPr>
            </w:pPr>
          </w:p>
        </w:tc>
        <w:tc>
          <w:tcPr>
            <w:tcW w:w="3212" w:type="dxa"/>
            <w:vAlign w:val="center"/>
          </w:tcPr>
          <w:p w14:paraId="6606D824">
            <w:pPr>
              <w:bidi w:val="0"/>
              <w:jc w:val="center"/>
              <w:rPr>
                <w:rFonts w:hint="default"/>
                <w:sz w:val="21"/>
                <w:szCs w:val="21"/>
                <w:lang w:val="en-US" w:eastAsia="zh-CN"/>
              </w:rPr>
            </w:pPr>
            <w:r>
              <w:rPr>
                <w:rFonts w:hint="eastAsia"/>
                <w:sz w:val="21"/>
                <w:szCs w:val="21"/>
                <w:lang w:val="en-US" w:eastAsia="zh-CN"/>
              </w:rPr>
              <w:t>护理车</w:t>
            </w:r>
          </w:p>
        </w:tc>
        <w:tc>
          <w:tcPr>
            <w:tcW w:w="912" w:type="dxa"/>
            <w:vAlign w:val="center"/>
          </w:tcPr>
          <w:p w14:paraId="75154A9F">
            <w:pPr>
              <w:bidi w:val="0"/>
              <w:jc w:val="center"/>
              <w:rPr>
                <w:rFonts w:hint="default"/>
                <w:sz w:val="21"/>
                <w:szCs w:val="21"/>
                <w:lang w:val="en-US" w:eastAsia="zh-CN"/>
              </w:rPr>
            </w:pPr>
            <w:r>
              <w:rPr>
                <w:rFonts w:hint="eastAsia"/>
                <w:sz w:val="21"/>
                <w:szCs w:val="21"/>
                <w:lang w:val="en-US" w:eastAsia="zh-CN"/>
              </w:rPr>
              <w:t>60</w:t>
            </w:r>
          </w:p>
        </w:tc>
        <w:tc>
          <w:tcPr>
            <w:tcW w:w="990" w:type="dxa"/>
            <w:vAlign w:val="center"/>
          </w:tcPr>
          <w:p w14:paraId="6956AD46">
            <w:pPr>
              <w:bidi w:val="0"/>
              <w:jc w:val="center"/>
              <w:rPr>
                <w:rFonts w:hint="default"/>
                <w:sz w:val="21"/>
                <w:szCs w:val="21"/>
                <w:lang w:val="en-US" w:eastAsia="zh-CN"/>
              </w:rPr>
            </w:pPr>
            <w:r>
              <w:rPr>
                <w:rFonts w:hint="eastAsia"/>
                <w:sz w:val="21"/>
                <w:szCs w:val="21"/>
                <w:lang w:val="en-US" w:eastAsia="zh-CN"/>
              </w:rPr>
              <w:t>台</w:t>
            </w:r>
          </w:p>
        </w:tc>
      </w:tr>
    </w:tbl>
    <w:p w14:paraId="1CEF6648">
      <w:pPr>
        <w:keepNext w:val="0"/>
        <w:keepLines w:val="0"/>
        <w:widowControl/>
        <w:suppressLineNumbers w:val="0"/>
        <w:jc w:val="left"/>
      </w:pPr>
      <w:r>
        <w:rPr>
          <w:rFonts w:hint="eastAsia" w:ascii="宋体" w:hAnsi="宋体" w:eastAsia="宋体" w:cs="宋体"/>
          <w:b/>
          <w:bCs/>
          <w:color w:val="000000"/>
          <w:kern w:val="0"/>
          <w:sz w:val="21"/>
          <w:szCs w:val="21"/>
          <w:lang w:val="en-US" w:eastAsia="zh-CN" w:bidi="ar"/>
        </w:rPr>
        <w:t>注：项目涉及辐射的设备需单独进行环境影响评价，不在本次环评的评价范围。</w:t>
      </w:r>
    </w:p>
    <w:p w14:paraId="578DA1A1">
      <w:pPr>
        <w:pStyle w:val="6"/>
        <w:bidi w:val="0"/>
        <w:rPr>
          <w:rFonts w:hint="default" w:ascii="Times New Roman" w:hAnsi="Times New Roman" w:eastAsia="宋体" w:cs="Times New Roman"/>
          <w:color w:val="auto"/>
          <w:lang w:val="en-US" w:eastAsia="zh-CN"/>
        </w:rPr>
      </w:pPr>
      <w:bookmarkStart w:id="1187" w:name="_Toc18490"/>
      <w:r>
        <w:rPr>
          <w:rFonts w:hint="default" w:ascii="Times New Roman" w:hAnsi="Times New Roman" w:eastAsia="宋体" w:cs="Times New Roman"/>
          <w:color w:val="auto"/>
          <w:lang w:val="en-US" w:eastAsia="zh-CN"/>
        </w:rPr>
        <w:t>2.2项目总平面布置</w:t>
      </w:r>
      <w:bookmarkEnd w:id="1187"/>
    </w:p>
    <w:p w14:paraId="1BB4F900">
      <w:pPr>
        <w:pStyle w:val="7"/>
        <w:bidi w:val="0"/>
        <w:rPr>
          <w:rFonts w:hint="default" w:ascii="Times New Roman" w:hAnsi="Times New Roman" w:eastAsia="宋体" w:cs="Times New Roman"/>
          <w:color w:val="auto"/>
          <w:lang w:val="en-US" w:eastAsia="zh-CN"/>
        </w:rPr>
      </w:pPr>
      <w:bookmarkStart w:id="1188" w:name="_Toc11553"/>
      <w:r>
        <w:rPr>
          <w:rFonts w:hint="default" w:ascii="Times New Roman" w:hAnsi="Times New Roman" w:eastAsia="宋体" w:cs="Times New Roman"/>
          <w:color w:val="auto"/>
          <w:lang w:val="en-US" w:eastAsia="zh-CN"/>
        </w:rPr>
        <w:t>2.2.1总平面布置</w:t>
      </w:r>
      <w:bookmarkEnd w:id="1188"/>
    </w:p>
    <w:p w14:paraId="7F61A1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（1）功能布局</w:t>
      </w:r>
    </w:p>
    <w:p w14:paraId="61B62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位于蓬莱路和医院路交汇处，为实现高效医院，将门急诊医技住院综合楼（1#楼）的医疗空间作为资源中心布置在远街面的场地中部，避免噪音同时交通便捷，此栋楼包含：救援中心，住院综合楼，外科大楼；后勤楼（2#楼）作为后勤辅助楼设置在靠近1#楼的位置；同时将感染楼（3#楼）、和发热楼（4#楼）布置在项目北部，远离南侧居民，北侧、西侧为城市道路，设置宽度为20米绿化隔离带进行分隔；南侧为门急诊医技住院综合楼区域，设置宽度为32米的绿化隔离带进行分隔。从总体上实现合理分区布局。</w:t>
      </w:r>
    </w:p>
    <w:p w14:paraId="3268BD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（2）交通流线</w:t>
      </w:r>
    </w:p>
    <w:p w14:paraId="501180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场地内部道路围绕两功能片区呈环状布局，并在此基础上实现各功能区流线组织。采用人车分流进行交通组织设计，人行道与车行道间采用绿化隔离带进行分隔，其中医疗区设置独立的就诊流线，同时分散不同人群入口，避免人流交叉；感染病区部分与全区独立；靠近地块中部设置医护人员入口，南侧临道路独立设置各种病人与各科室入口，北侧设置感染病区入口。项目共设置7个车行入口，1#、2#楼区域和3#、4#楼区域车库独立设置，1#、2#楼车库设置3个普通车库出入口，1个污车专用出入口；3#、4#楼区域设置2个普通车行出入口，1个污车专用车库出入口。污物流线位于负一层，与地面流线不交叉。污物排出时间不与医院人流高峰时间交叉，错峰处理。</w:t>
      </w:r>
    </w:p>
    <w:p w14:paraId="31743D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（3）竖向设计</w:t>
      </w:r>
    </w:p>
    <w:p w14:paraId="795A95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由于场地高差较大，若将分台依照原始地形标高处理，虽然挖填方较小，但会导致建筑内部空间局促，功能布局紧张，竖向交通压力较大等问题，严重影响医疗功能使用及效率，同时也不利于形成良好的空间品质。因此本方案考虑将地形高差消减为6米左右，便于对医疗部分采用医院街模式进行布局，减小了竖向交通压力，功能流线更合理，空间更舒展，大幅提升空间品质。</w:t>
      </w:r>
    </w:p>
    <w:p w14:paraId="20F538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（4）门急诊医技住院综合大楼及后勤楼布置</w:t>
      </w:r>
    </w:p>
    <w:p w14:paraId="497D52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本案定位为高品质医疗服务建筑，对建筑空间品质要求较高。综合分析医院建筑布局的几种方式，在本地块的可行性，综合大楼采用医院街模块式布局。</w:t>
      </w:r>
    </w:p>
    <w:p w14:paraId="13E90F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一般就诊流程和急诊就诊流程，将各功能模块以主廊道串联。裙房部分主要布置门急诊医技功能，塔楼部分主要布置住院病房及洁净手术部、ICU等功能。一般就诊从主入口进入主门厅完成分诊及挂号后，经过主廊道到达各科室模块候诊和就诊，若不需住院治疗，则从主廊道进入医技模块进行检验或治疗，然后回到主门厅取药离开，若需住院，则穿过主廊道进入住院门厅办理入院手续。另外为体检模块和传染门诊模块各自分别单独设置入口小厅，将健康人流线与传染流线分别完全独立与其它流线，避免交叉感染。急救患者由急救车送至急诊部入口，穿过急诊大厅直接平层进入抢救室和手术室，省去垂直交通过程，也体现出医院街模式以水平交通为主的高效性。急诊患者从急诊大厅进入后在可在急诊科模块空间内完成挂号、就诊、输液、留查、取药等全部急诊流程，在必要时也可通过主廊道与其它医技模块共同使用，资源共享。</w:t>
      </w:r>
    </w:p>
    <w:p w14:paraId="1F3A23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（5）感染病区（包括3#、4#楼）布置</w:t>
      </w:r>
    </w:p>
    <w:p w14:paraId="5F431F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区域主导风向为西北风，感染病区位于项目北部，整体坐东朝西，北侧墙体不开设窗户，减少空气流动，从而减小感染病区含菌空气对下风向的影响。感染病区周围主要敏感点为西侧</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32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m的和喜·公园里小区，北侧为城市道路，病区西、北部均设置宽度为20米绿化隔离带进行分隔；病区南侧为门急诊医技住院综合楼区域，设置宽度为32米的绿化隔离带进行分隔。</w:t>
      </w:r>
    </w:p>
    <w:p w14:paraId="4BE44A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（6）布局符合性分析</w:t>
      </w:r>
    </w:p>
    <w:p w14:paraId="0D7D74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根据《综合医院建设标准》（建标110-2021）要求，综合医院的规划布局应符合下列规定：</w:t>
      </w:r>
    </w:p>
    <w:p w14:paraId="52790341">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表2.2-1 与《综合医院建设标准》（建标110-2021）要求符合性分析</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5"/>
        <w:gridCol w:w="3173"/>
        <w:gridCol w:w="928"/>
      </w:tblGrid>
      <w:tr w14:paraId="17B82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shd w:val="clear" w:color="auto" w:fill="D7D7D7" w:themeFill="background1" w:themeFillShade="D8"/>
            <w:vAlign w:val="center"/>
          </w:tcPr>
          <w:p w14:paraId="68AA41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《综合医院建设标准》（建标110-2021）要求</w:t>
            </w:r>
          </w:p>
        </w:tc>
        <w:tc>
          <w:tcPr>
            <w:tcW w:w="3173" w:type="dxa"/>
            <w:shd w:val="clear" w:color="auto" w:fill="D7D7D7" w:themeFill="background1" w:themeFillShade="D8"/>
            <w:vAlign w:val="center"/>
          </w:tcPr>
          <w:p w14:paraId="1FE8D5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本项目情况</w:t>
            </w:r>
          </w:p>
        </w:tc>
        <w:tc>
          <w:tcPr>
            <w:tcW w:w="928" w:type="dxa"/>
            <w:shd w:val="clear" w:color="auto" w:fill="D7D7D7" w:themeFill="background1" w:themeFillShade="D8"/>
            <w:vAlign w:val="center"/>
          </w:tcPr>
          <w:p w14:paraId="100C66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符合性</w:t>
            </w:r>
          </w:p>
        </w:tc>
      </w:tr>
      <w:tr w14:paraId="6ADE9E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2541DB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一、建筑布局科学、功能分区合理。综合医院中的传染病区与院内其他建筑或院外周边建筑应设置大于或等于20m绿化隔离卫生间距。</w:t>
            </w:r>
          </w:p>
        </w:tc>
        <w:tc>
          <w:tcPr>
            <w:tcW w:w="3173" w:type="dxa"/>
            <w:vAlign w:val="center"/>
          </w:tcPr>
          <w:p w14:paraId="63BEDA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项目北部建设有单独的感染病区，布局设置符合20m绿化卫生间距。</w:t>
            </w:r>
          </w:p>
        </w:tc>
        <w:tc>
          <w:tcPr>
            <w:tcW w:w="928" w:type="dxa"/>
            <w:vAlign w:val="center"/>
          </w:tcPr>
          <w:p w14:paraId="1C3EED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2C8725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45E041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二、洁污、医患和人车等流线组织清晰，避免交叉感染。</w:t>
            </w:r>
          </w:p>
        </w:tc>
        <w:tc>
          <w:tcPr>
            <w:tcW w:w="3173" w:type="dxa"/>
            <w:vAlign w:val="center"/>
          </w:tcPr>
          <w:p w14:paraId="612227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项目设置了分流，详情见附图。</w:t>
            </w:r>
          </w:p>
        </w:tc>
        <w:tc>
          <w:tcPr>
            <w:tcW w:w="928" w:type="dxa"/>
            <w:vAlign w:val="center"/>
          </w:tcPr>
          <w:p w14:paraId="1AAD96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6F4BD5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65120B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三、应充分利用地形地貌，合理组织院区建筑空间，在满足使用功能和安全卫生要求的前提下，新建的综合医院应预留应急救治场地及未来发展用地。</w:t>
            </w:r>
          </w:p>
        </w:tc>
        <w:tc>
          <w:tcPr>
            <w:tcW w:w="3173" w:type="dxa"/>
            <w:vAlign w:val="center"/>
          </w:tcPr>
          <w:p w14:paraId="35FF70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项目北侧为空地，东侧为山丘，可作为未来发展用地。</w:t>
            </w:r>
          </w:p>
        </w:tc>
        <w:tc>
          <w:tcPr>
            <w:tcW w:w="928" w:type="dxa"/>
            <w:vAlign w:val="center"/>
          </w:tcPr>
          <w:p w14:paraId="582C2F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52AC71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6273A5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四、根据当地气候条件合理确定建筑物的朝向，病房以及医务人员用房宜获得良好朝向。</w:t>
            </w:r>
          </w:p>
        </w:tc>
        <w:tc>
          <w:tcPr>
            <w:tcW w:w="3173" w:type="dxa"/>
            <w:vAlign w:val="center"/>
          </w:tcPr>
          <w:p w14:paraId="7D7E83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根据《遂宁市城市规划管理技术规定》，本次设计满足医院半数以上病房冬至日日照不低于3小时的日照要求，同时不影响周边地区现有建筑的最低日照要求。</w:t>
            </w:r>
          </w:p>
        </w:tc>
        <w:tc>
          <w:tcPr>
            <w:tcW w:w="928" w:type="dxa"/>
            <w:vAlign w:val="center"/>
          </w:tcPr>
          <w:p w14:paraId="1A2CD8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7FFADD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2FB598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五、污水处理站、医疗废物及生活垃圾收集暂存用房宜远离门(急)诊、医技和住院等用房，并宜布置在院区主导风下风向。</w:t>
            </w:r>
          </w:p>
        </w:tc>
        <w:tc>
          <w:tcPr>
            <w:tcW w:w="3173" w:type="dxa"/>
            <w:vAlign w:val="center"/>
          </w:tcPr>
          <w:p w14:paraId="2B0C0D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污水处理站位于项目西南侧，处于下风向，医废暂存间位于2#楼地下室，能满足要求。</w:t>
            </w:r>
          </w:p>
        </w:tc>
        <w:tc>
          <w:tcPr>
            <w:tcW w:w="928" w:type="dxa"/>
            <w:vAlign w:val="center"/>
          </w:tcPr>
          <w:p w14:paraId="3528DC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690526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191D22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六、应有院区绿化规划，并应配套建设患者康复活动场地和医务人员的健身活动场地。</w:t>
            </w:r>
          </w:p>
        </w:tc>
        <w:tc>
          <w:tcPr>
            <w:tcW w:w="3173" w:type="dxa"/>
            <w:vAlign w:val="center"/>
          </w:tcPr>
          <w:p w14:paraId="793271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项目绿化率为35.01%，能满足要求。</w:t>
            </w:r>
          </w:p>
        </w:tc>
        <w:tc>
          <w:tcPr>
            <w:tcW w:w="928" w:type="dxa"/>
            <w:vAlign w:val="center"/>
          </w:tcPr>
          <w:p w14:paraId="4B557D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08CC0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5" w:type="dxa"/>
            <w:vAlign w:val="center"/>
          </w:tcPr>
          <w:p w14:paraId="0F2516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七、应配套建设机动车和非机动车停车设施。</w:t>
            </w:r>
          </w:p>
        </w:tc>
        <w:tc>
          <w:tcPr>
            <w:tcW w:w="3173" w:type="dxa"/>
            <w:vAlign w:val="center"/>
          </w:tcPr>
          <w:p w14:paraId="795A2A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配套建设智能地下停车场（机动车），车位1428个，地上非机动车位2921个。</w:t>
            </w:r>
          </w:p>
        </w:tc>
        <w:tc>
          <w:tcPr>
            <w:tcW w:w="928" w:type="dxa"/>
            <w:vAlign w:val="center"/>
          </w:tcPr>
          <w:p w14:paraId="720B2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bl>
    <w:p w14:paraId="1BDB47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（7）污水处理站环选址及平面布置分析</w:t>
      </w:r>
    </w:p>
    <w:p w14:paraId="1A44E6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根据《医院污水处理工程技术规范》（HJ2029-2013）中5.3“选址及总平面布置”要求，本项目污水处理站选址及平面布置符合性分析如下</w:t>
      </w:r>
    </w:p>
    <w:p w14:paraId="6BFB68E1">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表2.2-2 与《医院污水处理工程技术规范》（HJ2029-2013）要求符合性分析</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415"/>
        <w:gridCol w:w="882"/>
      </w:tblGrid>
      <w:tr w14:paraId="0FB613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shd w:val="clear" w:color="auto" w:fill="D7D7D7" w:themeFill="background1" w:themeFillShade="D8"/>
            <w:vAlign w:val="center"/>
          </w:tcPr>
          <w:p w14:paraId="492819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《医院污水处理工程技术规范》（HJ2029-2013）要求</w:t>
            </w:r>
          </w:p>
        </w:tc>
        <w:tc>
          <w:tcPr>
            <w:tcW w:w="3415" w:type="dxa"/>
            <w:shd w:val="clear" w:color="auto" w:fill="D7D7D7" w:themeFill="background1" w:themeFillShade="D8"/>
            <w:vAlign w:val="center"/>
          </w:tcPr>
          <w:p w14:paraId="1D1AF7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本项目情况</w:t>
            </w:r>
          </w:p>
        </w:tc>
        <w:tc>
          <w:tcPr>
            <w:tcW w:w="882" w:type="dxa"/>
            <w:shd w:val="clear" w:color="auto" w:fill="D7D7D7" w:themeFill="background1" w:themeFillShade="D8"/>
            <w:vAlign w:val="center"/>
          </w:tcPr>
          <w:p w14:paraId="609ECC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符合性</w:t>
            </w:r>
          </w:p>
        </w:tc>
      </w:tr>
      <w:tr w14:paraId="00947A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140F0A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rPr>
              <w:t>医院污水处理工程的选址及总平面布置应根据医院总体规划、污水排放口位置、环境卫生要求、风向、工程地质及维护管理和运输等因素来确定。</w:t>
            </w:r>
          </w:p>
        </w:tc>
        <w:tc>
          <w:tcPr>
            <w:tcW w:w="3415" w:type="dxa"/>
            <w:vAlign w:val="center"/>
          </w:tcPr>
          <w:p w14:paraId="331844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根据医院整体规划布置，将污水处理站设置在地势较低的西南侧，且位于下风向，便于污水流向。临近医院路市政管网，便于污水预处理后接管。</w:t>
            </w:r>
          </w:p>
        </w:tc>
        <w:tc>
          <w:tcPr>
            <w:tcW w:w="882" w:type="dxa"/>
            <w:vAlign w:val="center"/>
          </w:tcPr>
          <w:p w14:paraId="2FE8AD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3641E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01F36EA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rPr>
              <w:t>医院污水处理构筑物的位置宜设在医院主体建筑物当地夏季主导风向的下风向。</w:t>
            </w:r>
          </w:p>
        </w:tc>
        <w:tc>
          <w:tcPr>
            <w:tcW w:w="3415" w:type="dxa"/>
            <w:vAlign w:val="center"/>
          </w:tcPr>
          <w:p w14:paraId="6A6B63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大英县当地主导风向为西北风，项目污水处理站位于主体工程的西南侧，能满足要求。</w:t>
            </w:r>
          </w:p>
        </w:tc>
        <w:tc>
          <w:tcPr>
            <w:tcW w:w="882" w:type="dxa"/>
            <w:vAlign w:val="center"/>
          </w:tcPr>
          <w:p w14:paraId="66570EA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3E708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5452A5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rPr>
              <w:t>在医院污水处理工程的设计中，应根据总体规划适当预留余地，以利扩建、施工、运行和维护。</w:t>
            </w:r>
          </w:p>
        </w:tc>
        <w:tc>
          <w:tcPr>
            <w:tcW w:w="3415" w:type="dxa"/>
            <w:vAlign w:val="center"/>
          </w:tcPr>
          <w:p w14:paraId="3E2249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污水处理站为地埋式，位于项目西南侧绿地，有足够空地预留。</w:t>
            </w:r>
          </w:p>
        </w:tc>
        <w:tc>
          <w:tcPr>
            <w:tcW w:w="882" w:type="dxa"/>
            <w:vAlign w:val="center"/>
          </w:tcPr>
          <w:p w14:paraId="4D7F506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4AB2B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691883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rPr>
              <w:t>医院污水处理工程应有便利的交通、运输和水电条件，便于污水排放和污泥贮运。</w:t>
            </w:r>
          </w:p>
        </w:tc>
        <w:tc>
          <w:tcPr>
            <w:tcW w:w="3415" w:type="dxa"/>
            <w:vAlign w:val="center"/>
          </w:tcPr>
          <w:p w14:paraId="524778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污水处理站设置在项目西南侧，临近蓬莱路及医院路，交通便利；医院路市政管网建设即将完工，便于污水排放。</w:t>
            </w:r>
          </w:p>
        </w:tc>
        <w:tc>
          <w:tcPr>
            <w:tcW w:w="882" w:type="dxa"/>
            <w:vAlign w:val="center"/>
          </w:tcPr>
          <w:p w14:paraId="55EB992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3AED3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1ABEB5D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rPr>
              <w:t>传染病医院污水处理工程，其生产管理建筑物和生活设施宜集中布置,位置和朝向应力求合理，且应与污水处理构、建筑物严格隔离。</w:t>
            </w:r>
          </w:p>
        </w:tc>
        <w:tc>
          <w:tcPr>
            <w:tcW w:w="3415" w:type="dxa"/>
            <w:vAlign w:val="center"/>
          </w:tcPr>
          <w:p w14:paraId="14568A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项目感染病区废水设置预处理池及化粪池，位于感染病区南侧，与门急诊住院综合楼之间设置绿化带隔离。</w:t>
            </w:r>
          </w:p>
        </w:tc>
        <w:tc>
          <w:tcPr>
            <w:tcW w:w="882" w:type="dxa"/>
            <w:vAlign w:val="center"/>
          </w:tcPr>
          <w:p w14:paraId="1343F0D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r w14:paraId="170DE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188EE5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医院污水处理工程与病房、居民区等建筑物之间应设绿化防护带或隔离带，以减少臭气和噪音对病人或居民的干扰。</w:t>
            </w:r>
          </w:p>
        </w:tc>
        <w:tc>
          <w:tcPr>
            <w:tcW w:w="3415" w:type="dxa"/>
            <w:vAlign w:val="center"/>
          </w:tcPr>
          <w:p w14:paraId="584A9E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污水预处理设施、污水处理站均设置为地埋式，与周边病房及居民之间均设置了绿化带，且污水处理恶臭经收集后由“紫外消毒+活性炭吸附”后通过25m排气筒排放，以确保减少臭气和噪音对病人和居民的干扰。</w:t>
            </w:r>
          </w:p>
        </w:tc>
        <w:tc>
          <w:tcPr>
            <w:tcW w:w="882" w:type="dxa"/>
            <w:vAlign w:val="center"/>
          </w:tcPr>
          <w:p w14:paraId="59F51B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符合</w:t>
            </w:r>
          </w:p>
        </w:tc>
      </w:tr>
    </w:tbl>
    <w:p w14:paraId="7811D9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综上所述，项目污水处理工程选址及平面布置满足《医院污水处理工程技术规范》（HJ2029-2013）要求。</w:t>
      </w:r>
    </w:p>
    <w:p w14:paraId="208E98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平面布置结合了场地自身特点，合理组织场地内的道路交通系统，注重环境绿化，通过绿地的穿插和交织，形成功能完善的场所。能较好的满足安全疏散、消防交通和绿化环卫等常规要求。总体布局遵循功能分区合理、洁污路线清楚、避免或减少交叉感染、布局紧凑、交通便捷、管理方便的原则，有效将医院各功能科室联系起来，在满足规划部门要求的同时因地制宜，组织院区的空间体系、人流、车流交通流线，做到高效、合理、有序。</w:t>
      </w:r>
    </w:p>
    <w:p w14:paraId="70768B76">
      <w:pPr>
        <w:pStyle w:val="6"/>
        <w:bidi w:val="0"/>
        <w:rPr>
          <w:rFonts w:hint="default" w:ascii="Times New Roman" w:hAnsi="Times New Roman" w:eastAsia="宋体" w:cs="Times New Roman"/>
          <w:color w:val="auto"/>
          <w:lang w:val="en-US" w:eastAsia="zh-CN"/>
        </w:rPr>
      </w:pPr>
      <w:bookmarkStart w:id="1189" w:name="_Toc2446"/>
      <w:r>
        <w:rPr>
          <w:rFonts w:hint="default" w:ascii="Times New Roman" w:hAnsi="Times New Roman" w:eastAsia="宋体" w:cs="Times New Roman"/>
          <w:color w:val="auto"/>
          <w:lang w:val="en-US" w:eastAsia="zh-CN"/>
        </w:rPr>
        <w:t>2.3 公用工程</w:t>
      </w:r>
      <w:bookmarkEnd w:id="1189"/>
    </w:p>
    <w:p w14:paraId="66E2899C">
      <w:pPr>
        <w:pStyle w:val="7"/>
        <w:bidi w:val="0"/>
        <w:rPr>
          <w:rFonts w:hint="default" w:ascii="Times New Roman" w:hAnsi="Times New Roman" w:eastAsia="宋体" w:cs="Times New Roman"/>
          <w:color w:val="auto"/>
          <w:lang w:val="en-US" w:eastAsia="zh-CN"/>
        </w:rPr>
      </w:pPr>
      <w:bookmarkStart w:id="1190" w:name="_Toc28623"/>
      <w:r>
        <w:rPr>
          <w:rFonts w:hint="default" w:ascii="Times New Roman" w:hAnsi="Times New Roman" w:eastAsia="宋体" w:cs="Times New Roman"/>
          <w:color w:val="auto"/>
          <w:lang w:val="en-US" w:eastAsia="zh-CN"/>
        </w:rPr>
        <w:t>2.3.1 给排水系统</w:t>
      </w:r>
      <w:bookmarkEnd w:id="1190"/>
    </w:p>
    <w:p w14:paraId="1C5C80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项目给排水系统主要有：给水系统、雨水系统和排水系统。</w:t>
      </w:r>
    </w:p>
    <w:p w14:paraId="69E53E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（1）给水系统：本工程水源为市政管网，在西北侧市政道路上有一根 DN400 市政政给水管网可供本项目使用、在南侧市政道路上有一根DN400的市政给水管网可供本项目使用。市政管网上引入2根DN200给水管至区内，分别经生活、绿化、消防水表后形成各自的管网，市政供水压力 0.35MPa。本工程在市政管网供水压力范围内均采用市政管网直接供水，其它楼层均采用变频泵供水，市政供水压力0.35MPa，可供至本工程5层。</w:t>
      </w:r>
    </w:p>
    <w:p w14:paraId="3AF50F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191" w:name="_Toc311123342"/>
      <w:bookmarkEnd w:id="1191"/>
      <w:bookmarkStart w:id="1192" w:name="_Toc311124739"/>
      <w:bookmarkEnd w:id="1192"/>
      <w:bookmarkStart w:id="1193" w:name="_Toc2070"/>
      <w:bookmarkEnd w:id="1193"/>
      <w:bookmarkStart w:id="1194" w:name="_Toc920"/>
      <w:bookmarkEnd w:id="1194"/>
      <w:bookmarkStart w:id="1195" w:name="_Toc311123890"/>
      <w:bookmarkEnd w:id="1195"/>
      <w:bookmarkStart w:id="1196" w:name="_Toc20873"/>
      <w:bookmarkEnd w:id="1196"/>
      <w:bookmarkStart w:id="1197" w:name="_Toc18381"/>
      <w:bookmarkEnd w:id="1197"/>
      <w:bookmarkStart w:id="1198" w:name="_Toc10981"/>
      <w:bookmarkEnd w:id="1198"/>
      <w:bookmarkStart w:id="1199" w:name="_Toc311105348"/>
      <w:bookmarkEnd w:id="1199"/>
      <w:bookmarkStart w:id="1200" w:name="_Toc8932"/>
      <w:bookmarkEnd w:id="1200"/>
      <w:bookmarkStart w:id="1201" w:name="_Toc395280519"/>
      <w:bookmarkEnd w:id="1201"/>
      <w:bookmarkStart w:id="1202" w:name="_Toc17491"/>
      <w:bookmarkEnd w:id="1202"/>
      <w:bookmarkStart w:id="1203" w:name="_Toc22368"/>
      <w:bookmarkEnd w:id="1203"/>
      <w:bookmarkStart w:id="1204" w:name="_Toc26785"/>
      <w:bookmarkEnd w:id="1204"/>
      <w:bookmarkStart w:id="1205" w:name="_Toc10316"/>
      <w:bookmarkEnd w:id="1205"/>
      <w:bookmarkStart w:id="1206" w:name="_Toc16055"/>
      <w:bookmarkEnd w:id="1206"/>
      <w:bookmarkStart w:id="1207" w:name="_Toc5213"/>
      <w:bookmarkEnd w:id="1207"/>
      <w:r>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t>热水系统：</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手术室，医技楼，门诊楼设集中供热水系统，热水系统为机械全循环闭式系统，热源采用电热水锅炉，热水水质符合国家标准《生活饮用水卫生标准》（GB5749-2006）的要求，热水系统不分区，热水系统采用集中集热集中贮水的强制循环直接加热系统（单贮水装置），热水给水系统分区同冷水给水系统，冷热水支管压力超过0.2Mpa时设支管减压阀保证冷热水压平衡。</w:t>
      </w:r>
    </w:p>
    <w:p w14:paraId="469FB8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kern w:val="0"/>
          <w:sz w:val="24"/>
          <w:szCs w:val="24"/>
          <w:lang w:val="en-US" w:eastAsia="zh-CN" w:bidi="ar"/>
        </w:rPr>
        <w:t>绿化灌</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溉：本工程绿化灌溉采用微灌等节水高效灌溉方式。</w:t>
      </w:r>
    </w:p>
    <w:p w14:paraId="3E4A455A">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雨水：项目排水采用雨、污分流体制。本工程屋面采用重力流雨水系统。雨水系统经管网收集后就近排入市政雨水管网。</w:t>
      </w:r>
    </w:p>
    <w:p w14:paraId="7F5B3C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（3）排水：本工程西南侧市政道路上有DN500污水管可供本工程接入。项目污水收集后进入污水处理站处理（工艺为格栅+调节池+水解酸化池+接触氧化池+沉淀池+二氧化氯接触消毒池）达到</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bCs/>
          <w:color w:val="auto"/>
          <w:sz w:val="24"/>
          <w:szCs w:val="24"/>
          <w:highlight w:val="none"/>
          <w:lang w:val="en-US" w:eastAsia="zh-CN"/>
        </w:rPr>
        <w:t>医疗机构水污染物排放标准》（GB18466-2005）预处理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标准及《污水排入城镇下水道水质标准》（GB/T31962-2015）表（1）标准后排入市政污水管网最终进入大英县城市生活污水处理厂处理达标后排入郪江。</w:t>
      </w:r>
    </w:p>
    <w:p w14:paraId="6643FA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本项目废水主要包括住院病房废水、门急诊诊区废水、医务人员废水、浆洗废水</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、锅炉排水</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未预见用水等。需要说明的是：①项目设置放射科，照片均采用激光打印，无洗印废水产生；②本项目不涉核医学，无放射性废水产生；本环评提出，项目放射科涉及直线加速器等放射源的装置均应委托有资质的专业单位进行辐射防护专项评价，并通过审批后开展相关的工作；③医学检验科采用成品试剂盒进行检验及化验，不自配试剂，不会产生含氰、铬废水。</w:t>
      </w:r>
    </w:p>
    <w:p w14:paraId="611DC43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各类废水产生情况如下：</w:t>
      </w:r>
    </w:p>
    <w:p w14:paraId="09A46D8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（1）住院病房废水</w:t>
      </w:r>
    </w:p>
    <w:p w14:paraId="3071BA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本项目设置床位总数1100张，其中感染病区设置床位100张。用水参照《综合医院建筑设计规范》（GB51039-2014），床位用水按3</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0</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0L/床·天</w:t>
      </w:r>
      <w:r>
        <w:rPr>
          <w:rFonts w:hint="default" w:ascii="Times New Roman" w:hAnsi="Times New Roman" w:eastAsia="宋体" w:cs="Times New Roman"/>
          <w:color w:val="auto"/>
          <w:kern w:val="0"/>
          <w:sz w:val="24"/>
          <w:szCs w:val="24"/>
          <w:lang w:val="en-US" w:eastAsia="zh-CN" w:bidi="ar"/>
        </w:rPr>
        <w:t>（含行政及医护人员、附属设施等综合用水）计，则住院病房用水量为3</w:t>
      </w:r>
      <w:r>
        <w:rPr>
          <w:rFonts w:hint="eastAsia" w:ascii="Times New Roman" w:hAnsi="Times New Roman" w:eastAsia="宋体" w:cs="Times New Roman"/>
          <w:color w:val="auto"/>
          <w:kern w:val="0"/>
          <w:sz w:val="24"/>
          <w:szCs w:val="24"/>
          <w:lang w:val="en-US" w:eastAsia="zh-CN" w:bidi="ar"/>
        </w:rPr>
        <w:t>30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/d，产污系数取0.85，则废水产生量为</w:t>
      </w:r>
      <w:r>
        <w:rPr>
          <w:rFonts w:hint="eastAsia" w:ascii="Times New Roman" w:hAnsi="Times New Roman" w:eastAsia="宋体" w:cs="Times New Roman"/>
          <w:color w:val="auto"/>
          <w:kern w:val="0"/>
          <w:sz w:val="24"/>
          <w:szCs w:val="24"/>
          <w:lang w:val="en-US" w:eastAsia="zh-CN" w:bidi="ar"/>
        </w:rPr>
        <w:t>280.5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废水经过化粪池预处理后进入配套建设的污水处理站进行处理。其中</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感染病区</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病房用水量为3</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/d，产污系数取0.85，则废水产生量为</w:t>
      </w:r>
      <w:r>
        <w:rPr>
          <w:rFonts w:hint="eastAsia" w:ascii="Times New Roman" w:hAnsi="Times New Roman" w:eastAsia="宋体" w:cs="Times New Roman"/>
          <w:color w:val="auto"/>
          <w:kern w:val="0"/>
          <w:sz w:val="24"/>
          <w:szCs w:val="24"/>
          <w:lang w:val="en-US" w:eastAsia="zh-CN" w:bidi="ar"/>
        </w:rPr>
        <w:t>25.5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/d。感染楼病床废水经过预消毒处理后排入化粪池，经化粪池处理后进入配套建设的污水处理站进行处理。</w:t>
      </w:r>
    </w:p>
    <w:p w14:paraId="781F3B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（2）门急诊诊区废水</w:t>
      </w:r>
    </w:p>
    <w:p w14:paraId="11BD1A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根据建设单位提供资料，本项目门急诊接待量平均每天2830人次，用水参照《综合医院建筑设计规范》（GB51039-2014），门急诊用水按15L/人·天计，则门急诊用水量为42.45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/d，产污系数取0.85，则废水产生量为36.08m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废水经过化粪池预处理后进入配套建设的污水处理站进行处理。其中，感染楼门诊接待量平均每天150人次，则感染楼门诊用水量2.25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/d，产污系数取0.85，则废水产生量为1.91m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/d，废水经过预消毒处理后排入化粪池，经化粪池处理后进入配套建设的污水处理站进行处理。</w:t>
      </w:r>
    </w:p>
    <w:p w14:paraId="4AA3628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（3）医务人员用水</w:t>
      </w:r>
    </w:p>
    <w:p w14:paraId="36B6FDA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项目配备医务、后勤人员1760人，工作按三班制，医务人员用水包括手术室、中心供应等医院常规医疗用水。用水参照《综合医院建筑设计规范》（GB51039-2014），</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15</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0L/人·班计，则医务人员用水量为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264</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/d，产污系数取0.85，则废水产生量为</w:t>
      </w:r>
      <w:r>
        <w:rPr>
          <w:rFonts w:hint="eastAsia" w:ascii="Times New Roman" w:hAnsi="Times New Roman" w:eastAsia="宋体" w:cs="Times New Roman"/>
          <w:color w:val="auto"/>
          <w:kern w:val="0"/>
          <w:sz w:val="24"/>
          <w:szCs w:val="24"/>
          <w:lang w:val="en-US" w:eastAsia="zh-CN" w:bidi="ar"/>
        </w:rPr>
        <w:t>224.4</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废水经过化粪池预处理后进入配套建设的污水处理站进行处理。</w:t>
      </w:r>
    </w:p>
    <w:p w14:paraId="52AF084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）浆洗用水</w:t>
      </w:r>
    </w:p>
    <w:p w14:paraId="69E8553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使用的住院病床用品(床单、被套、枕套等)和手术室(床单、手术衣等)用品需清洗消毒的物品一律自行清洗消毒，因此产生浆洗废水；传染病区的需洗涤的用品需在传染病区进行高温消毒预处理后运至洗涤房清洗。</w:t>
      </w:r>
    </w:p>
    <w:p w14:paraId="3F5D071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浆洗房位于2#后勤楼一层，根据建设方提供经验数据，医院洗衣量约2kg/床·次，平均2天清洗一次。用水量参照《综合医院建筑设计规范》（GB51039-2014）中医院生活用水定额，洗衣用水取70L/kg，按医院床位规模1100床核算，洗衣房用水量为77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/d，污水产生系数按0.85计，产生的洗涤污水量为65.45m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/d，洗涤废水经过化粪池预处理后进入配套建设的污水处理站进行处理。</w:t>
      </w:r>
    </w:p>
    <w:p w14:paraId="563D642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5</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）中央空调冷却塔补给水</w:t>
      </w:r>
    </w:p>
    <w:p w14:paraId="6DCB59B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项目拟配置冷却塔为中央空调系统降温，冷却塔水为循环利用，使用无磷阻垢剂。水在塔内循环过程中，由于蒸发、渗漏、飘散等会造成水量损失，水量损失了，需定期补充新鲜水。项目补充水按照30m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/d计，全部蒸发损耗无废水产生。</w:t>
      </w:r>
    </w:p>
    <w:p w14:paraId="0A76DC8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6</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）锅炉</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软水</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制备用水</w:t>
      </w:r>
    </w:p>
    <w:p w14:paraId="12D03D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lang w:val="en-US" w:eastAsia="zh-CN"/>
        </w:rPr>
        <w:t>锅炉房内共设置10台锅炉，包括4台700kw电热水锅炉，4台1400kw电供暖锅炉，1台500kw电供暖锅炉和1台700kw电供暖锅炉，总容量9600kw，总蒸发量为13.71t/h。</w:t>
      </w:r>
      <w:r>
        <w:rPr>
          <w:rFonts w:hint="eastAsia" w:ascii="Times New Roman" w:hAnsi="Times New Roman" w:eastAsia="宋体" w:cs="Times New Roman"/>
          <w:bCs/>
          <w:color w:val="auto"/>
          <w:sz w:val="24"/>
          <w:szCs w:val="24"/>
          <w:highlight w:val="none"/>
          <w:lang w:val="en-US" w:eastAsia="zh-CN"/>
        </w:rPr>
        <w:t>热水锅炉生产热水供日常使用，供暖锅炉用于中央空调供暖，供暖时间按90天/年计。</w:t>
      </w:r>
      <w:r>
        <w:rPr>
          <w:rFonts w:hint="default" w:ascii="Times New Roman" w:hAnsi="Times New Roman" w:eastAsia="宋体" w:cs="Times New Roman"/>
          <w:bCs/>
          <w:color w:val="auto"/>
          <w:sz w:val="24"/>
          <w:szCs w:val="24"/>
          <w:highlight w:val="none"/>
          <w:lang w:val="en-US" w:eastAsia="zh-CN"/>
        </w:rPr>
        <w:t>项目锅炉房软水净化</w:t>
      </w:r>
      <w:r>
        <w:rPr>
          <w:rFonts w:hint="eastAsia" w:ascii="Times New Roman" w:hAnsi="Times New Roman" w:eastAsia="宋体" w:cs="Times New Roman"/>
          <w:bCs/>
          <w:color w:val="auto"/>
          <w:sz w:val="24"/>
          <w:szCs w:val="24"/>
          <w:highlight w:val="none"/>
          <w:lang w:val="en-US" w:eastAsia="zh-CN"/>
        </w:rPr>
        <w:t>设备</w:t>
      </w:r>
      <w:r>
        <w:rPr>
          <w:rFonts w:hint="default" w:ascii="Times New Roman" w:hAnsi="Times New Roman" w:eastAsia="宋体" w:cs="Times New Roman"/>
          <w:bCs/>
          <w:color w:val="auto"/>
          <w:sz w:val="24"/>
          <w:szCs w:val="24"/>
          <w:highlight w:val="none"/>
          <w:lang w:val="en-US" w:eastAsia="zh-CN"/>
        </w:rPr>
        <w:t>采用离子交换进行水质软化，软水制取率以80%计</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vertAlign w:val="baseline"/>
          <w:lang w:val="en-US" w:eastAsia="zh-CN"/>
        </w:rPr>
        <w:t>供暖锅炉6台，</w:t>
      </w:r>
      <w:r>
        <w:rPr>
          <w:rFonts w:hint="default" w:ascii="Times New Roman" w:hAnsi="Times New Roman" w:eastAsia="宋体" w:cs="Times New Roman"/>
          <w:bCs/>
          <w:color w:val="auto"/>
          <w:sz w:val="24"/>
          <w:szCs w:val="24"/>
          <w:highlight w:val="none"/>
          <w:lang w:val="en-US" w:eastAsia="zh-CN"/>
        </w:rPr>
        <w:t>总蒸发量</w:t>
      </w:r>
      <w:r>
        <w:rPr>
          <w:rFonts w:hint="eastAsia" w:ascii="Times New Roman" w:hAnsi="Times New Roman" w:eastAsia="宋体" w:cs="Times New Roman"/>
          <w:bCs/>
          <w:color w:val="auto"/>
          <w:sz w:val="24"/>
          <w:szCs w:val="24"/>
          <w:highlight w:val="none"/>
          <w:vertAlign w:val="baseline"/>
          <w:lang w:val="en-US" w:eastAsia="zh-CN"/>
        </w:rPr>
        <w:t>共9.71</w:t>
      </w:r>
      <w:r>
        <w:rPr>
          <w:rFonts w:hint="default" w:ascii="Times New Roman" w:hAnsi="Times New Roman" w:eastAsia="宋体" w:cs="Times New Roman"/>
          <w:bCs/>
          <w:color w:val="auto"/>
          <w:sz w:val="24"/>
          <w:szCs w:val="24"/>
          <w:highlight w:val="none"/>
          <w:lang w:val="en-US" w:eastAsia="zh-CN"/>
        </w:rPr>
        <w:t>t/h</w:t>
      </w:r>
      <w:r>
        <w:rPr>
          <w:rFonts w:hint="eastAsia" w:ascii="Times New Roman" w:hAnsi="Times New Roman" w:eastAsia="宋体" w:cs="Times New Roman"/>
          <w:bCs/>
          <w:color w:val="auto"/>
          <w:sz w:val="24"/>
          <w:szCs w:val="24"/>
          <w:highlight w:val="none"/>
          <w:lang w:val="en-US" w:eastAsia="zh-CN"/>
        </w:rPr>
        <w:t>，需新鲜水291.3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，制取得软水</w:t>
      </w:r>
      <w:r>
        <w:rPr>
          <w:rFonts w:hint="eastAsia" w:ascii="Times New Roman" w:hAnsi="Times New Roman" w:eastAsia="宋体" w:cs="Times New Roman"/>
          <w:bCs/>
          <w:color w:val="auto"/>
          <w:sz w:val="24"/>
          <w:szCs w:val="24"/>
          <w:highlight w:val="none"/>
          <w:lang w:val="en-US" w:eastAsia="zh-CN"/>
        </w:rPr>
        <w:t>233.04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58.26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/d。供暖期间供暖锅炉用水循环使用，需定期补充损耗水，损耗按照用水的10%计，则需补充新鲜水用量为29.13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，制取得软水</w:t>
      </w:r>
      <w:r>
        <w:rPr>
          <w:rFonts w:hint="eastAsia" w:ascii="Times New Roman" w:hAnsi="Times New Roman" w:eastAsia="宋体" w:cs="Times New Roman"/>
          <w:bCs/>
          <w:color w:val="auto"/>
          <w:sz w:val="24"/>
          <w:szCs w:val="24"/>
          <w:highlight w:val="none"/>
          <w:lang w:val="en-US" w:eastAsia="zh-CN"/>
        </w:rPr>
        <w:t>23.3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5.83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p>
    <w:p w14:paraId="6BE42A36">
      <w:pPr>
        <w:keepNext w:val="0"/>
        <w:keepLines w:val="0"/>
        <w:pageBreakBefore w:val="0"/>
        <w:widowControl w:val="0"/>
        <w:kinsoku/>
        <w:wordWrap/>
        <w:overflowPunct/>
        <w:topLinePunct w:val="0"/>
        <w:autoSpaceDE w:val="0"/>
        <w:autoSpaceDN w:val="0"/>
        <w:bidi w:val="0"/>
        <w:adjustRightInd w:val="0"/>
        <w:snapToGrid w:val="0"/>
        <w:spacing w:line="336" w:lineRule="auto"/>
        <w:ind w:firstLine="480" w:firstLineChars="200"/>
        <w:jc w:val="both"/>
        <w:textAlignment w:val="auto"/>
        <w:outlineLvl w:val="9"/>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电热水锅炉4台，</w:t>
      </w:r>
      <w:r>
        <w:rPr>
          <w:rFonts w:hint="default" w:ascii="Times New Roman" w:hAnsi="Times New Roman" w:eastAsia="宋体" w:cs="Times New Roman"/>
          <w:bCs/>
          <w:color w:val="auto"/>
          <w:sz w:val="24"/>
          <w:szCs w:val="24"/>
          <w:highlight w:val="none"/>
          <w:lang w:val="en-US" w:eastAsia="zh-CN"/>
        </w:rPr>
        <w:t>总蒸发量</w:t>
      </w:r>
      <w:r>
        <w:rPr>
          <w:rFonts w:hint="eastAsia" w:ascii="Times New Roman" w:hAnsi="Times New Roman" w:eastAsia="宋体" w:cs="Times New Roman"/>
          <w:bCs/>
          <w:color w:val="auto"/>
          <w:sz w:val="24"/>
          <w:szCs w:val="24"/>
          <w:highlight w:val="none"/>
          <w:vertAlign w:val="baseline"/>
          <w:lang w:val="en-US" w:eastAsia="zh-CN"/>
        </w:rPr>
        <w:t>共4t/h，每天新鲜水用量为120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制取得软水</w:t>
      </w:r>
      <w:r>
        <w:rPr>
          <w:rFonts w:hint="eastAsia" w:ascii="Times New Roman" w:hAnsi="Times New Roman" w:eastAsia="宋体" w:cs="Times New Roman"/>
          <w:bCs/>
          <w:color w:val="auto"/>
          <w:sz w:val="24"/>
          <w:szCs w:val="24"/>
          <w:highlight w:val="none"/>
          <w:lang w:val="en-US" w:eastAsia="zh-CN"/>
        </w:rPr>
        <w:t>96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/d。热水锅炉提供的热水供病房、浆洗等使用，病房、浆洗等用水包含了热水用量，因此热水锅炉用水不再重复计算。</w:t>
      </w:r>
    </w:p>
    <w:p w14:paraId="2785AB7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vertAlign w:val="baseline"/>
          <w:lang w:val="en-US" w:eastAsia="zh-CN"/>
        </w:rPr>
        <w:t>供暖期间10台锅炉全部运行，锅炉新鲜水用水量为29.13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/d（电热水锅炉用水量不计），浓水产生量为29.83</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p>
    <w:p w14:paraId="2E2446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不供暖期间仅4台热水锅炉运行，锅炉</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/d。</w:t>
      </w:r>
    </w:p>
    <w:p w14:paraId="11F6C90C">
      <w:pPr>
        <w:keepNext w:val="0"/>
        <w:keepLines w:val="0"/>
        <w:pageBreakBefore w:val="0"/>
        <w:widowControl w:val="0"/>
        <w:kinsoku/>
        <w:wordWrap/>
        <w:overflowPunct/>
        <w:topLinePunct w:val="0"/>
        <w:autoSpaceDE w:val="0"/>
        <w:autoSpaceDN w:val="0"/>
        <w:bidi w:val="0"/>
        <w:adjustRightInd w:val="0"/>
        <w:snapToGrid w:val="0"/>
        <w:spacing w:line="336"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软水制备工作原理：水的硬度主要是由其中的阳离子：钙(Ca</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)、镁(Mg</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离子构成的。当含有硬度离子的原水通过交换器树脂层时，水中的钙、镁离子与树脂内的钠离子发生置换，树脂吸附了钙、镁离子而钠离子进入水中，这样从交换器内流出的水就是去掉了硬度离子的软化水。随着交换过程的不断进行，树脂中Na</w:t>
      </w:r>
      <w:r>
        <w:rPr>
          <w:rFonts w:hint="default" w:ascii="Times New Roman" w:hAnsi="Times New Roman" w:eastAsia="宋体" w:cs="Times New Roman"/>
          <w:bCs/>
          <w:color w:val="auto"/>
          <w:sz w:val="24"/>
          <w:szCs w:val="24"/>
          <w:highlight w:val="none"/>
          <w:vertAlign w:val="superscript"/>
          <w:lang w:val="en-US" w:eastAsia="zh-CN"/>
        </w:rPr>
        <w:t>+</w:t>
      </w:r>
      <w:r>
        <w:rPr>
          <w:rFonts w:hint="default" w:ascii="Times New Roman" w:hAnsi="Times New Roman" w:eastAsia="宋体" w:cs="Times New Roman"/>
          <w:bCs/>
          <w:color w:val="auto"/>
          <w:sz w:val="24"/>
          <w:szCs w:val="24"/>
          <w:highlight w:val="none"/>
          <w:lang w:val="en-US" w:eastAsia="zh-CN"/>
        </w:rPr>
        <w:t>全部被置出来后就失去了交换功能，此时必须使用Nacl溶液对树脂进行再生，将树脂吸附的Ca</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、Mg</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置换下来，树脂重新吸附了钠离子，恢复了软化交换能力。本项目废弃离子交换树脂交由厂家进行回收处理。</w:t>
      </w:r>
    </w:p>
    <w:p w14:paraId="1575DDE1">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）绿化用水</w:t>
      </w:r>
    </w:p>
    <w:p w14:paraId="274D2942">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项目绿化率35%，绿地占地面积24606.6m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，根据《建筑给水排水设计标准》（GB50015-2019）中3.2.3要求，本次绿化用水定额取1.0L/m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·d，则绿化用水为24.61m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/d，全部吸收蒸发，无废水产生。</w:t>
      </w:r>
    </w:p>
    <w:p w14:paraId="4BF5431B">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）未预见用水</w:t>
      </w:r>
    </w:p>
    <w:p w14:paraId="1394D93A">
      <w:pPr>
        <w:keepNext w:val="0"/>
        <w:keepLines w:val="0"/>
        <w:pageBreakBefore w:val="0"/>
        <w:widowControl/>
        <w:numPr>
          <w:ilvl w:val="0"/>
          <w:numId w:val="0"/>
        </w:numPr>
        <w:suppressLineNumbers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项目未预见用水按照总用水量的10%计，则项目未预见用水为</w:t>
      </w:r>
      <w:r>
        <w:rPr>
          <w:rFonts w:hint="default" w:ascii="Times New Roman" w:hAnsi="Times New Roman" w:eastAsia="宋体" w:cs="Times New Roman"/>
          <w:b w:val="0"/>
          <w:bCs w:val="0"/>
          <w:i w:val="0"/>
          <w:iCs w:val="0"/>
          <w:caps w:val="0"/>
          <w:color w:val="auto"/>
          <w:spacing w:val="0"/>
          <w:kern w:val="0"/>
          <w:sz w:val="24"/>
          <w:szCs w:val="24"/>
          <w:u w:val="none"/>
          <w:shd w:val="clear" w:fill="FFFFFF"/>
          <w:vertAlign w:val="baseline"/>
          <w:lang w:val="en-US" w:eastAsia="zh-CN" w:bidi="ar"/>
        </w:rPr>
        <w:t>135.7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w:t>
      </w:r>
      <w:r>
        <w:rPr>
          <w:rFonts w:hint="default" w:ascii="Times New Roman" w:hAnsi="Times New Roman" w:eastAsia="宋体" w:cs="Times New Roman"/>
          <w:color w:val="auto"/>
          <w:kern w:val="0"/>
          <w:sz w:val="24"/>
          <w:szCs w:val="24"/>
          <w:lang w:val="en-US" w:eastAsia="zh-CN" w:bidi="ar"/>
        </w:rPr>
        <w:t>产污系数取0.85，则废水产生量为115.35m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/d。废水排入项目配套的污水处理站处理。</w:t>
      </w:r>
    </w:p>
    <w:p w14:paraId="085907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本项目运营期</w:t>
      </w:r>
      <w:r>
        <w:rPr>
          <w:rFonts w:hint="eastAsia" w:ascii="Times New Roman" w:hAnsi="Times New Roman" w:eastAsia="宋体" w:cs="Times New Roman"/>
          <w:color w:val="auto"/>
          <w:kern w:val="0"/>
          <w:sz w:val="24"/>
          <w:szCs w:val="24"/>
          <w:lang w:val="en-US" w:eastAsia="zh-CN" w:bidi="ar"/>
        </w:rPr>
        <w:t>供暖期间（冬季）、不供暖期间</w:t>
      </w:r>
      <w:r>
        <w:rPr>
          <w:rFonts w:hint="default" w:ascii="Times New Roman" w:hAnsi="Times New Roman" w:eastAsia="宋体" w:cs="Times New Roman"/>
          <w:color w:val="auto"/>
          <w:kern w:val="0"/>
          <w:sz w:val="24"/>
          <w:szCs w:val="24"/>
          <w:lang w:val="en-US" w:eastAsia="zh-CN" w:bidi="ar"/>
        </w:rPr>
        <w:t>用水及废水产生汇总详见表2.3-1</w:t>
      </w:r>
      <w:r>
        <w:rPr>
          <w:rFonts w:hint="eastAsia" w:ascii="Times New Roman" w:hAnsi="Times New Roman" w:eastAsia="宋体" w:cs="Times New Roman"/>
          <w:color w:val="auto"/>
          <w:kern w:val="0"/>
          <w:sz w:val="24"/>
          <w:szCs w:val="24"/>
          <w:lang w:val="en-US" w:eastAsia="zh-CN" w:bidi="ar"/>
        </w:rPr>
        <w:t>、2.3-2</w:t>
      </w:r>
      <w:r>
        <w:rPr>
          <w:rFonts w:hint="default" w:ascii="Times New Roman" w:hAnsi="Times New Roman" w:eastAsia="宋体" w:cs="Times New Roman"/>
          <w:color w:val="auto"/>
          <w:kern w:val="0"/>
          <w:sz w:val="24"/>
          <w:szCs w:val="24"/>
          <w:lang w:val="en-US" w:eastAsia="zh-CN" w:bidi="ar"/>
        </w:rPr>
        <w:t>，水量平衡详见图2.3-1。</w:t>
      </w:r>
    </w:p>
    <w:p w14:paraId="7A463A2A">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表2.3-1 </w:t>
      </w:r>
      <w:r>
        <w:rPr>
          <w:rFonts w:hint="eastAsia" w:ascii="Times New Roman" w:hAnsi="Times New Roman" w:eastAsia="宋体" w:cs="Times New Roman"/>
          <w:b/>
          <w:bCs/>
          <w:color w:val="auto"/>
          <w:sz w:val="21"/>
          <w:szCs w:val="21"/>
          <w:highlight w:val="none"/>
          <w:lang w:val="en-US" w:eastAsia="zh-CN"/>
        </w:rPr>
        <w:t>供暖期间（冬季）</w:t>
      </w:r>
      <w:r>
        <w:rPr>
          <w:rFonts w:hint="default" w:ascii="Times New Roman" w:hAnsi="Times New Roman" w:eastAsia="宋体" w:cs="Times New Roman"/>
          <w:b/>
          <w:bCs/>
          <w:color w:val="auto"/>
          <w:sz w:val="21"/>
          <w:szCs w:val="21"/>
          <w:highlight w:val="none"/>
          <w:lang w:val="en-US" w:eastAsia="zh-CN"/>
        </w:rPr>
        <w:t>用水及废水产排情况一览表</w:t>
      </w:r>
    </w:p>
    <w:tbl>
      <w:tblPr>
        <w:tblStyle w:val="21"/>
        <w:tblW w:w="86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308"/>
        <w:gridCol w:w="1297"/>
        <w:gridCol w:w="1438"/>
        <w:gridCol w:w="1523"/>
        <w:gridCol w:w="1539"/>
      </w:tblGrid>
      <w:tr w14:paraId="67401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529" w:type="dxa"/>
            <w:shd w:val="clear" w:color="auto" w:fill="D7D7D7" w:themeFill="background1" w:themeFillShade="D8"/>
            <w:vAlign w:val="center"/>
          </w:tcPr>
          <w:p w14:paraId="65AD2C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项目</w:t>
            </w:r>
          </w:p>
        </w:tc>
        <w:tc>
          <w:tcPr>
            <w:tcW w:w="1308" w:type="dxa"/>
            <w:shd w:val="clear" w:color="auto" w:fill="D7D7D7" w:themeFill="background1" w:themeFillShade="D8"/>
            <w:vAlign w:val="center"/>
          </w:tcPr>
          <w:p w14:paraId="17334D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用水规模</w:t>
            </w:r>
          </w:p>
        </w:tc>
        <w:tc>
          <w:tcPr>
            <w:tcW w:w="1297" w:type="dxa"/>
            <w:shd w:val="clear" w:color="auto" w:fill="D7D7D7" w:themeFill="background1" w:themeFillShade="D8"/>
            <w:vAlign w:val="center"/>
          </w:tcPr>
          <w:p w14:paraId="7125E8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用水标准</w:t>
            </w:r>
          </w:p>
        </w:tc>
        <w:tc>
          <w:tcPr>
            <w:tcW w:w="1438" w:type="dxa"/>
            <w:shd w:val="clear" w:color="auto" w:fill="D7D7D7" w:themeFill="background1" w:themeFillShade="D8"/>
            <w:vAlign w:val="center"/>
          </w:tcPr>
          <w:p w14:paraId="35D65F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23" w:type="dxa"/>
            <w:shd w:val="clear" w:color="auto" w:fill="D7D7D7" w:themeFill="background1" w:themeFillShade="D8"/>
            <w:vAlign w:val="center"/>
          </w:tcPr>
          <w:p w14:paraId="1E99FF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排放量（m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39" w:type="dxa"/>
            <w:shd w:val="clear" w:color="auto" w:fill="D7D7D7" w:themeFill="background1" w:themeFillShade="D8"/>
            <w:vAlign w:val="center"/>
          </w:tcPr>
          <w:p w14:paraId="6E9B20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备注</w:t>
            </w:r>
          </w:p>
        </w:tc>
      </w:tr>
      <w:tr w14:paraId="09037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29" w:type="dxa"/>
            <w:vAlign w:val="center"/>
          </w:tcPr>
          <w:p w14:paraId="5F0DE9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住院病区用水</w:t>
            </w:r>
          </w:p>
        </w:tc>
        <w:tc>
          <w:tcPr>
            <w:tcW w:w="1308" w:type="dxa"/>
            <w:vAlign w:val="center"/>
          </w:tcPr>
          <w:p w14:paraId="19FB85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60BC664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3</w:t>
            </w:r>
            <w:r>
              <w:rPr>
                <w:rFonts w:hint="eastAsia" w:ascii="Times New Roman" w:hAnsi="Times New Roman" w:eastAsia="宋体"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0L/床·d</w:t>
            </w:r>
          </w:p>
        </w:tc>
        <w:tc>
          <w:tcPr>
            <w:tcW w:w="1438" w:type="dxa"/>
            <w:vAlign w:val="center"/>
          </w:tcPr>
          <w:p w14:paraId="20BD3C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330.0</w:t>
            </w:r>
          </w:p>
        </w:tc>
        <w:tc>
          <w:tcPr>
            <w:tcW w:w="1523" w:type="dxa"/>
            <w:vAlign w:val="center"/>
          </w:tcPr>
          <w:p w14:paraId="58B99F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280.5</w:t>
            </w:r>
          </w:p>
        </w:tc>
        <w:tc>
          <w:tcPr>
            <w:tcW w:w="1539" w:type="dxa"/>
            <w:vAlign w:val="center"/>
          </w:tcPr>
          <w:p w14:paraId="2A38BC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75521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B7958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门</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急</w:t>
            </w:r>
            <w:r>
              <w:rPr>
                <w:rFonts w:hint="default" w:ascii="Times New Roman" w:hAnsi="Times New Roman" w:eastAsia="宋体" w:cs="Times New Roman"/>
                <w:b w:val="0"/>
                <w:bCs w:val="0"/>
                <w:color w:val="auto"/>
                <w:sz w:val="21"/>
                <w:szCs w:val="21"/>
              </w:rPr>
              <w:t>诊诊</w:t>
            </w:r>
            <w:r>
              <w:rPr>
                <w:rFonts w:hint="default" w:ascii="Times New Roman" w:hAnsi="Times New Roman" w:eastAsia="宋体" w:cs="Times New Roman"/>
                <w:b w:val="0"/>
                <w:bCs w:val="0"/>
                <w:color w:val="auto"/>
                <w:sz w:val="21"/>
                <w:szCs w:val="21"/>
                <w:lang w:val="en-US" w:eastAsia="zh-CN"/>
              </w:rPr>
              <w:t>区</w:t>
            </w:r>
            <w:r>
              <w:rPr>
                <w:rFonts w:hint="default" w:ascii="Times New Roman" w:hAnsi="Times New Roman" w:eastAsia="宋体" w:cs="Times New Roman"/>
                <w:b w:val="0"/>
                <w:bCs w:val="0"/>
                <w:color w:val="auto"/>
                <w:sz w:val="21"/>
                <w:szCs w:val="21"/>
              </w:rPr>
              <w:t>用水</w:t>
            </w:r>
          </w:p>
        </w:tc>
        <w:tc>
          <w:tcPr>
            <w:tcW w:w="1308" w:type="dxa"/>
            <w:vAlign w:val="center"/>
          </w:tcPr>
          <w:p w14:paraId="6EBD6F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2830人</w:t>
            </w:r>
          </w:p>
        </w:tc>
        <w:tc>
          <w:tcPr>
            <w:tcW w:w="1297" w:type="dxa"/>
            <w:vAlign w:val="center"/>
          </w:tcPr>
          <w:p w14:paraId="14A61DCF">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15L/人次·d</w:t>
            </w:r>
          </w:p>
        </w:tc>
        <w:tc>
          <w:tcPr>
            <w:tcW w:w="1438" w:type="dxa"/>
            <w:vAlign w:val="center"/>
          </w:tcPr>
          <w:p w14:paraId="506A51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42.45</w:t>
            </w:r>
          </w:p>
        </w:tc>
        <w:tc>
          <w:tcPr>
            <w:tcW w:w="1523" w:type="dxa"/>
            <w:vAlign w:val="center"/>
          </w:tcPr>
          <w:p w14:paraId="13725C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36.08</w:t>
            </w:r>
          </w:p>
        </w:tc>
        <w:tc>
          <w:tcPr>
            <w:tcW w:w="1539" w:type="dxa"/>
            <w:vAlign w:val="center"/>
          </w:tcPr>
          <w:p w14:paraId="5A1ACC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30487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D8AB4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医务人员用水</w:t>
            </w:r>
          </w:p>
        </w:tc>
        <w:tc>
          <w:tcPr>
            <w:tcW w:w="1308" w:type="dxa"/>
            <w:vAlign w:val="center"/>
          </w:tcPr>
          <w:p w14:paraId="5AAC89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1760</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人</w:t>
            </w:r>
          </w:p>
        </w:tc>
        <w:tc>
          <w:tcPr>
            <w:tcW w:w="1297" w:type="dxa"/>
            <w:vAlign w:val="center"/>
          </w:tcPr>
          <w:p w14:paraId="0A36938E">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15</w:t>
            </w:r>
            <w:r>
              <w:rPr>
                <w:rFonts w:hint="default" w:ascii="Times New Roman" w:hAnsi="Times New Roman" w:eastAsia="宋体" w:cs="Times New Roman"/>
                <w:b w:val="0"/>
                <w:bCs w:val="0"/>
                <w:color w:val="auto"/>
                <w:kern w:val="0"/>
                <w:sz w:val="21"/>
                <w:szCs w:val="21"/>
                <w:lang w:val="en-US" w:eastAsia="zh-CN" w:bidi="ar"/>
              </w:rPr>
              <w:t>0L/人次·d</w:t>
            </w:r>
          </w:p>
        </w:tc>
        <w:tc>
          <w:tcPr>
            <w:tcW w:w="1438" w:type="dxa"/>
            <w:vAlign w:val="center"/>
          </w:tcPr>
          <w:p w14:paraId="6C9DF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264.0</w:t>
            </w:r>
          </w:p>
        </w:tc>
        <w:tc>
          <w:tcPr>
            <w:tcW w:w="1523" w:type="dxa"/>
            <w:vAlign w:val="center"/>
          </w:tcPr>
          <w:p w14:paraId="12E0E9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224.4</w:t>
            </w:r>
          </w:p>
        </w:tc>
        <w:tc>
          <w:tcPr>
            <w:tcW w:w="1539" w:type="dxa"/>
            <w:vAlign w:val="center"/>
          </w:tcPr>
          <w:p w14:paraId="69584C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78F25E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5596D2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浆洗用水</w:t>
            </w:r>
          </w:p>
        </w:tc>
        <w:tc>
          <w:tcPr>
            <w:tcW w:w="1308" w:type="dxa"/>
            <w:vAlign w:val="center"/>
          </w:tcPr>
          <w:p w14:paraId="4CBBB0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05562415">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w:t>
            </w:r>
            <w:r>
              <w:rPr>
                <w:rFonts w:hint="default" w:ascii="Times New Roman" w:hAnsi="Times New Roman" w:eastAsia="宋体" w:cs="Times New Roman"/>
                <w:color w:val="auto"/>
                <w:kern w:val="0"/>
                <w:sz w:val="21"/>
                <w:szCs w:val="21"/>
                <w:lang w:val="en-US" w:eastAsia="zh-CN" w:bidi="ar"/>
              </w:rPr>
              <w:t>L/kg·干衣</w:t>
            </w:r>
          </w:p>
        </w:tc>
        <w:tc>
          <w:tcPr>
            <w:tcW w:w="1438" w:type="dxa"/>
            <w:vAlign w:val="center"/>
          </w:tcPr>
          <w:p w14:paraId="7DDC54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77.0</w:t>
            </w:r>
          </w:p>
        </w:tc>
        <w:tc>
          <w:tcPr>
            <w:tcW w:w="1523" w:type="dxa"/>
            <w:vAlign w:val="center"/>
          </w:tcPr>
          <w:p w14:paraId="7D55AE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65.45</w:t>
            </w:r>
          </w:p>
        </w:tc>
        <w:tc>
          <w:tcPr>
            <w:tcW w:w="1539" w:type="dxa"/>
            <w:vAlign w:val="center"/>
          </w:tcPr>
          <w:p w14:paraId="1AAE02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558685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02A4D1E7">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中央空调冷却塔补充水</w:t>
            </w:r>
          </w:p>
        </w:tc>
        <w:tc>
          <w:tcPr>
            <w:tcW w:w="1308" w:type="dxa"/>
            <w:vAlign w:val="center"/>
          </w:tcPr>
          <w:p w14:paraId="5C2ACB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297" w:type="dxa"/>
            <w:vAlign w:val="center"/>
          </w:tcPr>
          <w:p w14:paraId="7958E8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340292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30.0</w:t>
            </w:r>
          </w:p>
        </w:tc>
        <w:tc>
          <w:tcPr>
            <w:tcW w:w="1523" w:type="dxa"/>
            <w:vAlign w:val="center"/>
          </w:tcPr>
          <w:p w14:paraId="61AC14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4369D12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65A83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29" w:type="dxa"/>
            <w:vMerge w:val="restart"/>
            <w:vAlign w:val="center"/>
          </w:tcPr>
          <w:p w14:paraId="28227782">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锅炉</w:t>
            </w: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软</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水制备用水</w:t>
            </w:r>
          </w:p>
        </w:tc>
        <w:tc>
          <w:tcPr>
            <w:tcW w:w="1308" w:type="dxa"/>
            <w:vAlign w:val="center"/>
          </w:tcPr>
          <w:p w14:paraId="3475B3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供暖锅炉9.71</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1464E1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299232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29.13</w:t>
            </w:r>
          </w:p>
        </w:tc>
        <w:tc>
          <w:tcPr>
            <w:tcW w:w="1523" w:type="dxa"/>
            <w:vAlign w:val="center"/>
          </w:tcPr>
          <w:p w14:paraId="5A3BB7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5.83</w:t>
            </w:r>
          </w:p>
        </w:tc>
        <w:tc>
          <w:tcPr>
            <w:tcW w:w="1539" w:type="dxa"/>
            <w:vAlign w:val="center"/>
          </w:tcPr>
          <w:p w14:paraId="3115F3C2">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6D34A8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29" w:type="dxa"/>
            <w:vMerge w:val="continue"/>
            <w:vAlign w:val="center"/>
          </w:tcPr>
          <w:p w14:paraId="54817C60">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p>
        </w:tc>
        <w:tc>
          <w:tcPr>
            <w:tcW w:w="1308" w:type="dxa"/>
            <w:vAlign w:val="center"/>
          </w:tcPr>
          <w:p w14:paraId="6BA57619">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热水锅炉4</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0ABF2F71">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w:t>
            </w:r>
          </w:p>
        </w:tc>
        <w:tc>
          <w:tcPr>
            <w:tcW w:w="1438" w:type="dxa"/>
            <w:vAlign w:val="center"/>
          </w:tcPr>
          <w:p w14:paraId="7374D640">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w:t>
            </w:r>
          </w:p>
        </w:tc>
        <w:tc>
          <w:tcPr>
            <w:tcW w:w="1523" w:type="dxa"/>
            <w:vAlign w:val="center"/>
          </w:tcPr>
          <w:p w14:paraId="399A6B3C">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24</w:t>
            </w:r>
          </w:p>
        </w:tc>
        <w:tc>
          <w:tcPr>
            <w:tcW w:w="1539" w:type="dxa"/>
            <w:vAlign w:val="center"/>
          </w:tcPr>
          <w:p w14:paraId="0DA0BAA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outlineLvl w:val="9"/>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color w:val="auto"/>
                <w:kern w:val="0"/>
                <w:sz w:val="21"/>
                <w:szCs w:val="21"/>
                <w:lang w:val="en-US" w:eastAsia="zh-CN" w:bidi="ar"/>
              </w:rPr>
              <w:t>热水锅炉提供的热水供病房、浆洗等使用，病房、浆洗等用水包含了部分热水，因此热水锅炉用水不再重复计算。</w:t>
            </w:r>
          </w:p>
        </w:tc>
      </w:tr>
      <w:tr w14:paraId="19EAC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46CD4B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绿化用水</w:t>
            </w:r>
          </w:p>
        </w:tc>
        <w:tc>
          <w:tcPr>
            <w:tcW w:w="1308" w:type="dxa"/>
            <w:vAlign w:val="center"/>
          </w:tcPr>
          <w:p w14:paraId="0C1DA3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Cs/>
                <w:color w:val="auto"/>
                <w:sz w:val="21"/>
                <w:szCs w:val="21"/>
                <w:vertAlign w:val="baseline"/>
                <w:lang w:val="en-US" w:eastAsia="zh-CN"/>
              </w:rPr>
              <w:t>24606.6</w:t>
            </w: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297" w:type="dxa"/>
            <w:vAlign w:val="center"/>
          </w:tcPr>
          <w:p w14:paraId="5FBA2711">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1.0L/m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·d</w:t>
            </w:r>
          </w:p>
        </w:tc>
        <w:tc>
          <w:tcPr>
            <w:tcW w:w="1438" w:type="dxa"/>
            <w:vAlign w:val="center"/>
          </w:tcPr>
          <w:p w14:paraId="5F3EB2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24.6</w:t>
            </w:r>
          </w:p>
        </w:tc>
        <w:tc>
          <w:tcPr>
            <w:tcW w:w="1523" w:type="dxa"/>
            <w:vAlign w:val="center"/>
          </w:tcPr>
          <w:p w14:paraId="5FFF09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220D06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蒸发、渗透</w:t>
            </w:r>
          </w:p>
        </w:tc>
      </w:tr>
      <w:tr w14:paraId="62312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074D27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未预见用水量</w:t>
            </w:r>
          </w:p>
        </w:tc>
        <w:tc>
          <w:tcPr>
            <w:tcW w:w="1308" w:type="dxa"/>
            <w:vAlign w:val="center"/>
          </w:tcPr>
          <w:p w14:paraId="1B47893D">
            <w:pPr>
              <w:keepNext w:val="0"/>
              <w:keepLines w:val="0"/>
              <w:widowControl/>
              <w:suppressLineNumbers w:val="0"/>
              <w:spacing w:line="240" w:lineRule="auto"/>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按以上各用水量的10%计</w:t>
            </w:r>
          </w:p>
        </w:tc>
        <w:tc>
          <w:tcPr>
            <w:tcW w:w="1297" w:type="dxa"/>
            <w:vAlign w:val="center"/>
          </w:tcPr>
          <w:p w14:paraId="17282B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71EBFB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79.72</w:t>
            </w:r>
          </w:p>
        </w:tc>
        <w:tc>
          <w:tcPr>
            <w:tcW w:w="1523" w:type="dxa"/>
            <w:vAlign w:val="center"/>
          </w:tcPr>
          <w:p w14:paraId="27B5BB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67.76</w:t>
            </w:r>
          </w:p>
        </w:tc>
        <w:tc>
          <w:tcPr>
            <w:tcW w:w="1539" w:type="dxa"/>
            <w:vAlign w:val="center"/>
          </w:tcPr>
          <w:p w14:paraId="01349C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A08B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4" w:type="dxa"/>
            <w:gridSpan w:val="3"/>
            <w:vAlign w:val="center"/>
          </w:tcPr>
          <w:p w14:paraId="7EE356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合计</w:t>
            </w:r>
          </w:p>
        </w:tc>
        <w:tc>
          <w:tcPr>
            <w:tcW w:w="1438" w:type="dxa"/>
            <w:vAlign w:val="center"/>
          </w:tcPr>
          <w:p w14:paraId="2F635A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876.9</w:t>
            </w:r>
          </w:p>
        </w:tc>
        <w:tc>
          <w:tcPr>
            <w:tcW w:w="1523" w:type="dxa"/>
            <w:vAlign w:val="center"/>
          </w:tcPr>
          <w:p w14:paraId="17742C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704.02</w:t>
            </w:r>
          </w:p>
        </w:tc>
        <w:tc>
          <w:tcPr>
            <w:tcW w:w="1539" w:type="dxa"/>
            <w:vAlign w:val="center"/>
          </w:tcPr>
          <w:p w14:paraId="4D963E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5EF46D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4" w:type="dxa"/>
            <w:gridSpan w:val="6"/>
            <w:vAlign w:val="center"/>
          </w:tcPr>
          <w:p w14:paraId="639A71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注：</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住院病区用水包含病患及陪护人员用水；</w:t>
            </w: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医务人员用水量包括手术室、中心供应等医院常规医疗用水</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w:t>
            </w:r>
          </w:p>
        </w:tc>
      </w:tr>
    </w:tbl>
    <w:p w14:paraId="5ADFB7DA">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eastAsia" w:ascii="宋体" w:hAnsi="宋体" w:eastAsia="宋体" w:cs="宋体"/>
          <w:b/>
          <w:bCs/>
          <w:i w:val="0"/>
          <w:iCs w:val="0"/>
          <w:color w:val="auto"/>
          <w:spacing w:val="0"/>
          <w:kern w:val="0"/>
          <w:sz w:val="21"/>
          <w:szCs w:val="21"/>
          <w:shd w:val="clear" w:fill="FFFFFF"/>
          <w:lang w:val="en-US" w:eastAsia="zh-CN" w:bidi="ar"/>
        </w:rPr>
        <w:t>表2.3-2  不</w:t>
      </w:r>
      <w:r>
        <w:rPr>
          <w:rFonts w:hint="eastAsia" w:ascii="宋体" w:hAnsi="宋体" w:eastAsia="宋体" w:cs="宋体"/>
          <w:b/>
          <w:bCs/>
          <w:color w:val="auto"/>
          <w:sz w:val="21"/>
          <w:szCs w:val="21"/>
          <w:highlight w:val="none"/>
          <w:lang w:val="en-US" w:eastAsia="zh-CN"/>
        </w:rPr>
        <w:t>供</w:t>
      </w:r>
      <w:r>
        <w:rPr>
          <w:rFonts w:hint="eastAsia" w:ascii="Times New Roman" w:hAnsi="Times New Roman" w:eastAsia="宋体" w:cs="Times New Roman"/>
          <w:b/>
          <w:bCs/>
          <w:color w:val="auto"/>
          <w:sz w:val="21"/>
          <w:szCs w:val="21"/>
          <w:highlight w:val="none"/>
          <w:lang w:val="en-US" w:eastAsia="zh-CN"/>
        </w:rPr>
        <w:t>暖期间</w:t>
      </w:r>
      <w:r>
        <w:rPr>
          <w:rFonts w:hint="default" w:ascii="Times New Roman" w:hAnsi="Times New Roman" w:eastAsia="宋体" w:cs="Times New Roman"/>
          <w:b/>
          <w:bCs/>
          <w:color w:val="auto"/>
          <w:sz w:val="21"/>
          <w:szCs w:val="21"/>
          <w:highlight w:val="none"/>
          <w:lang w:val="en-US" w:eastAsia="zh-CN"/>
        </w:rPr>
        <w:t>用水及废水产排情况一览表</w:t>
      </w:r>
    </w:p>
    <w:tbl>
      <w:tblPr>
        <w:tblStyle w:val="21"/>
        <w:tblW w:w="86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308"/>
        <w:gridCol w:w="1297"/>
        <w:gridCol w:w="1438"/>
        <w:gridCol w:w="1523"/>
        <w:gridCol w:w="1539"/>
      </w:tblGrid>
      <w:tr w14:paraId="13A50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shd w:val="clear" w:color="auto" w:fill="D7D7D7" w:themeFill="background1" w:themeFillShade="D8"/>
            <w:vAlign w:val="center"/>
          </w:tcPr>
          <w:p w14:paraId="7078BE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项目</w:t>
            </w:r>
          </w:p>
        </w:tc>
        <w:tc>
          <w:tcPr>
            <w:tcW w:w="1308" w:type="dxa"/>
            <w:shd w:val="clear" w:color="auto" w:fill="D7D7D7" w:themeFill="background1" w:themeFillShade="D8"/>
            <w:vAlign w:val="center"/>
          </w:tcPr>
          <w:p w14:paraId="00098D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用水规模</w:t>
            </w:r>
          </w:p>
        </w:tc>
        <w:tc>
          <w:tcPr>
            <w:tcW w:w="1297" w:type="dxa"/>
            <w:shd w:val="clear" w:color="auto" w:fill="D7D7D7" w:themeFill="background1" w:themeFillShade="D8"/>
            <w:vAlign w:val="center"/>
          </w:tcPr>
          <w:p w14:paraId="6E264A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用水标准</w:t>
            </w:r>
          </w:p>
        </w:tc>
        <w:tc>
          <w:tcPr>
            <w:tcW w:w="1438" w:type="dxa"/>
            <w:shd w:val="clear" w:color="auto" w:fill="D7D7D7" w:themeFill="background1" w:themeFillShade="D8"/>
            <w:vAlign w:val="center"/>
          </w:tcPr>
          <w:p w14:paraId="715055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23" w:type="dxa"/>
            <w:shd w:val="clear" w:color="auto" w:fill="D7D7D7" w:themeFill="background1" w:themeFillShade="D8"/>
            <w:vAlign w:val="center"/>
          </w:tcPr>
          <w:p w14:paraId="1954E6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排放量（m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39" w:type="dxa"/>
            <w:shd w:val="clear" w:color="auto" w:fill="D7D7D7" w:themeFill="background1" w:themeFillShade="D8"/>
            <w:vAlign w:val="center"/>
          </w:tcPr>
          <w:p w14:paraId="4D7FFD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备注</w:t>
            </w:r>
          </w:p>
        </w:tc>
      </w:tr>
      <w:tr w14:paraId="2A0D3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29" w:type="dxa"/>
            <w:vAlign w:val="center"/>
          </w:tcPr>
          <w:p w14:paraId="40B5D5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住院病区用水</w:t>
            </w:r>
          </w:p>
        </w:tc>
        <w:tc>
          <w:tcPr>
            <w:tcW w:w="1308" w:type="dxa"/>
            <w:vAlign w:val="center"/>
          </w:tcPr>
          <w:p w14:paraId="0369E4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7B75CFBC">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3</w:t>
            </w:r>
            <w:r>
              <w:rPr>
                <w:rFonts w:hint="eastAsia" w:ascii="Times New Roman" w:hAnsi="Times New Roman" w:eastAsia="宋体"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0L/床·d</w:t>
            </w:r>
          </w:p>
        </w:tc>
        <w:tc>
          <w:tcPr>
            <w:tcW w:w="1438" w:type="dxa"/>
            <w:vAlign w:val="center"/>
          </w:tcPr>
          <w:p w14:paraId="7B238E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330.0</w:t>
            </w:r>
          </w:p>
        </w:tc>
        <w:tc>
          <w:tcPr>
            <w:tcW w:w="1523" w:type="dxa"/>
            <w:vAlign w:val="center"/>
          </w:tcPr>
          <w:p w14:paraId="5848BE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280.5</w:t>
            </w:r>
          </w:p>
        </w:tc>
        <w:tc>
          <w:tcPr>
            <w:tcW w:w="1539" w:type="dxa"/>
            <w:vAlign w:val="center"/>
          </w:tcPr>
          <w:p w14:paraId="39E560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6F88C5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300111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门</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急</w:t>
            </w:r>
            <w:r>
              <w:rPr>
                <w:rFonts w:hint="default" w:ascii="Times New Roman" w:hAnsi="Times New Roman" w:eastAsia="宋体" w:cs="Times New Roman"/>
                <w:b w:val="0"/>
                <w:bCs w:val="0"/>
                <w:color w:val="auto"/>
                <w:sz w:val="21"/>
                <w:szCs w:val="21"/>
              </w:rPr>
              <w:t>诊诊</w:t>
            </w:r>
            <w:r>
              <w:rPr>
                <w:rFonts w:hint="default" w:ascii="Times New Roman" w:hAnsi="Times New Roman" w:eastAsia="宋体" w:cs="Times New Roman"/>
                <w:b w:val="0"/>
                <w:bCs w:val="0"/>
                <w:color w:val="auto"/>
                <w:sz w:val="21"/>
                <w:szCs w:val="21"/>
                <w:lang w:val="en-US" w:eastAsia="zh-CN"/>
              </w:rPr>
              <w:t>区</w:t>
            </w:r>
            <w:r>
              <w:rPr>
                <w:rFonts w:hint="default" w:ascii="Times New Roman" w:hAnsi="Times New Roman" w:eastAsia="宋体" w:cs="Times New Roman"/>
                <w:b w:val="0"/>
                <w:bCs w:val="0"/>
                <w:color w:val="auto"/>
                <w:sz w:val="21"/>
                <w:szCs w:val="21"/>
              </w:rPr>
              <w:t>用水</w:t>
            </w:r>
          </w:p>
        </w:tc>
        <w:tc>
          <w:tcPr>
            <w:tcW w:w="1308" w:type="dxa"/>
            <w:vAlign w:val="center"/>
          </w:tcPr>
          <w:p w14:paraId="20B566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2830人</w:t>
            </w:r>
          </w:p>
        </w:tc>
        <w:tc>
          <w:tcPr>
            <w:tcW w:w="1297" w:type="dxa"/>
            <w:vAlign w:val="center"/>
          </w:tcPr>
          <w:p w14:paraId="5B4E772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15L/人次·d</w:t>
            </w:r>
          </w:p>
        </w:tc>
        <w:tc>
          <w:tcPr>
            <w:tcW w:w="1438" w:type="dxa"/>
            <w:vAlign w:val="center"/>
          </w:tcPr>
          <w:p w14:paraId="0445F5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42.45</w:t>
            </w:r>
          </w:p>
        </w:tc>
        <w:tc>
          <w:tcPr>
            <w:tcW w:w="1523" w:type="dxa"/>
            <w:vAlign w:val="center"/>
          </w:tcPr>
          <w:p w14:paraId="61DC8E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36.08</w:t>
            </w:r>
          </w:p>
        </w:tc>
        <w:tc>
          <w:tcPr>
            <w:tcW w:w="1539" w:type="dxa"/>
            <w:vAlign w:val="center"/>
          </w:tcPr>
          <w:p w14:paraId="56EB43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0C617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2E9C96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医务人员用水</w:t>
            </w:r>
          </w:p>
        </w:tc>
        <w:tc>
          <w:tcPr>
            <w:tcW w:w="1308" w:type="dxa"/>
            <w:vAlign w:val="center"/>
          </w:tcPr>
          <w:p w14:paraId="7511F7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1760</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人</w:t>
            </w:r>
          </w:p>
        </w:tc>
        <w:tc>
          <w:tcPr>
            <w:tcW w:w="1297" w:type="dxa"/>
            <w:vAlign w:val="center"/>
          </w:tcPr>
          <w:p w14:paraId="404DE3A3">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15</w:t>
            </w:r>
            <w:r>
              <w:rPr>
                <w:rFonts w:hint="default" w:ascii="Times New Roman" w:hAnsi="Times New Roman" w:eastAsia="宋体" w:cs="Times New Roman"/>
                <w:b w:val="0"/>
                <w:bCs w:val="0"/>
                <w:color w:val="auto"/>
                <w:kern w:val="0"/>
                <w:sz w:val="21"/>
                <w:szCs w:val="21"/>
                <w:lang w:val="en-US" w:eastAsia="zh-CN" w:bidi="ar"/>
              </w:rPr>
              <w:t>0L/人次·d</w:t>
            </w:r>
          </w:p>
        </w:tc>
        <w:tc>
          <w:tcPr>
            <w:tcW w:w="1438" w:type="dxa"/>
            <w:vAlign w:val="center"/>
          </w:tcPr>
          <w:p w14:paraId="262F91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264.0</w:t>
            </w:r>
          </w:p>
        </w:tc>
        <w:tc>
          <w:tcPr>
            <w:tcW w:w="1523" w:type="dxa"/>
            <w:vAlign w:val="center"/>
          </w:tcPr>
          <w:p w14:paraId="5107FB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224.4</w:t>
            </w:r>
          </w:p>
        </w:tc>
        <w:tc>
          <w:tcPr>
            <w:tcW w:w="1539" w:type="dxa"/>
            <w:vAlign w:val="center"/>
          </w:tcPr>
          <w:p w14:paraId="260F9A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6E68FB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0CAE91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浆洗用水</w:t>
            </w:r>
          </w:p>
        </w:tc>
        <w:tc>
          <w:tcPr>
            <w:tcW w:w="1308" w:type="dxa"/>
            <w:vAlign w:val="center"/>
          </w:tcPr>
          <w:p w14:paraId="5C48ED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0D58D65F">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w:t>
            </w:r>
            <w:r>
              <w:rPr>
                <w:rFonts w:hint="default" w:ascii="Times New Roman" w:hAnsi="Times New Roman" w:eastAsia="宋体" w:cs="Times New Roman"/>
                <w:color w:val="auto"/>
                <w:kern w:val="0"/>
                <w:sz w:val="21"/>
                <w:szCs w:val="21"/>
                <w:lang w:val="en-US" w:eastAsia="zh-CN" w:bidi="ar"/>
              </w:rPr>
              <w:t>L/kg·干衣</w:t>
            </w:r>
          </w:p>
        </w:tc>
        <w:tc>
          <w:tcPr>
            <w:tcW w:w="1438" w:type="dxa"/>
            <w:vAlign w:val="center"/>
          </w:tcPr>
          <w:p w14:paraId="2BA411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77.0</w:t>
            </w:r>
          </w:p>
        </w:tc>
        <w:tc>
          <w:tcPr>
            <w:tcW w:w="1523" w:type="dxa"/>
            <w:vAlign w:val="center"/>
          </w:tcPr>
          <w:p w14:paraId="5B9B44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65.45</w:t>
            </w:r>
          </w:p>
        </w:tc>
        <w:tc>
          <w:tcPr>
            <w:tcW w:w="1539" w:type="dxa"/>
            <w:vAlign w:val="center"/>
          </w:tcPr>
          <w:p w14:paraId="69B21B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666CAC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A8EC4C4">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中央空调冷却塔补充水</w:t>
            </w:r>
          </w:p>
        </w:tc>
        <w:tc>
          <w:tcPr>
            <w:tcW w:w="1308" w:type="dxa"/>
            <w:vAlign w:val="center"/>
          </w:tcPr>
          <w:p w14:paraId="090C82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297" w:type="dxa"/>
            <w:vAlign w:val="center"/>
          </w:tcPr>
          <w:p w14:paraId="4AD3F1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429559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30.0</w:t>
            </w:r>
          </w:p>
        </w:tc>
        <w:tc>
          <w:tcPr>
            <w:tcW w:w="1523" w:type="dxa"/>
            <w:vAlign w:val="center"/>
          </w:tcPr>
          <w:p w14:paraId="19F2B4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59D17EC4">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78F42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5E386C2">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锅炉</w:t>
            </w: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软</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水制备用水</w:t>
            </w:r>
          </w:p>
        </w:tc>
        <w:tc>
          <w:tcPr>
            <w:tcW w:w="1308" w:type="dxa"/>
            <w:vAlign w:val="center"/>
          </w:tcPr>
          <w:p w14:paraId="1B7141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热水锅炉</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1AFE70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7BF6F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Cs/>
                <w:color w:val="auto"/>
                <w:sz w:val="21"/>
                <w:szCs w:val="21"/>
                <w:highlight w:val="none"/>
                <w:lang w:val="en-US" w:eastAsia="zh-CN"/>
              </w:rPr>
              <w:t>/</w:t>
            </w:r>
          </w:p>
        </w:tc>
        <w:tc>
          <w:tcPr>
            <w:tcW w:w="1523" w:type="dxa"/>
            <w:vAlign w:val="center"/>
          </w:tcPr>
          <w:p w14:paraId="18FD41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w:t>
            </w:r>
          </w:p>
        </w:tc>
        <w:tc>
          <w:tcPr>
            <w:tcW w:w="1539" w:type="dxa"/>
            <w:vAlign w:val="center"/>
          </w:tcPr>
          <w:p w14:paraId="1AE437E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热水锅炉提供的热水供病房、浆洗等使用，病房、浆洗等用水包含了部分热水，因此热水锅炉用水不再重复计算。</w:t>
            </w:r>
          </w:p>
        </w:tc>
      </w:tr>
      <w:tr w14:paraId="295A7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338FC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绿化用水</w:t>
            </w:r>
          </w:p>
        </w:tc>
        <w:tc>
          <w:tcPr>
            <w:tcW w:w="1308" w:type="dxa"/>
            <w:vAlign w:val="center"/>
          </w:tcPr>
          <w:p w14:paraId="2EAA56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Cs/>
                <w:color w:val="auto"/>
                <w:sz w:val="21"/>
                <w:szCs w:val="21"/>
                <w:vertAlign w:val="baseline"/>
                <w:lang w:val="en-US" w:eastAsia="zh-CN"/>
              </w:rPr>
              <w:t>24606.6</w:t>
            </w: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297" w:type="dxa"/>
            <w:vAlign w:val="center"/>
          </w:tcPr>
          <w:p w14:paraId="5E17BDA9">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1.0L/m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·d</w:t>
            </w:r>
          </w:p>
        </w:tc>
        <w:tc>
          <w:tcPr>
            <w:tcW w:w="1438" w:type="dxa"/>
            <w:vAlign w:val="center"/>
          </w:tcPr>
          <w:p w14:paraId="3C75FC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24.6</w:t>
            </w:r>
          </w:p>
        </w:tc>
        <w:tc>
          <w:tcPr>
            <w:tcW w:w="1523" w:type="dxa"/>
            <w:vAlign w:val="center"/>
          </w:tcPr>
          <w:p w14:paraId="2E29F9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0C47B0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蒸发、渗透</w:t>
            </w:r>
          </w:p>
        </w:tc>
      </w:tr>
      <w:tr w14:paraId="49D32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51F0B9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未预见用水量</w:t>
            </w:r>
          </w:p>
        </w:tc>
        <w:tc>
          <w:tcPr>
            <w:tcW w:w="1308" w:type="dxa"/>
            <w:vAlign w:val="center"/>
          </w:tcPr>
          <w:p w14:paraId="41EC4294">
            <w:pPr>
              <w:keepNext w:val="0"/>
              <w:keepLines w:val="0"/>
              <w:widowControl/>
              <w:suppressLineNumbers w:val="0"/>
              <w:spacing w:line="240" w:lineRule="auto"/>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按以上各用水量的10%计</w:t>
            </w:r>
          </w:p>
        </w:tc>
        <w:tc>
          <w:tcPr>
            <w:tcW w:w="1297" w:type="dxa"/>
            <w:vAlign w:val="center"/>
          </w:tcPr>
          <w:p w14:paraId="346619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750DF9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76.81</w:t>
            </w:r>
          </w:p>
        </w:tc>
        <w:tc>
          <w:tcPr>
            <w:tcW w:w="1523" w:type="dxa"/>
            <w:vAlign w:val="center"/>
          </w:tcPr>
          <w:p w14:paraId="193891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65.29</w:t>
            </w:r>
          </w:p>
        </w:tc>
        <w:tc>
          <w:tcPr>
            <w:tcW w:w="1539" w:type="dxa"/>
            <w:vAlign w:val="center"/>
          </w:tcPr>
          <w:p w14:paraId="30FC07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0F9F02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4" w:type="dxa"/>
            <w:gridSpan w:val="3"/>
            <w:vAlign w:val="center"/>
          </w:tcPr>
          <w:p w14:paraId="214F76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合计</w:t>
            </w:r>
          </w:p>
        </w:tc>
        <w:tc>
          <w:tcPr>
            <w:tcW w:w="1438" w:type="dxa"/>
            <w:vAlign w:val="center"/>
          </w:tcPr>
          <w:p w14:paraId="6AEF91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844.86</w:t>
            </w:r>
          </w:p>
        </w:tc>
        <w:tc>
          <w:tcPr>
            <w:tcW w:w="1523" w:type="dxa"/>
            <w:vAlign w:val="center"/>
          </w:tcPr>
          <w:p w14:paraId="7AF66A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695.72</w:t>
            </w:r>
          </w:p>
        </w:tc>
        <w:tc>
          <w:tcPr>
            <w:tcW w:w="1539" w:type="dxa"/>
            <w:vAlign w:val="center"/>
          </w:tcPr>
          <w:p w14:paraId="379221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5E6FA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4" w:type="dxa"/>
            <w:gridSpan w:val="6"/>
            <w:vAlign w:val="center"/>
          </w:tcPr>
          <w:p w14:paraId="0C059A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注：</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住院病区用水包含病患及陪护人员用水；</w:t>
            </w: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医务人员用水量包括手术室、中心供应等医院常规医疗用水</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w:t>
            </w:r>
          </w:p>
        </w:tc>
      </w:tr>
    </w:tbl>
    <w:p w14:paraId="78C639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drawing>
          <wp:inline distT="0" distB="0" distL="114300" distR="114300">
            <wp:extent cx="5262245" cy="6492875"/>
            <wp:effectExtent l="0" t="0" r="0" b="0"/>
            <wp:docPr id="2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wps"/>
                    <pic:cNvPicPr>
                      <a:picLocks noChangeAspect="1"/>
                    </pic:cNvPicPr>
                  </pic:nvPicPr>
                  <pic:blipFill>
                    <a:blip r:embed="rId15"/>
                    <a:stretch>
                      <a:fillRect/>
                    </a:stretch>
                  </pic:blipFill>
                  <pic:spPr>
                    <a:xfrm>
                      <a:off x="0" y="0"/>
                      <a:ext cx="5262245" cy="6492875"/>
                    </a:xfrm>
                    <a:prstGeom prst="rect">
                      <a:avLst/>
                    </a:prstGeom>
                  </pic:spPr>
                </pic:pic>
              </a:graphicData>
            </a:graphic>
          </wp:inline>
        </w:drawing>
      </w:r>
    </w:p>
    <w:p w14:paraId="1414B98D">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图2.3-1   项目</w:t>
      </w:r>
      <w:r>
        <w:rPr>
          <w:rFonts w:hint="eastAsia" w:ascii="Times New Roman" w:hAnsi="Times New Roman" w:eastAsia="宋体" w:cs="Times New Roman"/>
          <w:b/>
          <w:bCs/>
          <w:color w:val="auto"/>
          <w:sz w:val="21"/>
          <w:szCs w:val="21"/>
          <w:highlight w:val="none"/>
          <w:lang w:val="en-US" w:eastAsia="zh-CN"/>
        </w:rPr>
        <w:t>供暖期间（冬季）</w:t>
      </w:r>
      <w:r>
        <w:rPr>
          <w:rFonts w:hint="default" w:ascii="Times New Roman" w:hAnsi="Times New Roman" w:eastAsia="宋体" w:cs="Times New Roman"/>
          <w:b/>
          <w:bCs/>
          <w:color w:val="auto"/>
          <w:sz w:val="21"/>
          <w:szCs w:val="21"/>
          <w:highlight w:val="none"/>
          <w:lang w:val="en-US" w:eastAsia="zh-CN"/>
        </w:rPr>
        <w:t>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14:paraId="57A6A5A2">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drawing>
          <wp:inline distT="0" distB="0" distL="114300" distR="114300">
            <wp:extent cx="5268595" cy="5441950"/>
            <wp:effectExtent l="0" t="0" r="0" b="0"/>
            <wp:docPr id="2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2" descr="wps"/>
                    <pic:cNvPicPr>
                      <a:picLocks noChangeAspect="1"/>
                    </pic:cNvPicPr>
                  </pic:nvPicPr>
                  <pic:blipFill>
                    <a:blip r:embed="rId16"/>
                    <a:stretch>
                      <a:fillRect/>
                    </a:stretch>
                  </pic:blipFill>
                  <pic:spPr>
                    <a:xfrm>
                      <a:off x="0" y="0"/>
                      <a:ext cx="5268595" cy="5441950"/>
                    </a:xfrm>
                    <a:prstGeom prst="rect">
                      <a:avLst/>
                    </a:prstGeom>
                  </pic:spPr>
                </pic:pic>
              </a:graphicData>
            </a:graphic>
          </wp:inline>
        </w:drawing>
      </w:r>
    </w:p>
    <w:p w14:paraId="43124854">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图2.3-2   项目</w:t>
      </w:r>
      <w:r>
        <w:rPr>
          <w:rFonts w:hint="eastAsia" w:ascii="Times New Roman" w:hAnsi="Times New Roman" w:eastAsia="宋体" w:cs="Times New Roman"/>
          <w:b/>
          <w:bCs/>
          <w:color w:val="auto"/>
          <w:sz w:val="21"/>
          <w:szCs w:val="21"/>
          <w:highlight w:val="none"/>
          <w:lang w:val="en-US" w:eastAsia="zh-CN"/>
        </w:rPr>
        <w:t>不供暖期间</w:t>
      </w:r>
      <w:r>
        <w:rPr>
          <w:rFonts w:hint="default" w:ascii="Times New Roman" w:hAnsi="Times New Roman" w:eastAsia="宋体" w:cs="Times New Roman"/>
          <w:b/>
          <w:bCs/>
          <w:color w:val="auto"/>
          <w:sz w:val="21"/>
          <w:szCs w:val="21"/>
          <w:highlight w:val="none"/>
          <w:lang w:val="en-US" w:eastAsia="zh-CN"/>
        </w:rPr>
        <w:t>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p w14:paraId="2C648D43">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p>
    <w:p w14:paraId="23BFEFED">
      <w:pPr>
        <w:pStyle w:val="7"/>
        <w:bidi w:val="0"/>
        <w:rPr>
          <w:rFonts w:hint="default" w:ascii="Times New Roman" w:hAnsi="Times New Roman" w:eastAsia="宋体" w:cs="Times New Roman"/>
          <w:color w:val="auto"/>
          <w:lang w:val="en-US" w:eastAsia="zh-CN"/>
        </w:rPr>
      </w:pPr>
      <w:bookmarkStart w:id="1208" w:name="_Toc13219"/>
      <w:r>
        <w:rPr>
          <w:rFonts w:hint="default" w:ascii="Times New Roman" w:hAnsi="Times New Roman" w:eastAsia="宋体" w:cs="Times New Roman"/>
          <w:color w:val="auto"/>
          <w:lang w:val="en-US" w:eastAsia="zh-CN"/>
        </w:rPr>
        <w:t>2.3.2 供电工程</w:t>
      </w:r>
      <w:bookmarkEnd w:id="1208"/>
    </w:p>
    <w:p w14:paraId="460A4A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本工程拟引入2路10kV电源；在本工程地下室内设开闭所和变电所。</w:t>
      </w:r>
    </w:p>
    <w:p w14:paraId="63F7B0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本工程应急电源采用自备柴油发电机组（1200KW），安装在2#楼-1F地下室内。发电机负责对供电范围内的一、二级负荷及保障负荷供电。应急电源与市电机械闭锁运行。</w:t>
      </w:r>
    </w:p>
    <w:p w14:paraId="02A7D1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设置柴油发电机作为一级负荷的第二电源，两路10kV市政电源或者所有变压器故障时，从低压进线配电柜进线开关电压继电器取柴油发电机的延时启动信号至柴油发电机房柴发机组控制柜，信号延时0-10s（可调）自动启动柴油发电机组，柴油发电机组15s内达到额定转速、电压、频率后，投入额定负载运行。柴油机组供油时间不小于24小时。当市电恢复30-60s（可调）后，由ATS自动恢复市电供电，柴油发电机组经冷却延时后，自动停机。</w:t>
      </w:r>
    </w:p>
    <w:p w14:paraId="49F298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消防控制室各设备配套UPS电源。信息弱电机房另配置相关UPS电源，由专业公司深化设计。</w:t>
      </w:r>
    </w:p>
    <w:p w14:paraId="0411BE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当电源中断或者电压骤降超过10%时，下列场所或者设备电源自动恢复时间为①0.5＜t≤15秒：重症监护室、手术室、术前准备室，术后恢复室，麻醉室，肺功能检查室，电生理检查室，超声检查室，泌尿科诊疗室，DR诊断室，CT诊断室，MRI扫描室，检验科一般仪器，病理科取材室、制片室、镜检室，高压氧仓，医疗气体供应系统。</w:t>
      </w:r>
    </w:p>
    <w:p w14:paraId="3A1E03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②t≤0.5秒：重症监护室、手术室、术前准备室，术后恢复室，麻醉室危及生命安全的照明和设备。</w:t>
      </w:r>
    </w:p>
    <w:p w14:paraId="002E98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③t＞0.5秒：其余医疗场所。</w:t>
      </w:r>
    </w:p>
    <w:p w14:paraId="5746A0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对于上述第②款规定的场所，由专业医疗深化设计单位设计UPS，对于第①、③款规定的场所，本工程设置的柴发机组可以自动启动满足要求。不间断电源装置(UPS)输出端为三相时，加装三相隔离变压器并做重复接地；应急供电时间不应小于15min。</w:t>
      </w:r>
    </w:p>
    <w:p w14:paraId="68728D77">
      <w:pPr>
        <w:pStyle w:val="7"/>
        <w:bidi w:val="0"/>
        <w:rPr>
          <w:rFonts w:hint="default" w:ascii="Times New Roman" w:hAnsi="Times New Roman" w:eastAsia="宋体" w:cs="Times New Roman"/>
          <w:color w:val="auto"/>
        </w:rPr>
      </w:pPr>
      <w:bookmarkStart w:id="1209" w:name="_Toc2258"/>
      <w:r>
        <w:rPr>
          <w:rFonts w:hint="default" w:ascii="Times New Roman" w:hAnsi="Times New Roman" w:eastAsia="宋体" w:cs="Times New Roman"/>
          <w:color w:val="auto"/>
          <w:lang w:val="en-US" w:eastAsia="zh-CN"/>
        </w:rPr>
        <w:t>2.3.3 供热工程</w:t>
      </w:r>
      <w:bookmarkEnd w:id="1209"/>
    </w:p>
    <w:p w14:paraId="7C41E0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手术室，医技楼，门诊楼设集中供热水系统，热水系统为机械全循环闭式系统，热源采用电热水锅炉，热水水质符合国家标准《生活饮用水卫生标准》（GB5749-2006）的要求，热水系统不分区，热水系统采用集中集热集中贮水的强制循环直接加热系统（单贮水装置），热水给水系统分区同冷水给水系统，冷热水支管压力超过 0.2Mpa 时设支管减压阀保证冷热水压平衡。</w:t>
      </w:r>
    </w:p>
    <w:p w14:paraId="3BCE0A5C">
      <w:pPr>
        <w:pStyle w:val="7"/>
        <w:bidi w:val="0"/>
        <w:rPr>
          <w:rFonts w:hint="default" w:ascii="Times New Roman" w:hAnsi="Times New Roman" w:eastAsia="宋体" w:cs="Times New Roman"/>
          <w:color w:val="auto"/>
        </w:rPr>
      </w:pPr>
      <w:bookmarkStart w:id="1210" w:name="_Toc23022"/>
      <w:r>
        <w:rPr>
          <w:rFonts w:hint="default" w:ascii="Times New Roman" w:hAnsi="Times New Roman" w:eastAsia="宋体" w:cs="Times New Roman"/>
          <w:color w:val="auto"/>
          <w:lang w:val="en-US" w:eastAsia="zh-CN"/>
        </w:rPr>
        <w:t>2.3.4供气</w:t>
      </w:r>
      <w:bookmarkEnd w:id="1210"/>
    </w:p>
    <w:p w14:paraId="1D4A58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工程供气气源由市政道路下的天然气主管引入，室外的中压天然气经调压箱调至低压后，经天然气管道送至厨房，天然气采用中压环状管网供气方式。中压管道采用输送流体用无缝钢管，室内的低压管道采用低压流体输送用镀锌钢管。中压燃气管道焊接连接，埋地敷设，聚乙烯胶粘带特加强级防腐；室内燃气立管沿外墙竖向敷设，引入管上设有球阀，煤气表就近在自然通风空间设置，室内燃气管道中表前管道采用焊接连接，表后管道采用丝接。</w:t>
      </w:r>
    </w:p>
    <w:p w14:paraId="19026D04">
      <w:pPr>
        <w:pStyle w:val="7"/>
        <w:bidi w:val="0"/>
        <w:rPr>
          <w:rFonts w:hint="default" w:ascii="Times New Roman" w:hAnsi="Times New Roman" w:eastAsia="宋体" w:cs="Times New Roman"/>
          <w:color w:val="auto"/>
        </w:rPr>
      </w:pPr>
      <w:bookmarkStart w:id="1211" w:name="_Toc7312"/>
      <w:r>
        <w:rPr>
          <w:rFonts w:hint="default" w:ascii="Times New Roman" w:hAnsi="Times New Roman" w:eastAsia="宋体" w:cs="Times New Roman"/>
          <w:color w:val="auto"/>
          <w:lang w:val="en-US" w:eastAsia="zh-CN"/>
        </w:rPr>
        <w:t>2.3.5 暖通及空调系统 、循环冷却水系统</w:t>
      </w:r>
      <w:bookmarkEnd w:id="1211"/>
    </w:p>
    <w:p w14:paraId="6F9DA6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（1）自然通风区域及措施</w:t>
      </w:r>
    </w:p>
    <w:p w14:paraId="4CC321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建筑总平面设计有利于冬季日照并避开冬季主导风向，夏季利于自然通风。当房间可开启外窗有效面积不小于该房间地板轴线面积的 10％时，采取自然开窗通风。自然通风排气口设于建筑负压区，尽量高置。进风口尽量低，下缘距室内地面高度不大于1.2m，并远离污染源3米以上。自然通风口均设电动或手动开关装置。不满足自然通风条件的房间，设置机械通风系统，换气次数为2次/h。</w:t>
      </w:r>
    </w:p>
    <w:p w14:paraId="04BF86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（2）机械通风</w:t>
      </w:r>
    </w:p>
    <w:p w14:paraId="7153C0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①内区房间、卫生间、设备用房、电梯机房等均采用机械通风。</w:t>
      </w:r>
    </w:p>
    <w:p w14:paraId="465627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地下车库采用机械通风(与排烟合用)系统；平时该系统机械排风换气，风机低速运行，不能满足自然补风时采用机械补风，满足使用环境卫生要求；火灾时排烟风机切换为高速运行，机械排烟，同时机械补风（或自然补风），保证人员的安全疏散。地下车库利用直通室外的车辆出入口自然进风或机械补风。</w:t>
      </w:r>
    </w:p>
    <w:p w14:paraId="3A4FA8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未设置气体灭火装置的地下设备用房（消防水泵房、生活水泵房、制冷机房、血透机房、纯水处理机房、污物暂存、消防器材间等）设置机械排风，保证必要的通风换气要求；排风机入口设置70℃防火阀，补风采用防火百叶风口。设备用房排(送)风机功率均满足风机单位风量耗功率限值要求。</w:t>
      </w:r>
    </w:p>
    <w:p w14:paraId="65AD73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（4）设有气体灭火装置的地下设备用房（配电房、充电桩配电房、储油间等）考虑事故后的通风（兼做平时通风），在排风机入口（或）进风口均设置 70℃全自动防烟防火阀，火灾发生时由消防控制中心电控关闭。气体灭火以后，由消防控制中心或手动开启风机进行事故通风。气体灭火房间排风风机室内、外便于操作的地方（距地1.3-1.5m）设置启动按钮。</w:t>
      </w:r>
    </w:p>
    <w:p w14:paraId="3F7CA4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地下柴油发电机房采用自动喷淋系统灭火、储油间采用气体灭火系统。柴油发电机房及储油间分别设置机械排风系统，换气次数为12次/h。储油间排风机采用防爆风机，在排风机后的排风管上设置70℃电动防火阀，储油间设置下排风口。柴油发电机房采用普通排风机。柴油发电机房进风口采用防火百叶风口，储油间进风口采用电动防火百叶风口。发电机尾气管道(井)做消声处理后伸至建筑屋面，尾气避人高空排放。</w:t>
      </w:r>
    </w:p>
    <w:p w14:paraId="5A6058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（6）制冷机房设置独立的机械送排风系统，并设置事故排风系统与制冷剂泄漏探测器联锁。</w:t>
      </w:r>
    </w:p>
    <w:p w14:paraId="6F842EF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（7）无窗房间及暗卫生间均设置机械排风系统；公共区域考虑必要的卫生通风系统。</w:t>
      </w:r>
    </w:p>
    <w:p w14:paraId="5A92CD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8）公共厨房采用机械排风自然补风，排风系统与燃气报警器联锁控制。厨房预留排油烟竖井(内衬不锈钢板)和水平管道。厨房油烟通过油烟净化器处理达到国家相应排放标准后通过独立的土建竖井(内衬不锈钢板)由建筑高出屋面排出。</w:t>
      </w:r>
    </w:p>
    <w:p w14:paraId="38DC625F">
      <w:pPr>
        <w:pStyle w:val="7"/>
        <w:bidi w:val="0"/>
        <w:rPr>
          <w:rFonts w:hint="default" w:ascii="Times New Roman" w:hAnsi="Times New Roman" w:eastAsia="宋体" w:cs="Times New Roman"/>
          <w:color w:val="auto"/>
          <w:lang w:val="en-US" w:eastAsia="zh-CN"/>
        </w:rPr>
      </w:pPr>
      <w:bookmarkStart w:id="1212" w:name="_Toc31485"/>
      <w:r>
        <w:rPr>
          <w:rFonts w:hint="default" w:ascii="Times New Roman" w:hAnsi="Times New Roman" w:eastAsia="宋体" w:cs="Times New Roman"/>
          <w:color w:val="auto"/>
          <w:lang w:val="en-US" w:eastAsia="zh-CN"/>
        </w:rPr>
        <w:t>2.3.6新风系统</w:t>
      </w:r>
      <w:bookmarkEnd w:id="1212"/>
    </w:p>
    <w:p w14:paraId="20E7D3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诊室、检查室等采用风机盘管加独立新风系统，风机盘管卧式暗装，夏季新风通过新风机组经粗、中效过滤，降温除湿处理至室内状态等焓点，冬季新风经新风机升温至室内温度状态点送入室内，风机盘管送风口与新风送风口分别独立接入空调房间内顶送或侧送，回风口为带过滤器的可开式百叶风口。气流组织为上送上回或侧送上回。</w:t>
      </w:r>
    </w:p>
    <w:p w14:paraId="181C65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（2）一至五层公共走道、输液大厅、会议室等大空间采用全空气系统；气流组织为上送上回，选用吊顶式空调机组或卧式空调机组；全空气机组均加设风道型空气净化装置,杀菌率≥94%。</w:t>
      </w:r>
    </w:p>
    <w:p w14:paraId="1BA985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（3）对外大门处设置风幕；消防控制中心和屋顶电梯机房设置分体式空调器；弱电机房设置机房专用精密空调。</w:t>
      </w:r>
    </w:p>
    <w:p w14:paraId="650CDE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（4）新风系统由新风机组从室外引入，经新风机组处理后由风管分送至各用户区内。</w:t>
      </w:r>
    </w:p>
    <w:p w14:paraId="47A154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（5）门诊、检查室等小空间均设置室内排风口，由排风机抽至室外。公共区域通过卫生间的换气扇将余风抽至室外。</w:t>
      </w:r>
    </w:p>
    <w:p w14:paraId="0E620D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（6）大空间通过连接室外的门、窗及公共卫生间将余风压至室外。</w:t>
      </w:r>
    </w:p>
    <w:p w14:paraId="0462D9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（7）急诊科手术室、抢救室等净化区域采用医院专用空气过滤净化器。</w:t>
      </w:r>
    </w:p>
    <w:p w14:paraId="1FCABD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（8）无菌室排风口采用末端空气过滤杀菌装置。</w:t>
      </w:r>
    </w:p>
    <w:p w14:paraId="1FE177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（9）微生物室、PCR 室、检验室排风支管上设风道式纳米光催化空气处理装置。</w:t>
      </w:r>
    </w:p>
    <w:p w14:paraId="3DAB0D57">
      <w:pPr>
        <w:pStyle w:val="6"/>
        <w:bidi w:val="0"/>
        <w:rPr>
          <w:rFonts w:hint="default" w:ascii="Times New Roman" w:hAnsi="Times New Roman" w:eastAsia="宋体" w:cs="Times New Roman"/>
          <w:color w:val="auto"/>
          <w:lang w:val="en-US" w:eastAsia="zh-CN"/>
        </w:rPr>
      </w:pPr>
      <w:bookmarkStart w:id="1213" w:name="_Toc21547"/>
      <w:r>
        <w:rPr>
          <w:rFonts w:hint="default" w:ascii="Times New Roman" w:hAnsi="Times New Roman" w:eastAsia="宋体" w:cs="Times New Roman"/>
          <w:color w:val="auto"/>
          <w:lang w:val="en-US" w:eastAsia="zh-CN"/>
        </w:rPr>
        <w:t>2.4项目劳动定员及工作制度</w:t>
      </w:r>
      <w:bookmarkEnd w:id="1213"/>
    </w:p>
    <w:p w14:paraId="7E9208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14" w:name="_Toc22065"/>
      <w:bookmarkStart w:id="1215" w:name="_Toc6990"/>
      <w:bookmarkStart w:id="1216" w:name="_Toc29933"/>
      <w:bookmarkStart w:id="1217" w:name="_Toc1548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（1）人员配置</w:t>
      </w:r>
      <w:bookmarkEnd w:id="1214"/>
      <w:bookmarkEnd w:id="1215"/>
      <w:bookmarkEnd w:id="1216"/>
      <w:bookmarkEnd w:id="1217"/>
    </w:p>
    <w:p w14:paraId="3E9E41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项目建成后配套床位为1100床，人员配置为1760人。</w:t>
      </w:r>
    </w:p>
    <w:p w14:paraId="134FAC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18" w:name="_Toc12469"/>
      <w:bookmarkStart w:id="1219" w:name="_Toc4078"/>
      <w:bookmarkStart w:id="1220" w:name="_Toc7432"/>
      <w:bookmarkStart w:id="1221" w:name="_Toc1500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（2）就医人数</w:t>
      </w:r>
      <w:bookmarkEnd w:id="1218"/>
      <w:bookmarkEnd w:id="1219"/>
      <w:bookmarkEnd w:id="1220"/>
      <w:bookmarkEnd w:id="1221"/>
    </w:p>
    <w:p w14:paraId="0670DA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就医人数分为住院人数和门急诊人数，项目设计床位1100张；门诊日接待量为2830人。</w:t>
      </w:r>
    </w:p>
    <w:p w14:paraId="506E8C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22" w:name="_Toc31335"/>
      <w:bookmarkStart w:id="1223" w:name="_Toc10187"/>
      <w:bookmarkStart w:id="1224" w:name="_Toc32299"/>
      <w:bookmarkStart w:id="1225" w:name="_Toc2721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（3）工作制度</w:t>
      </w:r>
      <w:bookmarkEnd w:id="1222"/>
      <w:bookmarkEnd w:id="1223"/>
      <w:bookmarkEnd w:id="1224"/>
      <w:bookmarkEnd w:id="1225"/>
    </w:p>
    <w:p w14:paraId="6D4F02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医院全年工作365天，医务人员实行三班制，每班工作8小时，每天24小时轮班倒；行政后勤人员实行单班制，每天工作8小时。本项目内设食堂为部分医护人员及患者每天提供三餐，不设置员工宿舍。</w:t>
      </w:r>
    </w:p>
    <w:p w14:paraId="79EBA1E2">
      <w:pPr>
        <w:rPr>
          <w:rFonts w:hint="default" w:ascii="Times New Roman" w:hAnsi="Times New Roman" w:eastAsia="宋体" w:cs="Times New Roman"/>
          <w:color w:val="auto"/>
          <w:kern w:val="0"/>
          <w:sz w:val="24"/>
          <w:szCs w:val="24"/>
          <w:lang w:val="en-US" w:eastAsia="zh-CN" w:bidi="ar"/>
        </w:rPr>
      </w:pPr>
    </w:p>
    <w:p w14:paraId="06F36A9E">
      <w:pPr>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pPr>
      <w:r>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br w:type="page"/>
      </w:r>
    </w:p>
    <w:p w14:paraId="2D6947E5">
      <w:pPr>
        <w:pStyle w:val="5"/>
        <w:bidi w:val="0"/>
        <w:rPr>
          <w:rFonts w:hint="default" w:ascii="Times New Roman" w:hAnsi="Times New Roman" w:eastAsia="宋体" w:cs="Times New Roman"/>
          <w:color w:val="auto"/>
          <w:lang w:val="en-US" w:eastAsia="zh-CN"/>
        </w:rPr>
      </w:pPr>
      <w:bookmarkStart w:id="1226" w:name="_Toc24734"/>
      <w:r>
        <w:rPr>
          <w:rFonts w:hint="default" w:ascii="Times New Roman" w:hAnsi="Times New Roman" w:eastAsia="宋体" w:cs="Times New Roman"/>
          <w:color w:val="auto"/>
          <w:lang w:val="en-US" w:eastAsia="zh-CN"/>
        </w:rPr>
        <w:t>3.工程分析</w:t>
      </w:r>
      <w:bookmarkEnd w:id="1226"/>
    </w:p>
    <w:p w14:paraId="0E20BE53">
      <w:pPr>
        <w:pStyle w:val="6"/>
        <w:bidi w:val="0"/>
        <w:rPr>
          <w:rFonts w:hint="default" w:ascii="Times New Roman" w:hAnsi="Times New Roman" w:eastAsia="宋体" w:cs="Times New Roman"/>
          <w:color w:val="auto"/>
        </w:rPr>
      </w:pPr>
      <w:bookmarkStart w:id="1227" w:name="_Toc29891"/>
      <w:r>
        <w:rPr>
          <w:rFonts w:hint="default" w:ascii="Times New Roman" w:hAnsi="Times New Roman" w:eastAsia="宋体" w:cs="Times New Roman"/>
          <w:color w:val="auto"/>
          <w:lang w:val="en-US" w:eastAsia="zh-CN"/>
        </w:rPr>
        <w:t>3.1 施工期工艺流程及产污位置</w:t>
      </w:r>
      <w:bookmarkEnd w:id="1227"/>
    </w:p>
    <w:p w14:paraId="52DE55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施工期间场地清理、基础建设、主体工程、装饰工程以及设备安装等工序将产生噪声、扬尘、固体废物和废水等污染物，其排放量随施工阶段和施工强度不同而有所变化</w:t>
      </w:r>
      <w:r>
        <w:rPr>
          <w:rFonts w:hint="default" w:ascii="Times New Roman" w:hAnsi="Times New Roman" w:eastAsia="宋体" w:cs="Times New Roman"/>
          <w:color w:val="auto"/>
          <w:kern w:val="0"/>
          <w:sz w:val="24"/>
          <w:szCs w:val="24"/>
          <w:lang w:val="en-US" w:eastAsia="zh-CN" w:bidi="ar"/>
        </w:rPr>
        <w:t>，项目施工期的工艺流程及产污环节见图。</w:t>
      </w:r>
    </w:p>
    <w:p w14:paraId="6A2DE7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pPr>
      <w:r>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drawing>
          <wp:inline distT="0" distB="0" distL="114300" distR="114300">
            <wp:extent cx="5269230" cy="1252855"/>
            <wp:effectExtent l="0" t="0" r="7620" b="4445"/>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
                    <pic:cNvPicPr>
                      <a:picLocks noChangeAspect="1"/>
                    </pic:cNvPicPr>
                  </pic:nvPicPr>
                  <pic:blipFill>
                    <a:blip r:embed="rId17"/>
                    <a:stretch>
                      <a:fillRect/>
                    </a:stretch>
                  </pic:blipFill>
                  <pic:spPr>
                    <a:xfrm>
                      <a:off x="0" y="0"/>
                      <a:ext cx="5269230" cy="1252855"/>
                    </a:xfrm>
                    <a:prstGeom prst="rect">
                      <a:avLst/>
                    </a:prstGeom>
                  </pic:spPr>
                </pic:pic>
              </a:graphicData>
            </a:graphic>
          </wp:inline>
        </w:drawing>
      </w:r>
    </w:p>
    <w:p w14:paraId="065741B4">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图3.1-1施工期工艺流程及产污环节图</w:t>
      </w:r>
    </w:p>
    <w:p w14:paraId="6D248210">
      <w:pPr>
        <w:pStyle w:val="7"/>
        <w:bidi w:val="0"/>
        <w:rPr>
          <w:rFonts w:hint="default" w:ascii="Times New Roman" w:hAnsi="Times New Roman" w:eastAsia="宋体" w:cs="Times New Roman"/>
          <w:color w:val="auto"/>
        </w:rPr>
      </w:pPr>
      <w:bookmarkStart w:id="1228" w:name="_Toc29157"/>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施工期主要污染工序</w:t>
      </w:r>
      <w:bookmarkEnd w:id="1228"/>
    </w:p>
    <w:p w14:paraId="623A7B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（1）废气</w:t>
      </w:r>
    </w:p>
    <w:p w14:paraId="46C6F2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工程土方运输、填筑、混凝土拌和等施工活动均会产生扬尘，对施工场地周围的大气环境产生污染。根据有关施工工程的调查资料，施工现场近地面粉尘浓度可达1.5-30mg/m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，通过采取洒水降尘等措施后，道路扬尘可减少50%左右。</w:t>
      </w:r>
    </w:p>
    <w:p w14:paraId="49DE24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（2）废水</w:t>
      </w:r>
    </w:p>
    <w:p w14:paraId="1A9602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间废水包括施工废水和施工工人生活废水。施工废水主要为机械冲洗废水、场地冲洗废水和基坑降水，生产废水经沉淀后回用，用于洒水降尘；生活污水接入市政污水管网，进入大英县城市生活污水处理厂集中处理，达标排放。</w:t>
      </w:r>
    </w:p>
    <w:p w14:paraId="442C69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（3）噪声</w:t>
      </w:r>
    </w:p>
    <w:p w14:paraId="1AA3E6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的噪声主要来源于施工现场的各类机械设备噪声，不同施工阶段和不同施工机械发出的噪声水平是不同的，且有大量设备交互作业，因此施工作业噪声将会对项目外环境带来一定的噪声污染。其中主要影响来自于施工现场的固定声源噪声，如挖土机、振捣机、电钻等，其源强在80-95db。通过合理安排施工时间能有效控制噪声影响。</w:t>
      </w:r>
    </w:p>
    <w:p w14:paraId="4AB9C0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（4）固体废物</w:t>
      </w:r>
    </w:p>
    <w:p w14:paraId="189E6D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本工程所产生的固体废物主要为施工人员的生活垃圾和施工建筑垃圾。施工人员生活垃圾统一收集，由环卫部门清运处理；土石方回填，用于场地平整，建筑垃圾运至指定的建筑垃圾堆放场。</w:t>
      </w:r>
    </w:p>
    <w:p w14:paraId="26F4EA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（5）水土流失</w:t>
      </w:r>
    </w:p>
    <w:p w14:paraId="221D38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土方开挖，土壤裸露造成水土流失。项目中的弃土如不及时运走或堆放时被覆不当，遇雨时（尤其是强风暴雨时），泥沙流失，通过地面径流或下水管道，也会进入河道，造成河水浑浊，影响水质。回填土如不及时回填或被覆不当，遇雨会随地流淌，有一部分沉积地面，遇晴天或大风时就会产生扬尘。</w:t>
      </w:r>
    </w:p>
    <w:p w14:paraId="33005181">
      <w:pPr>
        <w:pStyle w:val="7"/>
        <w:bidi w:val="0"/>
        <w:rPr>
          <w:rFonts w:hint="default" w:ascii="Times New Roman" w:hAnsi="Times New Roman" w:eastAsia="宋体" w:cs="Times New Roman"/>
          <w:color w:val="auto"/>
        </w:rPr>
      </w:pPr>
      <w:bookmarkStart w:id="1229" w:name="_Toc25600"/>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施工期污染物排放及治理</w:t>
      </w:r>
      <w:bookmarkEnd w:id="1229"/>
    </w:p>
    <w:p w14:paraId="271FCE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（1）废气</w:t>
      </w:r>
    </w:p>
    <w:p w14:paraId="1EDEC9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相关施工工地和道路扬尘污染防治的规定要求，积极推行绿色施工，全面督查建设工地现场管理“六必须”、“六不准”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加强车辆保养和维护，减少超载，减少停车怠速时间。</w:t>
      </w:r>
    </w:p>
    <w:p w14:paraId="2B1759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工地不准裸露野蛮施工，大风天停止施工作业，在风速大于3m/s时应停止挖、填土方作业；施工过程中，在施工现场周围连续设置不低于2m高的围挡，并做到坚固美观。在靠近敏感的工段，围挡高度可适当增加，以减少扬尘对周围环境的影响。施工结束后，尽早对厂区内的裸露地面按设计要求进行绿化。硬化工作，减少扬尘的产生量和预防水土流失。</w:t>
      </w:r>
    </w:p>
    <w:p w14:paraId="4EA46C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（2）废水</w:t>
      </w:r>
    </w:p>
    <w:p w14:paraId="509D6A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施工期生活污水按最高峰每天100人计算，用水标准采用50L</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人/d，排水量按用水量的85%计算，生活污水产生量4.25m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/d，根据类比调查，该类生活污水水质为：COD：230mg/L，BOD</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5</w:t>
      </w:r>
      <w: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120mg/L，SS：180mg/L，NH</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-N：25mg/L，生活污水排入园区污水管网。施工废水是设备工具清洗水等，主要含SS和石油类，其产生量较小，根据类比，施工废水产生量为3 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/d，以水的损耗率为10%计，则施工废水产生量2.7 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/d，建设单位在施工现场开挖修建隔油沉淀池，对施工废水进行隔油、沉淀除渣后循环使用，严格做到不外排。</w:t>
      </w:r>
    </w:p>
    <w:p w14:paraId="62E5B6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（3）噪声</w:t>
      </w:r>
    </w:p>
    <w:p w14:paraId="75C0ED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施工期的噪声主要来源于施工现场的各类机械设备噪声，为减小施工期噪声对周围环境的影响，本环评要求：</w:t>
      </w:r>
    </w:p>
    <w:p w14:paraId="4C3AE6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①在设备选型时尽量采用低噪声设备,加强施工机械的保养和维护，使施工机械保持良好的运行状态，避免因缺乏维护造成施工机械噪声的额外升高。</w:t>
      </w:r>
    </w:p>
    <w:p w14:paraId="7CE78F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②提倡文明施工，对人为活动噪声应有管理制度，特别是要杜绝人为敲打、叫嚷、野蛮装卸等现象，增强全体施工人员防噪声扰民的自觉意识，尽量减少人为大声喧哗，最大限度地减少噪声扰民。</w:t>
      </w:r>
    </w:p>
    <w:p w14:paraId="0F29AE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合理进行施工总平布置。施工单位必须合理设计施工总平面图，将大部分产生高噪声的作业点布置于项目的东侧，以有效利用施工场区的距离衰减，从而减少对项目周边的影响。在室内施工时期，关闭窗户，并做到文明施工。</w:t>
      </w:r>
    </w:p>
    <w:p w14:paraId="625B9F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④加强施工队伍的管理，禁止高声喧哗，避免不必要的噪声发生。</w:t>
      </w:r>
    </w:p>
    <w:p w14:paraId="6564FF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⑤合理统筹施工进度和安排，尽量避免中午(12:00时-14:30时)施工，禁止夜间(22:00时-次日6:00时)施工。</w:t>
      </w:r>
    </w:p>
    <w:p w14:paraId="3FEEC2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⑥由于施工阶段除厂房隔声外，无特殊降噪措施，故噪声传播较远，受影响面较大，施工方应合理安排施工时间，杜绝深夜施工噪声扰民，同时中、高考期间不得进行施工。如果工艺要求必须连续作业的强噪声施工，应首先征得当地建委、城管等主管部门的同意，并及时公告周边居民,同时合理进行施工平面布局，以免发生噪声扰民纠纷。施工期间的场界噪声必须满足《建筑施工场界环境噪声排放标准》(GB12523-2011)标准要求。</w:t>
      </w:r>
    </w:p>
    <w:p w14:paraId="7B642E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在落实上述控制措施的情况下，施工噪声对周围环境的影响可得到良好的控制。施工期的噪声影响随施工期结束而消失。</w:t>
      </w:r>
    </w:p>
    <w:p w14:paraId="0943BE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（4）固体废物</w:t>
      </w:r>
    </w:p>
    <w:p w14:paraId="1AA837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开挖土石方：项目开挖产生的土石方全部用于工程回填、调整场地标高和场地绿化。</w:t>
      </w:r>
    </w:p>
    <w:p w14:paraId="4A3F87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建筑垃圾：在施工现场应设置建筑废弃物临时堆场(树立标示牌)并进行防雨、防泄漏处理。施工生产的废料首先应考虑废料的回收利用，对钢筋、钢板、木材等下角料可分类回收，交废物收购站处理；对不能回收的建筑垃圾，如混凝土废料、含砖、石、砂的杂土等应集中堆放,定时清运到指定的建筑垃圾堆放场，以免影响环境质量。为确保废弃物处置措施落实，建设单位或施工总承包单位在与建筑垃圾清运公司签订清运合同时，应要求承包公司提供废弃物去向的证明材料，严禁随意倾倒、填埋，造成二次污染。</w:t>
      </w:r>
    </w:p>
    <w:p w14:paraId="7E6F0E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项目施工期不设宿舍，生活垃圾产生量较小，每天产生量按1kg/人计算，每天产生生活垃圾约100kg，经收集后送至当地环卫部门指定堆放地点处，由环卫部门送至生活垃圾填埋场统一处理。</w:t>
      </w:r>
    </w:p>
    <w:p w14:paraId="6BC2D0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（5）水土流失</w:t>
      </w:r>
    </w:p>
    <w:p w14:paraId="74DCFD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①工程施工中要做好土石方平衡工作，开挖的土方应尽量作为施工场地平整回填之用。如果有弃土，应妥善处理：如有缺土，应采购宕渣砾料代替。</w:t>
      </w:r>
    </w:p>
    <w:p w14:paraId="54771E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②工程施工应分期分区进行，以缩短单项工期。开挖裸露面要有防治措施，尽量缩短暴露时间，减少水土流失。</w:t>
      </w:r>
    </w:p>
    <w:p w14:paraId="1DE92C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③堆土的边坡要小，尽量压实，使其少占地且不易被雨水冲刷造成流失。</w:t>
      </w:r>
    </w:p>
    <w:p w14:paraId="72E6D1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所述，施工期产生的废气、粉尘、噪声、固体废物将会对环境产生一定影响，但不会影响到居民区。只要施工单位认真做好施工组织安排，并进行文明施工，通过采取适当环保措施后，可有效降低工程土建施工期对环境的不利影响。</w:t>
      </w:r>
    </w:p>
    <w:p w14:paraId="0CF31BAD">
      <w:pPr>
        <w:pStyle w:val="6"/>
        <w:bidi w:val="0"/>
        <w:rPr>
          <w:rFonts w:hint="default" w:ascii="Times New Roman" w:hAnsi="Times New Roman" w:eastAsia="宋体" w:cs="Times New Roman"/>
          <w:color w:val="auto"/>
        </w:rPr>
      </w:pPr>
      <w:bookmarkStart w:id="1230" w:name="_Toc20125"/>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运营期工程分析</w:t>
      </w:r>
      <w:bookmarkEnd w:id="1230"/>
    </w:p>
    <w:p w14:paraId="3409BFD5">
      <w:pPr>
        <w:pStyle w:val="7"/>
        <w:bidi w:val="0"/>
        <w:rPr>
          <w:rFonts w:hint="default" w:ascii="Times New Roman" w:hAnsi="Times New Roman" w:eastAsia="宋体" w:cs="Times New Roman"/>
          <w:color w:val="auto"/>
        </w:rPr>
      </w:pPr>
      <w:bookmarkStart w:id="1231" w:name="_Toc5036"/>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.1运营期工艺流程及产污环节</w:t>
      </w:r>
      <w:bookmarkEnd w:id="1231"/>
    </w:p>
    <w:p w14:paraId="5605D3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运营期项目主要污染为围绕病人门诊、检验诊断、住院等过程中产生的医疗污水、污物等。营运期的产污工艺流程见框见下图。</w:t>
      </w:r>
    </w:p>
    <w:p w14:paraId="3085E8B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t>（1）普通病区流程</w:t>
      </w:r>
    </w:p>
    <w:p w14:paraId="757AAC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i w:val="0"/>
          <w:iCs w:val="0"/>
          <w:caps w:val="0"/>
          <w:color w:val="auto"/>
          <w:spacing w:val="0"/>
          <w:kern w:val="0"/>
          <w:sz w:val="24"/>
          <w:szCs w:val="24"/>
          <w:highlight w:val="yellow"/>
          <w:u w:val="none"/>
          <w:shd w:val="clear" w:fill="FFFFFF"/>
          <w:lang w:val="en-US" w:eastAsia="zh-CN" w:bidi="ar"/>
        </w:rPr>
      </w:pPr>
      <w:r>
        <w:rPr>
          <w:rFonts w:hint="default" w:ascii="Times New Roman" w:hAnsi="Times New Roman" w:eastAsia="宋体" w:cs="Times New Roman"/>
          <w:b/>
          <w:bCs/>
          <w:i w:val="0"/>
          <w:iCs w:val="0"/>
          <w:caps w:val="0"/>
          <w:color w:val="auto"/>
          <w:spacing w:val="0"/>
          <w:kern w:val="0"/>
          <w:sz w:val="24"/>
          <w:szCs w:val="24"/>
          <w:highlight w:val="none"/>
          <w:u w:val="none"/>
          <w:shd w:val="clear" w:fill="FFFFFF"/>
          <w:lang w:val="en-US" w:eastAsia="zh-CN" w:bidi="ar"/>
        </w:rPr>
        <w:drawing>
          <wp:inline distT="0" distB="0" distL="114300" distR="114300">
            <wp:extent cx="5272405" cy="4378960"/>
            <wp:effectExtent l="0" t="0" r="4445" b="2540"/>
            <wp:docPr id="4" name="图片 4" descr="C:\Users\pc\Desktop\6867423ed67fb6fe9a14f3db4541016.png6867423ed67fb6fe9a14f3db45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Desktop\6867423ed67fb6fe9a14f3db4541016.png6867423ed67fb6fe9a14f3db4541016"/>
                    <pic:cNvPicPr>
                      <a:picLocks noChangeAspect="1"/>
                    </pic:cNvPicPr>
                  </pic:nvPicPr>
                  <pic:blipFill>
                    <a:blip r:embed="rId18"/>
                    <a:srcRect/>
                    <a:stretch>
                      <a:fillRect/>
                    </a:stretch>
                  </pic:blipFill>
                  <pic:spPr>
                    <a:xfrm>
                      <a:off x="0" y="0"/>
                      <a:ext cx="5272405" cy="4378960"/>
                    </a:xfrm>
                    <a:prstGeom prst="rect">
                      <a:avLst/>
                    </a:prstGeom>
                  </pic:spPr>
                </pic:pic>
              </a:graphicData>
            </a:graphic>
          </wp:inline>
        </w:drawing>
      </w:r>
    </w:p>
    <w:p w14:paraId="0CB0C445">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3.2-1 医院流程及产污图</w:t>
      </w:r>
    </w:p>
    <w:p w14:paraId="79D10558">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rPr>
        <w:t>主要工序简述</w:t>
      </w:r>
      <w:r>
        <w:rPr>
          <w:rFonts w:hint="default" w:ascii="Times New Roman" w:hAnsi="Times New Roman" w:eastAsia="宋体" w:cs="Times New Roman"/>
          <w:b/>
          <w:bCs/>
          <w:color w:val="auto"/>
          <w:kern w:val="0"/>
          <w:sz w:val="24"/>
          <w:szCs w:val="24"/>
          <w:highlight w:val="none"/>
          <w:lang w:eastAsia="zh-CN"/>
        </w:rPr>
        <w:t>：</w:t>
      </w:r>
    </w:p>
    <w:p w14:paraId="3F50118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病人在门诊通过简单的问诊后，经检验科检验，由医生确认病情后进行住院治疗，经住院治疗康复后，病人复检确定恢复情况符合出院标准后，由医生开具出院通知单并办理完相关手续，即可办理出院手续出院。具体流程如下：</w:t>
      </w:r>
    </w:p>
    <w:p w14:paraId="43CF158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①门诊</w:t>
      </w:r>
    </w:p>
    <w:p w14:paraId="1873424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病人经门诊初步问诊后，医生了解基本病情，建议病人通过检验科进行身体检查。</w:t>
      </w:r>
    </w:p>
    <w:p w14:paraId="1A7E65A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②检验、诊断</w:t>
      </w:r>
    </w:p>
    <w:p w14:paraId="4A8063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病人进入检验科，经检验科检验诊断病情后，由医生确认后确定治疗方案。</w:t>
      </w:r>
    </w:p>
    <w:p w14:paraId="13E6B3C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③住院、治疗</w:t>
      </w:r>
    </w:p>
    <w:p w14:paraId="6F5063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病人需住院治疗后，由医院安排病人的生活起居，并对病人进行治疗。</w:t>
      </w:r>
    </w:p>
    <w:p w14:paraId="2EC0C7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④复检</w:t>
      </w:r>
    </w:p>
    <w:p w14:paraId="3721DFA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当病人病情康复后，由检验科对病人病情进行复检，通过复检确定恢复情况符合出院标准后，由医生开具出院通知单并办理完相关手续后，即可办理出院手续出院。</w:t>
      </w:r>
    </w:p>
    <w:p w14:paraId="7C202E3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（2）感染病区流程</w:t>
      </w:r>
    </w:p>
    <w:p w14:paraId="059B46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由于感染性疾病在综合医院中的特殊性，位置应相对独立，单独布置在医院北部建筑群。内部结构需布局合理，分区清楚，功能上应包括门诊、病房、特殊检查和治疗等一系列完整功能。感染病区结合院区总体规划相对独立，合理安排污染区、半污染区与清洁区。病人活动治疗诊断限制在污染区；医务人员一般工作活动限制在清洁区；半污染区则是医务人员进行诊疗工作的辅助区域，位于清洁区与污染区之间的过渡地段。</w:t>
      </w:r>
    </w:p>
    <w:p w14:paraId="01390966">
      <w:pPr>
        <w:bidi w:val="0"/>
        <w:jc w:val="center"/>
        <w:rPr>
          <w:rFonts w:hint="default"/>
          <w:color w:val="auto"/>
          <w:lang w:val="en-US" w:eastAsia="zh-CN"/>
        </w:rPr>
      </w:pPr>
      <w:r>
        <w:rPr>
          <w:rFonts w:hint="default"/>
          <w:color w:val="auto"/>
          <w:lang w:val="en-US" w:eastAsia="zh-CN"/>
        </w:rPr>
        <w:drawing>
          <wp:inline distT="0" distB="0" distL="114300" distR="114300">
            <wp:extent cx="5266055" cy="4856480"/>
            <wp:effectExtent l="0" t="0" r="0" b="0"/>
            <wp:docPr id="21"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3" descr="wps"/>
                    <pic:cNvPicPr>
                      <a:picLocks noChangeAspect="1"/>
                    </pic:cNvPicPr>
                  </pic:nvPicPr>
                  <pic:blipFill>
                    <a:blip r:embed="rId19"/>
                    <a:stretch>
                      <a:fillRect/>
                    </a:stretch>
                  </pic:blipFill>
                  <pic:spPr>
                    <a:xfrm>
                      <a:off x="0" y="0"/>
                      <a:ext cx="5266055" cy="4856480"/>
                    </a:xfrm>
                    <a:prstGeom prst="rect">
                      <a:avLst/>
                    </a:prstGeom>
                  </pic:spPr>
                </pic:pic>
              </a:graphicData>
            </a:graphic>
          </wp:inline>
        </w:drawing>
      </w:r>
    </w:p>
    <w:p w14:paraId="3EA9F836">
      <w:pPr>
        <w:pStyle w:val="27"/>
        <w:jc w:val="center"/>
        <w:rPr>
          <w:rFonts w:hint="default"/>
          <w:b/>
          <w:bCs/>
          <w:color w:val="auto"/>
          <w:sz w:val="21"/>
          <w:szCs w:val="21"/>
          <w:lang w:val="en-US" w:eastAsia="zh-CN"/>
        </w:rPr>
      </w:pPr>
      <w:r>
        <w:rPr>
          <w:rFonts w:hint="eastAsia"/>
          <w:b/>
          <w:bCs/>
          <w:color w:val="auto"/>
          <w:sz w:val="21"/>
          <w:szCs w:val="21"/>
          <w:lang w:val="en-US" w:eastAsia="zh-CN"/>
        </w:rPr>
        <w:t xml:space="preserve">图3.2-2  </w:t>
      </w:r>
      <w:r>
        <w:rPr>
          <w:rFonts w:hint="default" w:ascii="Times New Roman" w:hAnsi="Times New Roman" w:eastAsia="宋体" w:cs="Times New Roman"/>
          <w:b/>
          <w:bCs/>
          <w:color w:val="auto"/>
          <w:sz w:val="21"/>
          <w:szCs w:val="21"/>
          <w:highlight w:val="none"/>
          <w:lang w:val="en-US" w:eastAsia="zh-CN"/>
        </w:rPr>
        <w:t>感染病区流程</w:t>
      </w:r>
      <w:r>
        <w:rPr>
          <w:rFonts w:hint="eastAsia" w:ascii="Times New Roman" w:hAnsi="Times New Roman" w:eastAsia="宋体" w:cs="Times New Roman"/>
          <w:b/>
          <w:bCs/>
          <w:color w:val="auto"/>
          <w:sz w:val="21"/>
          <w:szCs w:val="21"/>
          <w:highlight w:val="none"/>
          <w:lang w:val="en-US" w:eastAsia="zh-CN"/>
        </w:rPr>
        <w:t>图</w:t>
      </w:r>
    </w:p>
    <w:p w14:paraId="7DE68981">
      <w:pPr>
        <w:pStyle w:val="7"/>
        <w:bidi w:val="0"/>
        <w:rPr>
          <w:rFonts w:hint="default" w:ascii="Times New Roman" w:hAnsi="Times New Roman" w:eastAsia="宋体" w:cs="Times New Roman"/>
          <w:color w:val="auto"/>
        </w:rPr>
      </w:pPr>
      <w:bookmarkStart w:id="1232" w:name="_Toc7869"/>
      <w:r>
        <w:rPr>
          <w:rFonts w:hint="default" w:ascii="Times New Roman" w:hAnsi="Times New Roman" w:eastAsia="宋体" w:cs="Times New Roman"/>
          <w:color w:val="auto"/>
          <w:lang w:val="en-US" w:eastAsia="zh-CN"/>
        </w:rPr>
        <w:t>3.2.2 项目工艺流程产污位置</w:t>
      </w:r>
      <w:bookmarkEnd w:id="1232"/>
      <w:r>
        <w:rPr>
          <w:rFonts w:hint="default" w:ascii="Times New Roman" w:hAnsi="Times New Roman" w:eastAsia="宋体" w:cs="Times New Roman"/>
          <w:color w:val="auto"/>
          <w:lang w:val="en-US" w:eastAsia="zh-CN"/>
        </w:rPr>
        <w:t xml:space="preserve"> </w:t>
      </w:r>
    </w:p>
    <w:p w14:paraId="66A3D1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废水：住院病人生活废水、</w:t>
      </w: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门急诊</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废水、</w:t>
      </w:r>
      <w:r>
        <w:rPr>
          <w:rFonts w:hint="eastAsia" w:ascii="Times New Roman" w:hAnsi="Times New Roman" w:eastAsia="宋体" w:cs="Times New Roman"/>
          <w:b w:val="0"/>
          <w:bCs w:val="0"/>
          <w:i w:val="0"/>
          <w:iCs w:val="0"/>
          <w:caps w:val="0"/>
          <w:color w:val="auto"/>
          <w:spacing w:val="0"/>
          <w:kern w:val="0"/>
          <w:sz w:val="24"/>
          <w:szCs w:val="24"/>
          <w:shd w:val="clear" w:fill="FFFFFF"/>
          <w:lang w:val="en-US" w:eastAsia="zh-CN" w:bidi="ar"/>
        </w:rPr>
        <w:t>医务人员废水、</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洗衣房废水、空调冷却塔废水等。</w:t>
      </w:r>
    </w:p>
    <w:p w14:paraId="46F247B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废气：主要为污水处理站废气、食堂油烟、医废暂存间产生的异味、柴油发电机烟气和汽车尾气等。</w:t>
      </w:r>
    </w:p>
    <w:p w14:paraId="1D4A89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噪声：一是机动车及人员活动产生的生活噪声，属低噪声源，噪声级小于55dB(A)，通过加强管理，对外界影响较小。二是公辅设施设备噪声，包括柴油发电机、各类风机、污水处理站及给水水泵、液氧站、方形横流式超静音冷却塔等。</w:t>
      </w:r>
    </w:p>
    <w:p w14:paraId="3F4F72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固体废物：医院营运期尸体在院内暂存，暂存时间不超过1天，然后由家属委托从事殡葬服务的公司运走。本项目一般固废包括医院职工办公生活垃圾、餐厨垃圾、废包装材料、中药药渣等；危险废物包括医疗废物、污水站污泥、废活性炭、废弃紫外线灯管及更换的空气滤芯等。</w:t>
      </w:r>
    </w:p>
    <w:p w14:paraId="58DFE877">
      <w:pPr>
        <w:pStyle w:val="7"/>
        <w:bidi w:val="0"/>
        <w:rPr>
          <w:rFonts w:hint="default" w:ascii="Times New Roman" w:hAnsi="Times New Roman" w:eastAsia="宋体" w:cs="Times New Roman"/>
          <w:color w:val="auto"/>
        </w:rPr>
      </w:pPr>
      <w:bookmarkStart w:id="1233" w:name="_Toc8345"/>
      <w:r>
        <w:rPr>
          <w:rFonts w:hint="default" w:ascii="Times New Roman" w:hAnsi="Times New Roman" w:eastAsia="宋体" w:cs="Times New Roman"/>
          <w:color w:val="auto"/>
          <w:lang w:val="en-US" w:eastAsia="zh-CN"/>
        </w:rPr>
        <w:t>3.2.3营运污染物排放及治理措施</w:t>
      </w:r>
      <w:bookmarkEnd w:id="1233"/>
    </w:p>
    <w:p w14:paraId="459CCEA7">
      <w:pPr>
        <w:pStyle w:val="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3.2.3.1废气</w:t>
      </w:r>
    </w:p>
    <w:p w14:paraId="434CA4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本项目运营期废气主要为污水处理恶臭、固废暂存间异味、食堂油烟、汽车尾气、备用柴油发电机废气和</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中药熬制异味</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w:t>
      </w:r>
    </w:p>
    <w:p w14:paraId="510F20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34" w:name="_Toc10999"/>
      <w:bookmarkStart w:id="1235" w:name="_Toc19369"/>
      <w:bookmarkStart w:id="1236" w:name="_Toc3882"/>
      <w:bookmarkStart w:id="1237" w:name="_Toc23477"/>
      <w:bookmarkStart w:id="1238" w:name="_Toc628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（1）污水处理恶臭</w:t>
      </w:r>
      <w:bookmarkEnd w:id="1234"/>
      <w:bookmarkEnd w:id="1235"/>
      <w:bookmarkEnd w:id="1236"/>
      <w:bookmarkEnd w:id="1237"/>
      <w:bookmarkEnd w:id="1238"/>
    </w:p>
    <w:p w14:paraId="149A3B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污水处理恶臭包括感染病区污水预消毒恶臭和院内污水处理站恶臭。</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项目污水处理运行中将产生少量废气</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主要含有病原菌、恶臭(H</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S和氨)，该部分气体对人的身体健康有害。为防止病毒、臭气从医院水处理构筑物表面挥发到大气中而造成造成污染影响</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评价要求项目</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污水处理设施</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全地埋</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预留进、出气口</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把处于自由扩散状态的气体组织起来</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，污水处理站恶臭</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通过“紫外线消毒+活性炭吸附”处理后引至1#楼裙楼楼顶排放，排气筒高度25m。此外，要求定期对污水处理站周边进行消毒灭菌，防止滋生蚊蝇。</w:t>
      </w:r>
    </w:p>
    <w:p w14:paraId="7DF09A6A">
      <w:pPr>
        <w:pStyle w:val="2"/>
        <w:rPr>
          <w:rFonts w:hint="default"/>
          <w:lang w:val="en-US" w:eastAsia="zh-CN"/>
        </w:rPr>
      </w:pPr>
      <w:r>
        <w:rPr>
          <w:rFonts w:hint="eastAsia" w:eastAsia="宋体" w:cs="Times New Roman"/>
          <w:i w:val="0"/>
          <w:iCs w:val="0"/>
          <w:caps w:val="0"/>
          <w:color w:val="auto"/>
          <w:spacing w:val="0"/>
          <w:kern w:val="0"/>
          <w:sz w:val="24"/>
          <w:szCs w:val="24"/>
          <w:shd w:val="clear" w:fill="FFFFFF"/>
          <w:lang w:val="en-US" w:eastAsia="zh-CN" w:bidi="ar"/>
        </w:rPr>
        <w:t>感染病区污水预处理采用全地埋设施，并在周围设置绿化隔离带。</w:t>
      </w:r>
    </w:p>
    <w:p w14:paraId="181BA3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本项目包含污水处理站拟采用地埋式设置，位于项目西南侧，即该区域的主导风向的下风向，污水处理站四周设置有绿化隔离带。污水处理站规模为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采用“格栅+调节池+水解酸化池+接触氧化池+沉淀池+接触消毒池”工艺。根据《医院污水处理工程技术规范》（HJ2029-2013）中“6.3.6条”指出：医院污水处理工程废气应进行适当的处理后排放，不宜直接排放。“8.0.2”条指出：医院污水处理站应独立设置，与病房、居民区建筑物的距离不宜小于10m，并设置隔离带；当无法满足上述条件时应采取有效的安全隔离措施；不得将污水处理站设于门诊或病房等建筑物的地下室。为防止病毒从医院水处理构筑物表面挥发到大气中而造成病毒的二次传播污染，环评要求本项目对污水处理站的臭气进行治理：</w:t>
      </w:r>
    </w:p>
    <w:p w14:paraId="6D044E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①污水处理站</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及感染病区污水预消毒池</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全地埋，预留进、出气口，对</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污水处理站</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恶臭气体气体进行收集，做到有组织排放。</w:t>
      </w:r>
    </w:p>
    <w:p w14:paraId="41FDF8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污水处理站</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气由抽风装置统一收集后采用紫外线消毒系统+活性炭吸附系统处理，然后经1根25m高排气筒排放，处理效率可达90%以上。采取以上措施后，污水处理站废气能够做到达标排放，项目废水处理站不设卫生防护距离。</w:t>
      </w:r>
    </w:p>
    <w:p w14:paraId="77A82E8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39" w:name="_Toc11507"/>
      <w:bookmarkStart w:id="1240" w:name="_Toc4854"/>
      <w:bookmarkStart w:id="1241" w:name="_Toc26191"/>
      <w:bookmarkStart w:id="1242" w:name="_Toc32726"/>
      <w:bookmarkStart w:id="1243" w:name="_Toc996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1）源强确定</w:t>
      </w:r>
      <w:bookmarkEnd w:id="1239"/>
      <w:bookmarkEnd w:id="1240"/>
      <w:bookmarkEnd w:id="1241"/>
      <w:bookmarkEnd w:id="1242"/>
      <w:bookmarkEnd w:id="1243"/>
    </w:p>
    <w:p w14:paraId="50E20524">
      <w:pPr>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恶臭气体逸出理论复杂，国内外至今没有成熟的预测模型，故本项目评价采用类比调查方法确定。</w:t>
      </w:r>
      <w:r>
        <w:rPr>
          <w:rFonts w:hint="default" w:ascii="Times New Roman" w:hAnsi="Times New Roman" w:eastAsia="宋体" w:cs="Times New Roman"/>
          <w:color w:val="auto"/>
          <w:sz w:val="24"/>
          <w:szCs w:val="24"/>
          <w:highlight w:val="none"/>
          <w:lang w:val="en-US" w:eastAsia="zh-CN"/>
        </w:rPr>
        <w:t>参照</w:t>
      </w:r>
      <w:r>
        <w:rPr>
          <w:rFonts w:hint="default" w:ascii="Times New Roman" w:hAnsi="Times New Roman" w:eastAsia="宋体" w:cs="Times New Roman"/>
          <w:color w:val="auto"/>
          <w:kern w:val="2"/>
          <w:sz w:val="24"/>
          <w:szCs w:val="24"/>
          <w:highlight w:val="none"/>
          <w:lang w:val="en-US" w:eastAsia="zh-CN" w:bidi="ar-SA"/>
        </w:rPr>
        <w:t>美国EPA对城市污水处理厂恶臭污染物产生情况的研究，每处理1g的BOD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，可产生0.0031g的NH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和0.00012g的H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w:t>
      </w:r>
    </w:p>
    <w:p w14:paraId="2901BCC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pPr>
      <w:r>
        <w:rPr>
          <w:rFonts w:hint="default" w:ascii="Times New Roman" w:hAnsi="Times New Roman" w:eastAsia="宋体" w:cs="Times New Roman"/>
          <w:color w:val="auto"/>
          <w:sz w:val="24"/>
          <w:szCs w:val="24"/>
          <w:highlight w:val="none"/>
          <w:lang w:eastAsia="zh-CN"/>
        </w:rPr>
        <w:t>通过</w:t>
      </w:r>
      <w:r>
        <w:rPr>
          <w:rFonts w:hint="default" w:ascii="Times New Roman" w:hAnsi="Times New Roman" w:eastAsia="宋体" w:cs="Times New Roman"/>
          <w:color w:val="auto"/>
          <w:sz w:val="24"/>
          <w:szCs w:val="24"/>
          <w:highlight w:val="none"/>
        </w:rPr>
        <w:t>类比</w:t>
      </w:r>
      <w:r>
        <w:rPr>
          <w:rFonts w:hint="default" w:ascii="Times New Roman" w:hAnsi="Times New Roman" w:eastAsia="宋体" w:cs="Times New Roman"/>
          <w:color w:val="auto"/>
          <w:sz w:val="24"/>
          <w:szCs w:val="24"/>
          <w:highlight w:val="none"/>
          <w:lang w:eastAsia="zh-CN"/>
        </w:rPr>
        <w:t>同类项目</w:t>
      </w:r>
      <w:r>
        <w:rPr>
          <w:rFonts w:hint="default" w:ascii="Times New Roman" w:hAnsi="Times New Roman" w:eastAsia="宋体" w:cs="Times New Roman"/>
          <w:color w:val="auto"/>
          <w:sz w:val="24"/>
          <w:szCs w:val="24"/>
          <w:highlight w:val="none"/>
        </w:rPr>
        <w:t>，本项目污水处理站进水水质BOD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以</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mg/L计，处理后浓度以</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mg/L计，项目建成后，</w:t>
      </w:r>
      <w:r>
        <w:rPr>
          <w:rFonts w:hint="default" w:ascii="Times New Roman" w:hAnsi="Times New Roman" w:eastAsia="宋体" w:cs="Times New Roman"/>
          <w:color w:val="auto"/>
          <w:sz w:val="24"/>
          <w:szCs w:val="24"/>
          <w:highlight w:val="none"/>
          <w:lang w:val="en-US" w:eastAsia="zh-CN"/>
        </w:rPr>
        <w:t>废水中BOD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总去除量为</w:t>
      </w:r>
      <w:r>
        <w:rPr>
          <w:rFonts w:hint="eastAsia" w:ascii="Times New Roman" w:hAnsi="Times New Roman" w:eastAsia="宋体" w:cs="Times New Roman"/>
          <w:color w:val="auto"/>
          <w:sz w:val="24"/>
          <w:szCs w:val="24"/>
          <w:highlight w:val="none"/>
          <w:lang w:val="en-US" w:eastAsia="zh-CN"/>
        </w:rPr>
        <w:t>5.84</w:t>
      </w:r>
      <w:r>
        <w:rPr>
          <w:rFonts w:hint="default" w:ascii="Times New Roman" w:hAnsi="Times New Roman" w:eastAsia="宋体" w:cs="Times New Roman"/>
          <w:color w:val="auto"/>
          <w:sz w:val="24"/>
          <w:szCs w:val="24"/>
          <w:highlight w:val="none"/>
          <w:lang w:val="en-US" w:eastAsia="zh-CN"/>
        </w:rPr>
        <w:t>t/a，可计算出NH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产生量约为0.0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t/a（0.002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5kg/h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eastAsia="zh-CN"/>
        </w:rPr>
        <w:t>的产生量为0.000</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t/a（0.000</w:t>
      </w:r>
      <w:r>
        <w:rPr>
          <w:rFonts w:hint="eastAsia"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483E613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pPr>
      <w:bookmarkStart w:id="1244" w:name="_Toc28800"/>
      <w:bookmarkStart w:id="1245" w:name="_Toc20165"/>
      <w:bookmarkStart w:id="1246" w:name="_Toc11302"/>
      <w:bookmarkStart w:id="1247" w:name="_Toc22768"/>
      <w:bookmarkStart w:id="1248" w:name="_Toc15986"/>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2）废气排放情况</w:t>
      </w:r>
      <w:bookmarkEnd w:id="1244"/>
      <w:bookmarkEnd w:id="1245"/>
      <w:bookmarkEnd w:id="1246"/>
      <w:bookmarkEnd w:id="1247"/>
      <w:bookmarkEnd w:id="1248"/>
    </w:p>
    <w:p w14:paraId="7096B11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i w:val="0"/>
          <w:iCs w:val="0"/>
          <w:caps w:val="0"/>
          <w:color w:val="auto"/>
          <w:spacing w:val="0"/>
          <w:kern w:val="0"/>
          <w:sz w:val="24"/>
          <w:szCs w:val="24"/>
          <w:highlight w:val="none"/>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本环评要求采用地埋式污水处理站，各池体全密闭，预留出气口通过风机</w:t>
      </w:r>
      <w:r>
        <w:rPr>
          <w:rFonts w:hint="default" w:ascii="Times New Roman" w:hAnsi="Times New Roman" w:eastAsia="宋体" w:cs="Times New Roman"/>
          <w:color w:val="auto"/>
          <w:sz w:val="24"/>
          <w:szCs w:val="24"/>
          <w:highlight w:val="none"/>
          <w:lang w:eastAsia="zh-CN"/>
        </w:rPr>
        <w:t>将臭气引入“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紫外线消毒+活性炭吸附</w:t>
      </w:r>
      <w:r>
        <w:rPr>
          <w:rFonts w:hint="default" w:ascii="Times New Roman" w:hAnsi="Times New Roman" w:eastAsia="宋体" w:cs="Times New Roman"/>
          <w:color w:val="auto"/>
          <w:sz w:val="24"/>
          <w:szCs w:val="24"/>
          <w:highlight w:val="none"/>
          <w:lang w:eastAsia="zh-CN"/>
        </w:rPr>
        <w:t>”处理后通过</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5m高的排气筒排放</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医技住院综合楼裙楼楼顶排放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活性炭吸附属于</w:t>
      </w:r>
      <w:r>
        <w:rPr>
          <w:rFonts w:hint="eastAsia" w:ascii="Times New Roman" w:hAnsi="Times New Roman" w:eastAsia="宋体" w:cs="Times New Roman"/>
          <w:i w:val="0"/>
          <w:iCs w:val="0"/>
          <w:caps w:val="0"/>
          <w:color w:val="auto"/>
          <w:spacing w:val="0"/>
          <w:kern w:val="0"/>
          <w:sz w:val="24"/>
          <w:szCs w:val="24"/>
          <w:highlight w:val="none"/>
          <w:shd w:val="clear" w:fill="FFFFFF"/>
          <w:lang w:val="en-US" w:eastAsia="zh-CN" w:bidi="ar"/>
        </w:rPr>
        <w:t>《排污许可申请与核发技术规范  医疗技术》（HJ1105-2020）中医疗机构排污单位污水处理站废气治理可行技术。</w:t>
      </w:r>
    </w:p>
    <w:p w14:paraId="7C34E3FA">
      <w:pPr>
        <w:pStyle w:val="24"/>
        <w:rPr>
          <w:rFonts w:hint="default" w:ascii="Times New Roman" w:hAnsi="Times New Roman" w:eastAsia="宋体" w:cs="Times New Roman"/>
          <w:b/>
          <w:bCs/>
          <w:color w:val="auto"/>
          <w:kern w:val="0"/>
          <w:sz w:val="20"/>
          <w:szCs w:val="20"/>
          <w:highlight w:val="none"/>
          <w:lang w:val="en-US" w:eastAsia="zh-CN" w:bidi="ar"/>
        </w:rPr>
      </w:pPr>
      <w:r>
        <w:rPr>
          <w:rFonts w:hint="eastAsia" w:ascii="Times New Roman" w:hAnsi="Times New Roman" w:eastAsia="宋体" w:cs="Times New Roman"/>
          <w:b/>
          <w:bCs/>
          <w:color w:val="auto"/>
          <w:kern w:val="0"/>
          <w:sz w:val="20"/>
          <w:szCs w:val="20"/>
          <w:highlight w:val="none"/>
          <w:lang w:val="en-US" w:eastAsia="zh-CN" w:bidi="ar"/>
        </w:rPr>
        <w:t>表3.2-1  医疗机构排污单位废气治理可行技术</w:t>
      </w:r>
      <w:r>
        <w:rPr>
          <w:rFonts w:hint="eastAsia" w:ascii="Times New Roman" w:eastAsia="宋体" w:cs="Times New Roman"/>
          <w:b/>
          <w:bCs/>
          <w:color w:val="auto"/>
          <w:kern w:val="0"/>
          <w:sz w:val="20"/>
          <w:szCs w:val="20"/>
          <w:highlight w:val="none"/>
          <w:lang w:val="en-US" w:eastAsia="zh-CN" w:bidi="ar"/>
        </w:rPr>
        <w:t>参照表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2519"/>
        <w:gridCol w:w="1104"/>
        <w:gridCol w:w="3158"/>
      </w:tblGrid>
      <w:tr w14:paraId="68125E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1" w:type="dxa"/>
            <w:shd w:val="clear" w:color="auto" w:fill="D7D7D7" w:themeFill="background1" w:themeFillShade="D8"/>
            <w:vAlign w:val="center"/>
          </w:tcPr>
          <w:p w14:paraId="75A7D433">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污染物产生设施</w:t>
            </w:r>
          </w:p>
        </w:tc>
        <w:tc>
          <w:tcPr>
            <w:tcW w:w="2519" w:type="dxa"/>
            <w:shd w:val="clear" w:color="auto" w:fill="D7D7D7" w:themeFill="background1" w:themeFillShade="D8"/>
            <w:vAlign w:val="center"/>
          </w:tcPr>
          <w:p w14:paraId="6D9C167D">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污染物种类</w:t>
            </w:r>
          </w:p>
        </w:tc>
        <w:tc>
          <w:tcPr>
            <w:tcW w:w="1104" w:type="dxa"/>
            <w:shd w:val="clear" w:color="auto" w:fill="D7D7D7" w:themeFill="background1" w:themeFillShade="D8"/>
            <w:vAlign w:val="center"/>
          </w:tcPr>
          <w:p w14:paraId="0DA73B16">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排放形式</w:t>
            </w:r>
          </w:p>
        </w:tc>
        <w:tc>
          <w:tcPr>
            <w:tcW w:w="3158" w:type="dxa"/>
            <w:shd w:val="clear" w:color="auto" w:fill="D7D7D7" w:themeFill="background1" w:themeFillShade="D8"/>
            <w:vAlign w:val="center"/>
          </w:tcPr>
          <w:p w14:paraId="4AB121BA">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可行技术</w:t>
            </w:r>
          </w:p>
        </w:tc>
      </w:tr>
      <w:tr w14:paraId="75EB02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1" w:type="dxa"/>
            <w:vMerge w:val="restart"/>
            <w:vAlign w:val="center"/>
          </w:tcPr>
          <w:p w14:paraId="0367F8AD">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污水处理站</w:t>
            </w:r>
          </w:p>
        </w:tc>
        <w:tc>
          <w:tcPr>
            <w:tcW w:w="2519" w:type="dxa"/>
            <w:vAlign w:val="center"/>
          </w:tcPr>
          <w:p w14:paraId="598BB1BC">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氨、硫化氢、臭气浓度、甲烷、氯气</w:t>
            </w:r>
          </w:p>
        </w:tc>
        <w:tc>
          <w:tcPr>
            <w:tcW w:w="1104" w:type="dxa"/>
            <w:vAlign w:val="center"/>
          </w:tcPr>
          <w:p w14:paraId="7965F46D">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3158" w:type="dxa"/>
            <w:vAlign w:val="center"/>
          </w:tcPr>
          <w:p w14:paraId="311FD63A">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产生恶臭区域加罩或加盖，投放除臭剂；</w:t>
            </w:r>
          </w:p>
        </w:tc>
      </w:tr>
      <w:tr w14:paraId="03E622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1" w:type="dxa"/>
            <w:vMerge w:val="continue"/>
            <w:vAlign w:val="center"/>
          </w:tcPr>
          <w:p w14:paraId="0BFEF15A">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2519" w:type="dxa"/>
            <w:vAlign w:val="center"/>
          </w:tcPr>
          <w:p w14:paraId="241F90ED">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氨、硫化氢、臭气浓度</w:t>
            </w:r>
          </w:p>
        </w:tc>
        <w:tc>
          <w:tcPr>
            <w:tcW w:w="1104" w:type="dxa"/>
            <w:vAlign w:val="center"/>
          </w:tcPr>
          <w:p w14:paraId="158552E0">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3158" w:type="dxa"/>
            <w:vAlign w:val="center"/>
          </w:tcPr>
          <w:p w14:paraId="38EAA744">
            <w:pPr>
              <w:pStyle w:val="2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集中收集恶臭气体经处理（喷淋塔除臭、活性炭吸附、生物除臭等）后经排气筒排放。</w:t>
            </w:r>
          </w:p>
        </w:tc>
      </w:tr>
    </w:tbl>
    <w:p w14:paraId="7070D4B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pPr>
      <w:r>
        <w:rPr>
          <w:rFonts w:hint="default" w:ascii="Times New Roman" w:hAnsi="Times New Roman" w:eastAsia="宋体" w:cs="Times New Roman"/>
          <w:color w:val="auto"/>
          <w:sz w:val="24"/>
          <w:szCs w:val="24"/>
          <w:highlight w:val="none"/>
          <w:lang w:val="en-US" w:eastAsia="zh-CN"/>
        </w:rPr>
        <w:t>由于污水处理站为地埋式，且全封闭负压设计，类比同行业，</w:t>
      </w:r>
      <w:r>
        <w:rPr>
          <w:rFonts w:hint="default" w:ascii="Times New Roman" w:hAnsi="Times New Roman" w:eastAsia="宋体" w:cs="Times New Roman"/>
          <w:color w:val="auto"/>
          <w:sz w:val="24"/>
          <w:szCs w:val="24"/>
          <w:highlight w:val="none"/>
          <w:lang w:eastAsia="zh-CN"/>
        </w:rPr>
        <w:t>风量</w:t>
      </w:r>
      <w:r>
        <w:rPr>
          <w:rFonts w:hint="default" w:ascii="Times New Roman" w:hAnsi="Times New Roman" w:eastAsia="宋体" w:cs="Times New Roman"/>
          <w:color w:val="auto"/>
          <w:sz w:val="24"/>
          <w:szCs w:val="24"/>
          <w:highlight w:val="none"/>
          <w:lang w:val="en-US" w:eastAsia="zh-CN"/>
        </w:rPr>
        <w:t>以5</w:t>
      </w:r>
      <w:r>
        <w:rPr>
          <w:rFonts w:hint="default" w:ascii="Times New Roman" w:hAnsi="Times New Roman" w:eastAsia="宋体" w:cs="Times New Roman"/>
          <w:color w:val="auto"/>
          <w:sz w:val="24"/>
          <w:szCs w:val="24"/>
          <w:highlight w:val="none"/>
          <w:lang w:eastAsia="zh-CN"/>
        </w:rPr>
        <w:t>000m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/h</w:t>
      </w:r>
      <w:r>
        <w:rPr>
          <w:rFonts w:hint="default" w:ascii="Times New Roman" w:hAnsi="Times New Roman" w:eastAsia="宋体" w:cs="Times New Roman"/>
          <w:color w:val="auto"/>
          <w:sz w:val="24"/>
          <w:szCs w:val="24"/>
          <w:highlight w:val="none"/>
          <w:lang w:val="en-US" w:eastAsia="zh-CN"/>
        </w:rPr>
        <w:t>计，收集率95%，处理效率80%。</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本项目恶臭气体排放情况详见下表。</w:t>
      </w:r>
    </w:p>
    <w:p w14:paraId="4F631F06">
      <w:pPr>
        <w:keepNext w:val="0"/>
        <w:keepLines w:val="0"/>
        <w:widowControl/>
        <w:suppressLineNumbers w:val="0"/>
        <w:jc w:val="center"/>
        <w:rPr>
          <w:rFonts w:hint="default" w:ascii="Times New Roman" w:hAnsi="Times New Roman" w:eastAsia="宋体" w:cs="Times New Roman"/>
          <w:b/>
          <w:bCs/>
          <w:color w:val="auto"/>
          <w:kern w:val="0"/>
          <w:sz w:val="20"/>
          <w:szCs w:val="20"/>
          <w:highlight w:val="none"/>
          <w:lang w:val="en-US" w:eastAsia="zh-CN" w:bidi="ar"/>
        </w:rPr>
      </w:pPr>
    </w:p>
    <w:p w14:paraId="4E4BB183">
      <w:pPr>
        <w:keepNext w:val="0"/>
        <w:keepLines w:val="0"/>
        <w:widowControl/>
        <w:suppressLineNumbers w:val="0"/>
        <w:jc w:val="center"/>
        <w:rPr>
          <w:rFonts w:hint="default" w:ascii="Times New Roman" w:hAnsi="Times New Roman" w:eastAsia="宋体" w:cs="Times New Roman"/>
          <w:b/>
          <w:bCs/>
          <w:color w:val="auto"/>
          <w:kern w:val="0"/>
          <w:sz w:val="20"/>
          <w:szCs w:val="20"/>
          <w:highlight w:val="none"/>
          <w:lang w:val="en-US" w:eastAsia="zh-CN" w:bidi="ar"/>
        </w:rPr>
      </w:pPr>
    </w:p>
    <w:p w14:paraId="5658772F">
      <w:pPr>
        <w:keepNext w:val="0"/>
        <w:keepLines w:val="0"/>
        <w:widowControl/>
        <w:suppressLineNumbers w:val="0"/>
        <w:jc w:val="center"/>
        <w:rPr>
          <w:rFonts w:hint="default" w:ascii="Times New Roman" w:hAnsi="Times New Roman" w:eastAsia="宋体" w:cs="Times New Roman"/>
          <w:b/>
          <w:bCs/>
          <w:color w:val="auto"/>
          <w:kern w:val="0"/>
          <w:sz w:val="20"/>
          <w:szCs w:val="20"/>
          <w:highlight w:val="none"/>
          <w:lang w:val="en-US" w:eastAsia="zh-CN" w:bidi="ar"/>
        </w:rPr>
      </w:pPr>
    </w:p>
    <w:p w14:paraId="5525628E">
      <w:pPr>
        <w:keepNext w:val="0"/>
        <w:keepLines w:val="0"/>
        <w:widowControl/>
        <w:suppressLineNumbers w:val="0"/>
        <w:jc w:val="center"/>
        <w:rPr>
          <w:rFonts w:hint="default" w:ascii="Times New Roman" w:hAnsi="Times New Roman" w:eastAsia="宋体" w:cs="Times New Roman"/>
          <w:b/>
          <w:bCs/>
          <w:color w:val="auto"/>
          <w:kern w:val="0"/>
          <w:sz w:val="20"/>
          <w:szCs w:val="20"/>
          <w:highlight w:val="none"/>
          <w:lang w:val="en-US" w:eastAsia="zh-CN" w:bidi="ar"/>
        </w:rPr>
      </w:pPr>
      <w:r>
        <w:rPr>
          <w:rFonts w:hint="default" w:ascii="Times New Roman" w:hAnsi="Times New Roman" w:eastAsia="宋体" w:cs="Times New Roman"/>
          <w:b/>
          <w:bCs/>
          <w:color w:val="auto"/>
          <w:kern w:val="0"/>
          <w:sz w:val="20"/>
          <w:szCs w:val="20"/>
          <w:highlight w:val="none"/>
          <w:lang w:val="en-US" w:eastAsia="zh-CN" w:bidi="ar"/>
        </w:rPr>
        <w:t>表3.2-</w:t>
      </w:r>
      <w:r>
        <w:rPr>
          <w:rFonts w:hint="eastAsia" w:ascii="Times New Roman" w:hAnsi="Times New Roman" w:eastAsia="宋体" w:cs="Times New Roman"/>
          <w:b/>
          <w:bCs/>
          <w:color w:val="auto"/>
          <w:kern w:val="0"/>
          <w:sz w:val="20"/>
          <w:szCs w:val="20"/>
          <w:highlight w:val="none"/>
          <w:lang w:val="en-US" w:eastAsia="zh-CN" w:bidi="ar"/>
        </w:rPr>
        <w:t>2</w:t>
      </w:r>
      <w:r>
        <w:rPr>
          <w:rFonts w:hint="default" w:ascii="Times New Roman" w:hAnsi="Times New Roman" w:eastAsia="宋体" w:cs="Times New Roman"/>
          <w:b/>
          <w:bCs/>
          <w:color w:val="auto"/>
          <w:kern w:val="0"/>
          <w:sz w:val="20"/>
          <w:szCs w:val="20"/>
          <w:highlight w:val="none"/>
          <w:lang w:val="en-US" w:eastAsia="zh-CN" w:bidi="ar"/>
        </w:rPr>
        <w:t xml:space="preserve"> 项目污水站产生及排放情况一览表</w:t>
      </w:r>
    </w:p>
    <w:tbl>
      <w:tblPr>
        <w:tblStyle w:val="21"/>
        <w:tblW w:w="85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749"/>
        <w:gridCol w:w="1032"/>
        <w:gridCol w:w="912"/>
        <w:gridCol w:w="1060"/>
        <w:gridCol w:w="937"/>
        <w:gridCol w:w="1022"/>
        <w:gridCol w:w="1072"/>
        <w:gridCol w:w="898"/>
      </w:tblGrid>
      <w:tr w14:paraId="53C4F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56" w:type="dxa"/>
            <w:vMerge w:val="restart"/>
            <w:shd w:val="clear" w:color="auto" w:fill="D7D7D7" w:themeFill="background1" w:themeFillShade="D8"/>
            <w:noWrap w:val="0"/>
            <w:vAlign w:val="center"/>
          </w:tcPr>
          <w:p w14:paraId="7F8B05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主要污染物</w:t>
            </w:r>
          </w:p>
        </w:tc>
        <w:tc>
          <w:tcPr>
            <w:tcW w:w="749" w:type="dxa"/>
            <w:vMerge w:val="restart"/>
            <w:shd w:val="clear" w:color="auto" w:fill="D7D7D7" w:themeFill="background1" w:themeFillShade="D8"/>
            <w:noWrap w:val="0"/>
            <w:vAlign w:val="center"/>
          </w:tcPr>
          <w:p w14:paraId="398E105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风量m</w:t>
            </w:r>
            <w:r>
              <w:rPr>
                <w:rFonts w:hint="default" w:ascii="Times New Roman" w:hAnsi="Times New Roman" w:eastAsia="宋体" w:cs="Times New Roman"/>
                <w:b/>
                <w:bCs/>
                <w:color w:val="auto"/>
                <w:sz w:val="21"/>
                <w:szCs w:val="22"/>
                <w:highlight w:val="none"/>
                <w:vertAlign w:val="superscript"/>
                <w:lang w:val="en-US" w:eastAsia="zh-CN"/>
              </w:rPr>
              <w:t>3</w:t>
            </w:r>
            <w:r>
              <w:rPr>
                <w:rFonts w:hint="default" w:ascii="Times New Roman" w:hAnsi="Times New Roman" w:eastAsia="宋体" w:cs="Times New Roman"/>
                <w:b/>
                <w:bCs/>
                <w:color w:val="auto"/>
                <w:sz w:val="21"/>
                <w:szCs w:val="22"/>
                <w:highlight w:val="none"/>
                <w:lang w:val="en-US" w:eastAsia="zh-CN"/>
              </w:rPr>
              <w:t>/h</w:t>
            </w:r>
          </w:p>
        </w:tc>
        <w:tc>
          <w:tcPr>
            <w:tcW w:w="1944" w:type="dxa"/>
            <w:gridSpan w:val="2"/>
            <w:shd w:val="clear" w:color="auto" w:fill="D7D7D7" w:themeFill="background1" w:themeFillShade="D8"/>
            <w:noWrap w:val="0"/>
            <w:vAlign w:val="center"/>
          </w:tcPr>
          <w:p w14:paraId="41C83D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产污情况</w:t>
            </w:r>
          </w:p>
        </w:tc>
        <w:tc>
          <w:tcPr>
            <w:tcW w:w="3019" w:type="dxa"/>
            <w:gridSpan w:val="3"/>
            <w:shd w:val="clear" w:color="auto" w:fill="D7D7D7" w:themeFill="background1" w:themeFillShade="D8"/>
            <w:noWrap w:val="0"/>
            <w:vAlign w:val="center"/>
          </w:tcPr>
          <w:p w14:paraId="7EB7A0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有组织排放</w:t>
            </w:r>
          </w:p>
        </w:tc>
        <w:tc>
          <w:tcPr>
            <w:tcW w:w="1970" w:type="dxa"/>
            <w:gridSpan w:val="2"/>
            <w:shd w:val="clear" w:color="auto" w:fill="D7D7D7" w:themeFill="background1" w:themeFillShade="D8"/>
            <w:noWrap w:val="0"/>
            <w:vAlign w:val="center"/>
          </w:tcPr>
          <w:p w14:paraId="642F8E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无组织排放</w:t>
            </w:r>
          </w:p>
        </w:tc>
      </w:tr>
      <w:tr w14:paraId="37C8D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56" w:type="dxa"/>
            <w:vMerge w:val="continue"/>
            <w:shd w:val="clear" w:color="auto" w:fill="D7D7D7" w:themeFill="background1" w:themeFillShade="D8"/>
            <w:noWrap w:val="0"/>
            <w:vAlign w:val="center"/>
          </w:tcPr>
          <w:p w14:paraId="5AA9D9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p>
        </w:tc>
        <w:tc>
          <w:tcPr>
            <w:tcW w:w="749" w:type="dxa"/>
            <w:vMerge w:val="continue"/>
            <w:shd w:val="clear" w:color="auto" w:fill="D7D7D7" w:themeFill="background1" w:themeFillShade="D8"/>
            <w:noWrap w:val="0"/>
            <w:vAlign w:val="center"/>
          </w:tcPr>
          <w:p w14:paraId="3296ED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p>
        </w:tc>
        <w:tc>
          <w:tcPr>
            <w:tcW w:w="1032" w:type="dxa"/>
            <w:shd w:val="clear" w:color="auto" w:fill="D7D7D7" w:themeFill="background1" w:themeFillShade="D8"/>
            <w:noWrap w:val="0"/>
            <w:vAlign w:val="center"/>
          </w:tcPr>
          <w:p w14:paraId="1B451D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i w:val="0"/>
                <w:iCs w:val="0"/>
                <w:caps w:val="0"/>
                <w:color w:val="auto"/>
                <w:spacing w:val="0"/>
                <w:kern w:val="0"/>
                <w:sz w:val="21"/>
                <w:szCs w:val="21"/>
                <w:highlight w:val="none"/>
                <w:u w:val="none"/>
                <w:shd w:val="clear" w:fill="FFFFFF"/>
                <w:vertAlign w:val="baseline"/>
                <w:lang w:val="en-US" w:eastAsia="zh-CN" w:bidi="ar"/>
              </w:rPr>
              <w:t>产生速率（kg/h）</w:t>
            </w:r>
          </w:p>
        </w:tc>
        <w:tc>
          <w:tcPr>
            <w:tcW w:w="912" w:type="dxa"/>
            <w:shd w:val="clear" w:color="auto" w:fill="D7D7D7" w:themeFill="background1" w:themeFillShade="D8"/>
            <w:noWrap w:val="0"/>
            <w:vAlign w:val="center"/>
          </w:tcPr>
          <w:p w14:paraId="5BFEBE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产生量t/a</w:t>
            </w:r>
          </w:p>
        </w:tc>
        <w:tc>
          <w:tcPr>
            <w:tcW w:w="1060" w:type="dxa"/>
            <w:shd w:val="clear" w:color="auto" w:fill="D7D7D7" w:themeFill="background1" w:themeFillShade="D8"/>
            <w:noWrap w:val="0"/>
            <w:vAlign w:val="center"/>
          </w:tcPr>
          <w:p w14:paraId="33EE92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排放浓度mg/m</w:t>
            </w:r>
            <w:r>
              <w:rPr>
                <w:rFonts w:hint="default" w:ascii="Times New Roman" w:hAnsi="Times New Roman" w:eastAsia="宋体" w:cs="Times New Roman"/>
                <w:b/>
                <w:bCs/>
                <w:color w:val="auto"/>
                <w:sz w:val="21"/>
                <w:szCs w:val="22"/>
                <w:highlight w:val="none"/>
                <w:vertAlign w:val="superscript"/>
                <w:lang w:val="en-US" w:eastAsia="zh-CN"/>
              </w:rPr>
              <w:t>3</w:t>
            </w:r>
          </w:p>
        </w:tc>
        <w:tc>
          <w:tcPr>
            <w:tcW w:w="937" w:type="dxa"/>
            <w:shd w:val="clear" w:color="auto" w:fill="D7D7D7" w:themeFill="background1" w:themeFillShade="D8"/>
            <w:noWrap w:val="0"/>
            <w:vAlign w:val="center"/>
          </w:tcPr>
          <w:p w14:paraId="3F9307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排放量t/a</w:t>
            </w:r>
          </w:p>
        </w:tc>
        <w:tc>
          <w:tcPr>
            <w:tcW w:w="1022" w:type="dxa"/>
            <w:shd w:val="clear" w:color="auto" w:fill="D7D7D7" w:themeFill="background1" w:themeFillShade="D8"/>
            <w:noWrap w:val="0"/>
            <w:vAlign w:val="center"/>
          </w:tcPr>
          <w:p w14:paraId="701C4F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排放速率kg/h</w:t>
            </w:r>
          </w:p>
        </w:tc>
        <w:tc>
          <w:tcPr>
            <w:tcW w:w="1072" w:type="dxa"/>
            <w:shd w:val="clear" w:color="auto" w:fill="D7D7D7" w:themeFill="background1" w:themeFillShade="D8"/>
            <w:noWrap w:val="0"/>
            <w:vAlign w:val="center"/>
          </w:tcPr>
          <w:p w14:paraId="385965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排放量t/a</w:t>
            </w:r>
          </w:p>
        </w:tc>
        <w:tc>
          <w:tcPr>
            <w:tcW w:w="898" w:type="dxa"/>
            <w:shd w:val="clear" w:color="auto" w:fill="D7D7D7" w:themeFill="background1" w:themeFillShade="D8"/>
            <w:noWrap w:val="0"/>
            <w:vAlign w:val="center"/>
          </w:tcPr>
          <w:p w14:paraId="5E8451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2"/>
                <w:highlight w:val="none"/>
                <w:lang w:val="en-US" w:eastAsia="zh-CN"/>
              </w:rPr>
            </w:pPr>
            <w:r>
              <w:rPr>
                <w:rFonts w:hint="default" w:ascii="Times New Roman" w:hAnsi="Times New Roman" w:eastAsia="宋体" w:cs="Times New Roman"/>
                <w:b/>
                <w:bCs/>
                <w:color w:val="auto"/>
                <w:sz w:val="21"/>
                <w:szCs w:val="22"/>
                <w:highlight w:val="none"/>
                <w:lang w:val="en-US" w:eastAsia="zh-CN"/>
              </w:rPr>
              <w:t>排放速率kg/h</w:t>
            </w:r>
          </w:p>
        </w:tc>
      </w:tr>
      <w:tr w14:paraId="6E8AB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56" w:type="dxa"/>
            <w:noWrap w:val="0"/>
            <w:vAlign w:val="center"/>
          </w:tcPr>
          <w:p w14:paraId="672306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p>
        </w:tc>
        <w:tc>
          <w:tcPr>
            <w:tcW w:w="749" w:type="dxa"/>
            <w:vMerge w:val="restart"/>
            <w:noWrap w:val="0"/>
            <w:vAlign w:val="center"/>
          </w:tcPr>
          <w:p w14:paraId="08E352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5000</w:t>
            </w:r>
          </w:p>
        </w:tc>
        <w:tc>
          <w:tcPr>
            <w:tcW w:w="1032" w:type="dxa"/>
            <w:noWrap w:val="0"/>
            <w:vAlign w:val="center"/>
          </w:tcPr>
          <w:p w14:paraId="4B8E72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5</w:t>
            </w:r>
          </w:p>
        </w:tc>
        <w:tc>
          <w:tcPr>
            <w:tcW w:w="912" w:type="dxa"/>
            <w:noWrap w:val="0"/>
            <w:vAlign w:val="center"/>
          </w:tcPr>
          <w:p w14:paraId="24DC1C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highlight w:val="none"/>
                <w:u w:val="none"/>
                <w:shd w:val="clear" w:fill="FFFFFF"/>
                <w:vertAlign w:val="baseline"/>
                <w:lang w:val="en-US" w:eastAsia="zh-CN" w:bidi="ar"/>
              </w:rPr>
              <w:t>0.</w:t>
            </w:r>
            <w:r>
              <w:rPr>
                <w:rFonts w:hint="eastAsia" w:ascii="Times New Roman" w:hAnsi="Times New Roman" w:eastAsia="宋体" w:cs="Times New Roman"/>
                <w:b w:val="0"/>
                <w:bCs w:val="0"/>
                <w:i w:val="0"/>
                <w:iCs w:val="0"/>
                <w:caps w:val="0"/>
                <w:color w:val="auto"/>
                <w:spacing w:val="0"/>
                <w:kern w:val="0"/>
                <w:sz w:val="21"/>
                <w:szCs w:val="21"/>
                <w:highlight w:val="none"/>
                <w:u w:val="none"/>
                <w:shd w:val="clear" w:fill="FFFFFF"/>
                <w:vertAlign w:val="baseline"/>
                <w:lang w:val="en-US" w:eastAsia="zh-CN" w:bidi="ar"/>
              </w:rPr>
              <w:t>018</w:t>
            </w:r>
          </w:p>
        </w:tc>
        <w:tc>
          <w:tcPr>
            <w:tcW w:w="1060" w:type="dxa"/>
            <w:noWrap w:val="0"/>
            <w:vAlign w:val="center"/>
          </w:tcPr>
          <w:p w14:paraId="56CCE30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eastAsia" w:ascii="Times New Roman" w:hAnsi="Times New Roman" w:eastAsia="宋体" w:cs="Times New Roman"/>
                <w:color w:val="auto"/>
                <w:sz w:val="21"/>
                <w:szCs w:val="22"/>
                <w:highlight w:val="none"/>
                <w:lang w:val="en-US" w:eastAsia="zh-CN"/>
              </w:rPr>
              <w:t>0.08</w:t>
            </w:r>
          </w:p>
        </w:tc>
        <w:tc>
          <w:tcPr>
            <w:tcW w:w="937" w:type="dxa"/>
            <w:noWrap w:val="0"/>
            <w:vAlign w:val="center"/>
          </w:tcPr>
          <w:p w14:paraId="6027C2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w:t>
            </w:r>
            <w:r>
              <w:rPr>
                <w:rFonts w:hint="eastAsia" w:ascii="Times New Roman" w:hAnsi="Times New Roman" w:eastAsia="宋体" w:cs="Times New Roman"/>
                <w:color w:val="auto"/>
                <w:sz w:val="21"/>
                <w:szCs w:val="22"/>
                <w:highlight w:val="none"/>
                <w:lang w:val="en-US" w:eastAsia="zh-CN"/>
              </w:rPr>
              <w:t>34</w:t>
            </w:r>
          </w:p>
        </w:tc>
        <w:tc>
          <w:tcPr>
            <w:tcW w:w="1022" w:type="dxa"/>
            <w:noWrap w:val="0"/>
            <w:vAlign w:val="center"/>
          </w:tcPr>
          <w:p w14:paraId="271A85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w:t>
            </w:r>
            <w:r>
              <w:rPr>
                <w:rFonts w:hint="eastAsia" w:ascii="Times New Roman" w:hAnsi="Times New Roman" w:eastAsia="宋体" w:cs="Times New Roman"/>
                <w:color w:val="auto"/>
                <w:sz w:val="21"/>
                <w:szCs w:val="22"/>
                <w:highlight w:val="none"/>
                <w:lang w:val="en-US" w:eastAsia="zh-CN"/>
              </w:rPr>
              <w:t>39</w:t>
            </w:r>
          </w:p>
        </w:tc>
        <w:tc>
          <w:tcPr>
            <w:tcW w:w="1072" w:type="dxa"/>
            <w:noWrap w:val="0"/>
            <w:vAlign w:val="center"/>
          </w:tcPr>
          <w:p w14:paraId="0B721424">
            <w:pPr>
              <w:keepNext w:val="0"/>
              <w:keepLines w:val="0"/>
              <w:pageBreakBefore w:val="0"/>
              <w:widowControl w:val="0"/>
              <w:tabs>
                <w:tab w:val="left" w:pos="218"/>
              </w:tabs>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w:t>
            </w:r>
            <w:r>
              <w:rPr>
                <w:rFonts w:hint="eastAsia" w:ascii="Times New Roman" w:hAnsi="Times New Roman" w:eastAsia="宋体" w:cs="Times New Roman"/>
                <w:color w:val="auto"/>
                <w:sz w:val="21"/>
                <w:szCs w:val="22"/>
                <w:highlight w:val="none"/>
                <w:lang w:val="en-US" w:eastAsia="zh-CN"/>
              </w:rPr>
              <w:t>09</w:t>
            </w:r>
          </w:p>
        </w:tc>
        <w:tc>
          <w:tcPr>
            <w:tcW w:w="898" w:type="dxa"/>
            <w:noWrap w:val="0"/>
            <w:vAlign w:val="center"/>
          </w:tcPr>
          <w:p w14:paraId="3D0B02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0.0001</w:t>
            </w:r>
          </w:p>
        </w:tc>
      </w:tr>
      <w:tr w14:paraId="1639C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56" w:type="dxa"/>
            <w:noWrap w:val="0"/>
            <w:vAlign w:val="center"/>
          </w:tcPr>
          <w:p w14:paraId="4B6FE5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b w:val="0"/>
                <w:bCs w:val="0"/>
                <w:color w:val="auto"/>
                <w:sz w:val="21"/>
                <w:szCs w:val="21"/>
                <w:highlight w:val="none"/>
              </w:rPr>
              <w:t>H</w:t>
            </w:r>
            <w:r>
              <w:rPr>
                <w:rFonts w:hint="default" w:ascii="Times New Roman" w:hAnsi="Times New Roman" w:eastAsia="宋体" w:cs="Times New Roman"/>
                <w:b w:val="0"/>
                <w:bCs w:val="0"/>
                <w:color w:val="auto"/>
                <w:sz w:val="21"/>
                <w:szCs w:val="21"/>
                <w:highlight w:val="none"/>
                <w:vertAlign w:val="subscript"/>
              </w:rPr>
              <w:t>2</w:t>
            </w:r>
            <w:r>
              <w:rPr>
                <w:rFonts w:hint="default" w:ascii="Times New Roman" w:hAnsi="Times New Roman" w:eastAsia="宋体" w:cs="Times New Roman"/>
                <w:b w:val="0"/>
                <w:bCs w:val="0"/>
                <w:color w:val="auto"/>
                <w:sz w:val="21"/>
                <w:szCs w:val="21"/>
                <w:highlight w:val="none"/>
              </w:rPr>
              <w:t>S</w:t>
            </w:r>
          </w:p>
        </w:tc>
        <w:tc>
          <w:tcPr>
            <w:tcW w:w="749" w:type="dxa"/>
            <w:vMerge w:val="continue"/>
            <w:noWrap w:val="0"/>
            <w:vAlign w:val="center"/>
          </w:tcPr>
          <w:p w14:paraId="2CA923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p>
        </w:tc>
        <w:tc>
          <w:tcPr>
            <w:tcW w:w="1032" w:type="dxa"/>
            <w:noWrap w:val="0"/>
            <w:vAlign w:val="center"/>
          </w:tcPr>
          <w:p w14:paraId="34E50D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08</w:t>
            </w:r>
          </w:p>
        </w:tc>
        <w:tc>
          <w:tcPr>
            <w:tcW w:w="912" w:type="dxa"/>
            <w:noWrap w:val="0"/>
            <w:vAlign w:val="center"/>
          </w:tcPr>
          <w:p w14:paraId="3C2929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0007</w:t>
            </w:r>
          </w:p>
        </w:tc>
        <w:tc>
          <w:tcPr>
            <w:tcW w:w="1060" w:type="dxa"/>
            <w:noWrap w:val="0"/>
            <w:vAlign w:val="center"/>
          </w:tcPr>
          <w:p w14:paraId="6B8E1A9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eastAsia" w:ascii="Times New Roman" w:hAnsi="Times New Roman" w:eastAsia="宋体" w:cs="Times New Roman"/>
                <w:color w:val="auto"/>
                <w:sz w:val="21"/>
                <w:szCs w:val="22"/>
                <w:highlight w:val="none"/>
                <w:lang w:val="en-US" w:eastAsia="zh-CN"/>
              </w:rPr>
              <w:t>0.003</w:t>
            </w:r>
          </w:p>
        </w:tc>
        <w:tc>
          <w:tcPr>
            <w:tcW w:w="937" w:type="dxa"/>
            <w:noWrap w:val="0"/>
            <w:vAlign w:val="center"/>
          </w:tcPr>
          <w:p w14:paraId="66AB179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0.0001</w:t>
            </w:r>
            <w:r>
              <w:rPr>
                <w:rFonts w:hint="eastAsia" w:ascii="Times New Roman" w:hAnsi="Times New Roman" w:eastAsia="宋体" w:cs="Times New Roman"/>
                <w:color w:val="auto"/>
                <w:sz w:val="21"/>
                <w:szCs w:val="22"/>
                <w:highlight w:val="none"/>
                <w:lang w:val="en-US" w:eastAsia="zh-CN"/>
              </w:rPr>
              <w:t>3</w:t>
            </w:r>
          </w:p>
        </w:tc>
        <w:tc>
          <w:tcPr>
            <w:tcW w:w="1022" w:type="dxa"/>
            <w:noWrap w:val="0"/>
            <w:vAlign w:val="center"/>
          </w:tcPr>
          <w:p w14:paraId="4063D2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0.0000</w:t>
            </w:r>
            <w:r>
              <w:rPr>
                <w:rFonts w:hint="eastAsia" w:ascii="Times New Roman" w:hAnsi="Times New Roman" w:eastAsia="宋体" w:cs="Times New Roman"/>
                <w:color w:val="auto"/>
                <w:sz w:val="21"/>
                <w:szCs w:val="22"/>
                <w:highlight w:val="none"/>
                <w:lang w:val="en-US" w:eastAsia="zh-CN"/>
              </w:rPr>
              <w:t>15</w:t>
            </w:r>
          </w:p>
        </w:tc>
        <w:tc>
          <w:tcPr>
            <w:tcW w:w="1072" w:type="dxa"/>
            <w:noWrap w:val="0"/>
            <w:vAlign w:val="center"/>
          </w:tcPr>
          <w:p w14:paraId="1F8D15B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0.0000</w:t>
            </w:r>
            <w:r>
              <w:rPr>
                <w:rFonts w:hint="eastAsia" w:ascii="Times New Roman" w:hAnsi="Times New Roman" w:eastAsia="宋体" w:cs="Times New Roman"/>
                <w:color w:val="auto"/>
                <w:sz w:val="21"/>
                <w:szCs w:val="22"/>
                <w:highlight w:val="none"/>
                <w:lang w:val="en-US" w:eastAsia="zh-CN"/>
              </w:rPr>
              <w:t>35</w:t>
            </w:r>
          </w:p>
        </w:tc>
        <w:tc>
          <w:tcPr>
            <w:tcW w:w="898" w:type="dxa"/>
            <w:noWrap w:val="0"/>
            <w:vAlign w:val="center"/>
          </w:tcPr>
          <w:p w14:paraId="40470E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2"/>
                <w:highlight w:val="none"/>
                <w:lang w:val="en-US" w:eastAsia="zh-CN"/>
              </w:rPr>
            </w:pPr>
            <w:r>
              <w:rPr>
                <w:rFonts w:hint="default" w:ascii="Times New Roman" w:hAnsi="Times New Roman" w:eastAsia="宋体" w:cs="Times New Roman"/>
                <w:color w:val="auto"/>
                <w:sz w:val="21"/>
                <w:szCs w:val="22"/>
                <w:highlight w:val="none"/>
                <w:lang w:val="en-US" w:eastAsia="zh-CN"/>
              </w:rPr>
              <w:t>0.00000</w:t>
            </w:r>
            <w:r>
              <w:rPr>
                <w:rFonts w:hint="eastAsia" w:ascii="Times New Roman" w:hAnsi="Times New Roman" w:eastAsia="宋体" w:cs="Times New Roman"/>
                <w:color w:val="auto"/>
                <w:sz w:val="21"/>
                <w:szCs w:val="22"/>
                <w:highlight w:val="none"/>
                <w:lang w:val="en-US" w:eastAsia="zh-CN"/>
              </w:rPr>
              <w:t>4</w:t>
            </w:r>
          </w:p>
        </w:tc>
      </w:tr>
    </w:tbl>
    <w:p w14:paraId="6095C1E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运营期污水处理站恶臭气体经“紫外消毒+</w:t>
      </w:r>
      <w:r>
        <w:rPr>
          <w:rFonts w:hint="default" w:ascii="Times New Roman" w:hAnsi="Times New Roman" w:eastAsia="宋体" w:cs="Times New Roman"/>
          <w:color w:val="auto"/>
          <w:sz w:val="24"/>
          <w:szCs w:val="24"/>
          <w:highlight w:val="none"/>
          <w:lang w:eastAsia="zh-CN"/>
        </w:rPr>
        <w:t>活性炭吸附</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宋体" w:cs="Times New Roman"/>
          <w:color w:val="auto"/>
          <w:sz w:val="24"/>
          <w:szCs w:val="24"/>
          <w:highlight w:val="none"/>
          <w:lang w:val="en-US" w:eastAsia="zh-CN"/>
        </w:rPr>
        <w:t>处理后</w:t>
      </w:r>
      <w:r>
        <w:rPr>
          <w:rFonts w:hint="default" w:ascii="Times New Roman" w:hAnsi="Times New Roman" w:eastAsia="宋体" w:cs="Times New Roman"/>
          <w:color w:val="auto"/>
          <w:sz w:val="24"/>
          <w:szCs w:val="24"/>
          <w:highlight w:val="none"/>
          <w:lang w:eastAsia="zh-CN"/>
        </w:rPr>
        <w:t>通过</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5m高的排气筒排放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rPr>
        <w:t>H</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lang w:val="en-US" w:eastAsia="zh-CN"/>
        </w:rPr>
        <w:t>满足《恶臭污染物排放标准》（GB14554-93）中限值要求，符合《医院污水处理工程技术规范》（HJ2029-2013）要求。</w:t>
      </w:r>
    </w:p>
    <w:p w14:paraId="3C561FD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49" w:name="_Toc5465"/>
      <w:bookmarkStart w:id="1250" w:name="_Toc28666"/>
      <w:bookmarkStart w:id="1251" w:name="_Toc19212"/>
      <w:bookmarkStart w:id="1252" w:name="_Toc20608"/>
      <w:bookmarkStart w:id="1253" w:name="_Toc2049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（2）固废暂存间恶臭</w:t>
      </w:r>
      <w:bookmarkEnd w:id="1249"/>
      <w:bookmarkEnd w:id="1250"/>
      <w:bookmarkEnd w:id="1251"/>
      <w:bookmarkEnd w:id="1252"/>
      <w:bookmarkEnd w:id="1253"/>
    </w:p>
    <w:p w14:paraId="793E174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本项目在普通病区和感染楼病区设置独立的医疗废物间和生活垃圾暂存间。</w:t>
      </w:r>
    </w:p>
    <w:p w14:paraId="0D3A2CD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54" w:name="_Toc5163"/>
      <w:bookmarkStart w:id="1255" w:name="_Toc29027"/>
      <w:bookmarkStart w:id="1256" w:name="_Toc8590"/>
      <w:bookmarkStart w:id="1257" w:name="_Toc4943"/>
      <w:bookmarkStart w:id="1258" w:name="_Toc64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①普通病区固废暂存间恶臭</w:t>
      </w:r>
      <w:bookmarkEnd w:id="1254"/>
      <w:bookmarkEnd w:id="1255"/>
      <w:bookmarkEnd w:id="1256"/>
      <w:bookmarkEnd w:id="1257"/>
      <w:bookmarkEnd w:id="1258"/>
    </w:p>
    <w:p w14:paraId="533B9BC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本项目普通病区医疗废物暂存间和生活垃圾暂存间设置在后勤楼（2#楼）负一层，分区设置。</w:t>
      </w:r>
    </w:p>
    <w:p w14:paraId="5DC25B6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59" w:name="_Toc2751"/>
      <w:bookmarkStart w:id="1260" w:name="_Toc10005"/>
      <w:bookmarkStart w:id="1261" w:name="_Toc27837"/>
      <w:bookmarkStart w:id="1262" w:name="_Toc2500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1）生活垃圾暂存间</w:t>
      </w:r>
      <w:bookmarkEnd w:id="1259"/>
      <w:bookmarkEnd w:id="1260"/>
      <w:bookmarkEnd w:id="1261"/>
      <w:bookmarkEnd w:id="1262"/>
    </w:p>
    <w:p w14:paraId="57946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恶臭主要来源于垃圾收集箱，生活垃圾所产生的气体恶臭物质有两种途径：一种是垃圾成分中本身发出的异味，但不是垃圾主要的恶臭来源；另一种是有机物腐败分解产生的恶臭气体，是垃圾恶臭的主要来源，在微生物作用下的分解产生恶臭，同时有机物腐败产生的恶臭程度与季节有很大的关系，在夏季气温较高时有机物极易腐败，此时从垃圾中散发的恶臭气体明显比冬季强烈。</w:t>
      </w:r>
    </w:p>
    <w:p w14:paraId="537903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据资料调查，预测该项目恶臭的主要成分为氨、硫化氢和甲硫醇、三甲胺等脂肪族类物质。恶臭是一个感官性指标，难以定量，因此本次环评仅对恶臭进行定性描述分析，在垃圾的运转过程中，部分易腐败的有机垃圾由于其分解而散发恶臭并孳生蚊蝇，对周边环境有一定的影响，表现为无组织排放，垃圾日产日清，收集箱设置在通风条件良好地方，对环境影响较小。</w:t>
      </w:r>
    </w:p>
    <w:p w14:paraId="0AE2236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63" w:name="_Toc24022"/>
      <w:bookmarkStart w:id="1264" w:name="_Toc9523"/>
      <w:bookmarkStart w:id="1265" w:name="_Toc461"/>
      <w:bookmarkStart w:id="1266" w:name="_Toc2444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2）医废暂存间恶臭</w:t>
      </w:r>
      <w:bookmarkEnd w:id="1263"/>
      <w:bookmarkEnd w:id="1264"/>
      <w:bookmarkEnd w:id="1265"/>
      <w:bookmarkEnd w:id="1266"/>
    </w:p>
    <w:p w14:paraId="38EA6765">
      <w:pPr>
        <w:spacing w:line="360" w:lineRule="auto"/>
        <w:ind w:firstLine="48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医疗废物暂存间内产生的恶臭（以臭气浓度表征）</w:t>
      </w:r>
      <w:r>
        <w:rPr>
          <w:rFonts w:hint="default" w:ascii="Times New Roman" w:hAnsi="Times New Roman" w:eastAsia="宋体" w:cs="Times New Roman"/>
          <w:color w:val="auto"/>
          <w:sz w:val="24"/>
          <w:szCs w:val="24"/>
          <w:highlight w:val="none"/>
          <w:lang w:val="en-US" w:eastAsia="zh-CN"/>
        </w:rPr>
        <w:t>通</w:t>
      </w:r>
      <w:r>
        <w:rPr>
          <w:rFonts w:hint="default" w:ascii="Times New Roman" w:hAnsi="Times New Roman" w:eastAsia="宋体" w:cs="Times New Roman"/>
          <w:color w:val="auto"/>
          <w:sz w:val="24"/>
          <w:szCs w:val="24"/>
          <w:highlight w:val="none"/>
          <w:lang w:eastAsia="zh-CN"/>
        </w:rPr>
        <w:t>过对暂存的废物进行袋装或桶装密闭暂存、加强暂存间内通风、缩短暂存间内废物的存储时间（</w:t>
      </w:r>
      <w:r>
        <w:rPr>
          <w:rFonts w:hint="default" w:ascii="Times New Roman" w:hAnsi="Times New Roman" w:eastAsia="宋体" w:cs="Times New Roman"/>
          <w:color w:val="auto"/>
          <w:sz w:val="24"/>
          <w:szCs w:val="24"/>
          <w:highlight w:val="none"/>
        </w:rPr>
        <w:t>一般不超过48小时</w:t>
      </w:r>
      <w:r>
        <w:rPr>
          <w:rFonts w:hint="default" w:ascii="Times New Roman" w:hAnsi="Times New Roman" w:eastAsia="宋体" w:cs="Times New Roman"/>
          <w:color w:val="auto"/>
          <w:sz w:val="24"/>
          <w:szCs w:val="24"/>
          <w:highlight w:val="none"/>
          <w:lang w:eastAsia="zh-CN"/>
        </w:rPr>
        <w:t>）、签订危废处理协议并及时转运处置、定期进行消毒、</w:t>
      </w:r>
      <w:r>
        <w:rPr>
          <w:rFonts w:hint="default" w:ascii="Times New Roman" w:hAnsi="Times New Roman" w:eastAsia="宋体" w:cs="Times New Roman"/>
          <w:color w:val="auto"/>
          <w:sz w:val="24"/>
          <w:szCs w:val="24"/>
          <w:highlight w:val="none"/>
          <w:lang w:val="en-US" w:eastAsia="zh-CN"/>
        </w:rPr>
        <w:t>紫外灭菌</w:t>
      </w:r>
      <w:r>
        <w:rPr>
          <w:rFonts w:hint="default" w:ascii="Times New Roman" w:hAnsi="Times New Roman" w:eastAsia="宋体" w:cs="Times New Roman"/>
          <w:color w:val="auto"/>
          <w:sz w:val="24"/>
          <w:szCs w:val="24"/>
          <w:highlight w:val="none"/>
          <w:lang w:eastAsia="zh-CN"/>
        </w:rPr>
        <w:t>等措施后臭气浓度对环境的影响较小。</w:t>
      </w:r>
    </w:p>
    <w:p w14:paraId="2EA27BE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67" w:name="_Toc12924"/>
      <w:bookmarkStart w:id="1268" w:name="_Toc22088"/>
      <w:bookmarkStart w:id="1269" w:name="_Toc10815"/>
      <w:bookmarkStart w:id="1270" w:name="_Toc11858"/>
      <w:bookmarkStart w:id="1271" w:name="_Toc229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②感染病区固废暂存间恶臭</w:t>
      </w:r>
      <w:bookmarkEnd w:id="1267"/>
      <w:bookmarkEnd w:id="1268"/>
      <w:bookmarkEnd w:id="1269"/>
      <w:bookmarkEnd w:id="1270"/>
      <w:bookmarkEnd w:id="1271"/>
    </w:p>
    <w:p w14:paraId="21AFAF8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本项目普通病区医疗废物暂存间和生活垃圾暂存间设置在感染楼和发热楼（3#和4#楼）地下一层。在垃圾、医疗废物的暂存过程中，会产生异味，主要为恶臭污染物。</w:t>
      </w:r>
    </w:p>
    <w:p w14:paraId="2802CB2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治理措施：医疗废物暂存间和生活垃圾地面通过每天清洁和消毒,医疗废物通过专用容器及防漏胶袋密封，对病理性医疗废物采用冷冻柜储存，臭气溢出极少，医疗废物暂存时间不超过2天，定期送有医废处理资质的单位集中收集处置。</w:t>
      </w:r>
    </w:p>
    <w:p w14:paraId="40EB8CC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其他要求：</w:t>
      </w:r>
    </w:p>
    <w:p w14:paraId="4794F01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同时，本次评价还要求建设单位对生活垃圾暂存间和医疗废物暂存间密闭设置，运营期加强管理，生活垃圾禁止混入医疗废物，保持生活垃圾暂存间清洁干净，专人负责清理和喷洒消毒药水，生活垃圾做到日产日清。医疗废物暂存点设置需符合《医疗废物管理条例》和《医疗废物集中处置技术规范》的有关规定。</w:t>
      </w:r>
    </w:p>
    <w:p w14:paraId="7C81FD7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院应对医疗废物打包密封，低温暂存，医疗废物暂存时间不超过2天(医疗废物暂存间暂存的医疗废物集中交由有资质的医疗废物处置单位收集)，对暂存点定期喷洒除臭剂，消除垃圾臭味。采用紫外杀菌，并定期喷洒消毒药水。</w:t>
      </w:r>
    </w:p>
    <w:p w14:paraId="14C826E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通过以上治理措施，垃圾收集点产生的恶臭较小，对周围环境影响也较小。</w:t>
      </w:r>
    </w:p>
    <w:p w14:paraId="2C1A6BF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72" w:name="_Toc10974"/>
      <w:bookmarkStart w:id="1273" w:name="_Toc15815"/>
      <w:bookmarkStart w:id="1274" w:name="_Toc20506"/>
      <w:bookmarkStart w:id="1275" w:name="_Toc3109"/>
      <w:bookmarkStart w:id="1276" w:name="_Toc1926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（3）食堂油烟</w:t>
      </w:r>
      <w:bookmarkEnd w:id="1272"/>
      <w:bookmarkEnd w:id="1273"/>
      <w:bookmarkEnd w:id="1274"/>
      <w:bookmarkEnd w:id="1275"/>
      <w:bookmarkEnd w:id="1276"/>
    </w:p>
    <w:p w14:paraId="4332206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项目食堂位于后勤综合楼2楼，设置4个基准灶头，2个蒸锅。食堂在准备餐食时将产生一定量油烟，医院用餐人数按4000人次/d 计，食用油消耗系数按30g/人·d计，油烟挥发量按2.8%计，则项目食堂油烟产生量3.36kg/d（1226.4kg/a）。每天做饭时间按6小时计，油烟净化器风量为80000m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/h，油烟处理效率可达75%以上。油烟经灶台上集气罩收集，油烟净化器处理后由后勤楼楼顶排放，则油烟排放浓度1.77mg/m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，排放量约0.31t/a。能够满足《饮食业油烟排放标准（试行）》（GB18483-2001）油烟最高允许排放浓度限值。</w:t>
      </w:r>
    </w:p>
    <w:p w14:paraId="5A1D47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0"/>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pPr>
      <w:bookmarkStart w:id="1277" w:name="_Toc21880"/>
      <w:bookmarkStart w:id="1278" w:name="_Toc15502"/>
      <w:bookmarkStart w:id="1279" w:name="_Toc12825"/>
      <w:bookmarkStart w:id="1280" w:name="_Toc20910"/>
      <w:bookmarkStart w:id="1281" w:name="_Toc22753"/>
      <w:r>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t>（4）汽车尾气</w:t>
      </w:r>
      <w:bookmarkEnd w:id="1277"/>
      <w:bookmarkEnd w:id="1278"/>
      <w:bookmarkEnd w:id="1279"/>
      <w:bookmarkEnd w:id="1280"/>
      <w:bookmarkEnd w:id="1281"/>
    </w:p>
    <w:p w14:paraId="0AE40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汽车进出停车场过程中将产生汽车尾气，主要集中地下车库，其主要污染物为CO、NOx 及 THC。本项目共有机动车停车位1428个，全部为地下停车位。</w:t>
      </w:r>
    </w:p>
    <w:p w14:paraId="796E0A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根据“环境保护实用数据手册”和“大气污染物分析”等资料，本次环境影响评价采用单车位系数法进行估算项目区域停车位汽车排放情况，其单车排放估算公式如下</w:t>
      </w:r>
    </w:p>
    <w:p w14:paraId="3E739B2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rPr>
        <w:drawing>
          <wp:inline distT="0" distB="0" distL="114300" distR="114300">
            <wp:extent cx="1715135" cy="416560"/>
            <wp:effectExtent l="0" t="0" r="18415" b="25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1715135" cy="416560"/>
                    </a:xfrm>
                    <a:prstGeom prst="rect">
                      <a:avLst/>
                    </a:prstGeom>
                    <a:noFill/>
                    <a:ln>
                      <a:noFill/>
                    </a:ln>
                  </pic:spPr>
                </pic:pic>
              </a:graphicData>
            </a:graphic>
          </wp:inline>
        </w:drawing>
      </w:r>
    </w:p>
    <w:p w14:paraId="659E064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式中：Q——污染物排放量（kg）；N——车位总数（个）； </w:t>
      </w:r>
    </w:p>
    <w:p w14:paraId="5DCF95A4">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T——单车位每天平均使用时间（h）取值可参照表 3.2-</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14:paraId="7CA995C3">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C——污染物单车位排放系数（g/h），取值可参照表 3.2-</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p>
    <w:p w14:paraId="3E13C880">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表3.2-</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3</w:t>
      </w:r>
      <w:r>
        <w:rPr>
          <w:rFonts w:hint="default" w:ascii="Times New Roman" w:hAnsi="Times New Roman" w:eastAsia="宋体" w:cs="Times New Roman"/>
          <w:b/>
          <w:bCs/>
          <w:color w:val="auto"/>
          <w:kern w:val="0"/>
          <w:sz w:val="21"/>
          <w:szCs w:val="21"/>
          <w:lang w:val="en-US" w:eastAsia="zh-CN" w:bidi="ar"/>
        </w:rPr>
        <w:t>不同类型停车场单车位每天平均使用时间</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3463"/>
        <w:gridCol w:w="2839"/>
      </w:tblGrid>
      <w:tr w14:paraId="6DB71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D7D7D7" w:themeFill="background1" w:themeFillShade="D8"/>
            <w:vAlign w:val="center"/>
          </w:tcPr>
          <w:p w14:paraId="758C52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序号</w:t>
            </w:r>
          </w:p>
        </w:tc>
        <w:tc>
          <w:tcPr>
            <w:tcW w:w="3463" w:type="dxa"/>
            <w:shd w:val="clear" w:color="auto" w:fill="D7D7D7" w:themeFill="background1" w:themeFillShade="D8"/>
            <w:vAlign w:val="center"/>
          </w:tcPr>
          <w:p w14:paraId="2E7902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停车场类型</w:t>
            </w:r>
          </w:p>
        </w:tc>
        <w:tc>
          <w:tcPr>
            <w:tcW w:w="2839" w:type="dxa"/>
            <w:shd w:val="clear" w:color="auto" w:fill="D7D7D7" w:themeFill="background1" w:themeFillShade="D8"/>
            <w:vAlign w:val="center"/>
          </w:tcPr>
          <w:p w14:paraId="3E97FD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T</w:t>
            </w:r>
          </w:p>
        </w:tc>
      </w:tr>
      <w:tr w14:paraId="10E6E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14:paraId="5ECCFA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1</w:t>
            </w:r>
          </w:p>
        </w:tc>
        <w:tc>
          <w:tcPr>
            <w:tcW w:w="3463" w:type="dxa"/>
            <w:vAlign w:val="center"/>
          </w:tcPr>
          <w:p w14:paraId="37F2C7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繁华商业区、大型超市、大型农贸市场、知名医院等</w:t>
            </w:r>
          </w:p>
        </w:tc>
        <w:tc>
          <w:tcPr>
            <w:tcW w:w="2839" w:type="dxa"/>
            <w:vAlign w:val="center"/>
          </w:tcPr>
          <w:p w14:paraId="0A2BEA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8h</w:t>
            </w:r>
          </w:p>
        </w:tc>
      </w:tr>
      <w:tr w14:paraId="5EE16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14:paraId="4941A0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2</w:t>
            </w:r>
          </w:p>
        </w:tc>
        <w:tc>
          <w:tcPr>
            <w:tcW w:w="3463" w:type="dxa"/>
            <w:vAlign w:val="center"/>
          </w:tcPr>
          <w:p w14:paraId="24F961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办公社区</w:t>
            </w:r>
          </w:p>
        </w:tc>
        <w:tc>
          <w:tcPr>
            <w:tcW w:w="2839" w:type="dxa"/>
            <w:vAlign w:val="center"/>
          </w:tcPr>
          <w:p w14:paraId="5086DB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2h</w:t>
            </w:r>
          </w:p>
        </w:tc>
      </w:tr>
      <w:tr w14:paraId="2D548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14:paraId="523A67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3</w:t>
            </w:r>
          </w:p>
        </w:tc>
        <w:tc>
          <w:tcPr>
            <w:tcW w:w="3463" w:type="dxa"/>
            <w:vAlign w:val="center"/>
          </w:tcPr>
          <w:p w14:paraId="46D015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居住区</w:t>
            </w:r>
          </w:p>
        </w:tc>
        <w:tc>
          <w:tcPr>
            <w:tcW w:w="2839" w:type="dxa"/>
            <w:vAlign w:val="center"/>
          </w:tcPr>
          <w:p w14:paraId="3540EC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1h</w:t>
            </w:r>
          </w:p>
        </w:tc>
      </w:tr>
      <w:tr w14:paraId="4B9BC6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14:paraId="48ECD4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4</w:t>
            </w:r>
          </w:p>
        </w:tc>
        <w:tc>
          <w:tcPr>
            <w:tcW w:w="3463" w:type="dxa"/>
            <w:vAlign w:val="center"/>
          </w:tcPr>
          <w:p w14:paraId="06C542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除上述外</w:t>
            </w:r>
          </w:p>
        </w:tc>
        <w:tc>
          <w:tcPr>
            <w:tcW w:w="2839" w:type="dxa"/>
            <w:vAlign w:val="center"/>
          </w:tcPr>
          <w:p w14:paraId="55F424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4h</w:t>
            </w:r>
          </w:p>
        </w:tc>
      </w:tr>
    </w:tbl>
    <w:p w14:paraId="163227AC">
      <w:pPr>
        <w:keepNext w:val="0"/>
        <w:keepLines w:val="0"/>
        <w:pageBreakBefore w:val="0"/>
        <w:widowControl/>
        <w:suppressLineNumbers w:val="0"/>
        <w:kinsoku/>
        <w:wordWrap/>
        <w:overflowPunct/>
        <w:topLinePunct w:val="0"/>
        <w:autoSpaceDE/>
        <w:autoSpaceDN/>
        <w:bidi w:val="0"/>
        <w:adjustRightInd/>
        <w:snapToGrid/>
        <w:ind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 3.2-</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4</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 xml:space="preserve"> 单车位汽车尾气排放系数</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14:paraId="4B69B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7D7D7" w:themeFill="background1" w:themeFillShade="D8"/>
            <w:vAlign w:val="center"/>
          </w:tcPr>
          <w:p w14:paraId="1B1790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污染物</w:t>
            </w:r>
          </w:p>
        </w:tc>
        <w:tc>
          <w:tcPr>
            <w:tcW w:w="2129" w:type="dxa"/>
            <w:shd w:val="clear" w:color="auto" w:fill="D7D7D7" w:themeFill="background1" w:themeFillShade="D8"/>
            <w:vAlign w:val="center"/>
          </w:tcPr>
          <w:p w14:paraId="217C3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CO</w:t>
            </w:r>
          </w:p>
        </w:tc>
        <w:tc>
          <w:tcPr>
            <w:tcW w:w="2129" w:type="dxa"/>
            <w:shd w:val="clear" w:color="auto" w:fill="D7D7D7" w:themeFill="background1" w:themeFillShade="D8"/>
            <w:vAlign w:val="center"/>
          </w:tcPr>
          <w:p w14:paraId="52EF3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NOx</w:t>
            </w:r>
          </w:p>
        </w:tc>
        <w:tc>
          <w:tcPr>
            <w:tcW w:w="2129" w:type="dxa"/>
            <w:shd w:val="clear" w:color="auto" w:fill="D7D7D7" w:themeFill="background1" w:themeFillShade="D8"/>
            <w:vAlign w:val="center"/>
          </w:tcPr>
          <w:p w14:paraId="48D67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THC</w:t>
            </w:r>
          </w:p>
        </w:tc>
      </w:tr>
      <w:tr w14:paraId="007406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541BAA0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排放强度（g/h）</w:t>
            </w:r>
          </w:p>
        </w:tc>
        <w:tc>
          <w:tcPr>
            <w:tcW w:w="2129" w:type="dxa"/>
            <w:vAlign w:val="center"/>
          </w:tcPr>
          <w:p w14:paraId="2E355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3.8</w:t>
            </w:r>
          </w:p>
        </w:tc>
        <w:tc>
          <w:tcPr>
            <w:tcW w:w="2129" w:type="dxa"/>
            <w:vAlign w:val="center"/>
          </w:tcPr>
          <w:p w14:paraId="3DAA3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1.6</w:t>
            </w:r>
          </w:p>
        </w:tc>
        <w:tc>
          <w:tcPr>
            <w:tcW w:w="2129" w:type="dxa"/>
            <w:vAlign w:val="center"/>
          </w:tcPr>
          <w:p w14:paraId="24760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0.25</w:t>
            </w:r>
          </w:p>
        </w:tc>
      </w:tr>
    </w:tbl>
    <w:p w14:paraId="01D10D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项目共设置地下停机动车车位1428个，</w:t>
      </w:r>
      <w:r>
        <w:rPr>
          <w:rFonts w:hint="default" w:ascii="Times New Roman" w:hAnsi="Times New Roman" w:eastAsia="宋体" w:cs="Times New Roman"/>
          <w:color w:val="auto"/>
          <w:kern w:val="0"/>
          <w:sz w:val="24"/>
          <w:szCs w:val="24"/>
          <w:lang w:val="en-US" w:eastAsia="zh-CN" w:bidi="ar"/>
        </w:rPr>
        <w:t>本次评价参照除上述外：停车场单车位每天平均使用 8h 进行核算，根据上述公式计算，项目地下停车位停放车辆尾气排放污染物量详见表 3.2-</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p>
    <w:p w14:paraId="26713864">
      <w:pPr>
        <w:keepNext w:val="0"/>
        <w:keepLines w:val="0"/>
        <w:pageBreakBefore w:val="0"/>
        <w:widowControl/>
        <w:suppressLineNumbers w:val="0"/>
        <w:kinsoku/>
        <w:wordWrap/>
        <w:overflowPunct/>
        <w:topLinePunct w:val="0"/>
        <w:autoSpaceDE/>
        <w:autoSpaceDN/>
        <w:bidi w:val="0"/>
        <w:adjustRightInd/>
        <w:snapToGrid/>
        <w:ind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 3.2-</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5</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 xml:space="preserve"> </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 xml:space="preserve"> </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项目地下停车场大气污染物排放</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14:paraId="3AFBC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7D7D7" w:themeFill="background1" w:themeFillShade="D8"/>
            <w:vAlign w:val="center"/>
          </w:tcPr>
          <w:p w14:paraId="05FAD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项目</w:t>
            </w:r>
          </w:p>
        </w:tc>
        <w:tc>
          <w:tcPr>
            <w:tcW w:w="2129" w:type="dxa"/>
            <w:shd w:val="clear" w:color="auto" w:fill="D7D7D7" w:themeFill="background1" w:themeFillShade="D8"/>
            <w:vAlign w:val="center"/>
          </w:tcPr>
          <w:p w14:paraId="48CD0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CO</w:t>
            </w:r>
          </w:p>
        </w:tc>
        <w:tc>
          <w:tcPr>
            <w:tcW w:w="2129" w:type="dxa"/>
            <w:shd w:val="clear" w:color="auto" w:fill="D7D7D7" w:themeFill="background1" w:themeFillShade="D8"/>
            <w:vAlign w:val="center"/>
          </w:tcPr>
          <w:p w14:paraId="2BC99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NOx</w:t>
            </w:r>
          </w:p>
        </w:tc>
        <w:tc>
          <w:tcPr>
            <w:tcW w:w="2129" w:type="dxa"/>
            <w:shd w:val="clear" w:color="auto" w:fill="D7D7D7" w:themeFill="background1" w:themeFillShade="D8"/>
            <w:vAlign w:val="center"/>
          </w:tcPr>
          <w:p w14:paraId="27506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THC</w:t>
            </w:r>
          </w:p>
        </w:tc>
      </w:tr>
      <w:tr w14:paraId="02B94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3930818C">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产生污染物（kg/d）</w:t>
            </w:r>
          </w:p>
        </w:tc>
        <w:tc>
          <w:tcPr>
            <w:tcW w:w="2129" w:type="dxa"/>
            <w:vAlign w:val="center"/>
          </w:tcPr>
          <w:p w14:paraId="71C0F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43.41</w:t>
            </w:r>
          </w:p>
        </w:tc>
        <w:tc>
          <w:tcPr>
            <w:tcW w:w="2129" w:type="dxa"/>
            <w:vAlign w:val="center"/>
          </w:tcPr>
          <w:p w14:paraId="750C6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18.28</w:t>
            </w:r>
          </w:p>
        </w:tc>
        <w:tc>
          <w:tcPr>
            <w:tcW w:w="2129" w:type="dxa"/>
            <w:vAlign w:val="center"/>
          </w:tcPr>
          <w:p w14:paraId="3B06C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2.86</w:t>
            </w:r>
          </w:p>
        </w:tc>
      </w:tr>
      <w:tr w14:paraId="6B9683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37F94908">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产生污染物（t/a）</w:t>
            </w:r>
          </w:p>
        </w:tc>
        <w:tc>
          <w:tcPr>
            <w:tcW w:w="2129" w:type="dxa"/>
            <w:vAlign w:val="center"/>
          </w:tcPr>
          <w:p w14:paraId="22FA2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15.84</w:t>
            </w:r>
          </w:p>
        </w:tc>
        <w:tc>
          <w:tcPr>
            <w:tcW w:w="2129" w:type="dxa"/>
            <w:vAlign w:val="center"/>
          </w:tcPr>
          <w:p w14:paraId="32CEB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6.67</w:t>
            </w:r>
          </w:p>
        </w:tc>
        <w:tc>
          <w:tcPr>
            <w:tcW w:w="2129" w:type="dxa"/>
            <w:vAlign w:val="center"/>
          </w:tcPr>
          <w:p w14:paraId="71388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1.04</w:t>
            </w:r>
          </w:p>
        </w:tc>
      </w:tr>
    </w:tbl>
    <w:p w14:paraId="1F7753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为了减少地下车库汽车尾气对环境的污染，项目地下车库设置机械排风系统，排风井配合周边景观进行设计。</w:t>
      </w:r>
    </w:p>
    <w:p w14:paraId="754D1C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82" w:name="_Toc16729"/>
      <w:bookmarkStart w:id="1283" w:name="_Toc4866"/>
      <w:bookmarkStart w:id="1284" w:name="_Toc9128"/>
      <w:bookmarkStart w:id="1285" w:name="_Toc1543"/>
      <w:bookmarkStart w:id="1286" w:name="_Toc1555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（5）备用柴油发电机废气</w:t>
      </w:r>
      <w:bookmarkEnd w:id="1282"/>
      <w:bookmarkEnd w:id="1283"/>
      <w:bookmarkEnd w:id="1284"/>
      <w:bookmarkEnd w:id="1285"/>
      <w:bookmarkEnd w:id="1286"/>
    </w:p>
    <w:p w14:paraId="5653478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本项目2#楼负一层设有1台1200KW 备用柴油发电机，仅停电时供手术室和电梯、照明使用。燃料采用0#柴油，耗油率取220g/h·kw。由于项目采用城市电网供电，供电情况比较正常，备用柴油发电机的启动次数不多，备用电源工作时间按每月工作一次，每次最长工作4小时计，且备用发电机自带过滤网消烟装置，则发电机在年耗油量约为12.67t，据其耗油量可计算出柴油发电机组的大气污染物排放量。根据《大气污染工程师手册》，当空气过剩系数为1时，1kg柴油产生的烟气量约为11N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。一般柴油发电机空气过剩系数为1.8，则发电机每燃烧1kg柴油产生的烟气量为11×1.8≈19.8Nm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，则每年产生的烟气量为250866Nm3。根据发电机运行污染物排放系数为：SO2产污系数为4g/L，NOx产污系数为2.56g/L，烟尘产污系数为0.714g/L。经计算，拟建项目产生的NO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X</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量为59.41kg/a、SO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量为38.16kg/a、烟尘10.64kg/a。发电机污染物产生及排放情况见表3.2-</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6</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p>
    <w:p w14:paraId="7C34C39D">
      <w:pPr>
        <w:keepNext w:val="0"/>
        <w:keepLines w:val="0"/>
        <w:widowControl/>
        <w:suppressLineNumbers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表3.2-</w:t>
      </w:r>
      <w:r>
        <w:rPr>
          <w:rFonts w:hint="eastAsia" w:ascii="Times New Roman" w:hAnsi="Times New Roman" w:eastAsia="宋体" w:cs="Times New Roman"/>
          <w:b/>
          <w:bCs/>
          <w:color w:val="auto"/>
          <w:kern w:val="0"/>
          <w:sz w:val="21"/>
          <w:szCs w:val="21"/>
          <w:lang w:val="en-US" w:eastAsia="zh-CN" w:bidi="ar"/>
        </w:rPr>
        <w:t xml:space="preserve">6 </w:t>
      </w:r>
      <w:r>
        <w:rPr>
          <w:rFonts w:hint="default" w:ascii="Times New Roman" w:hAnsi="Times New Roman" w:eastAsia="宋体" w:cs="Times New Roman"/>
          <w:b/>
          <w:bCs/>
          <w:color w:val="auto"/>
          <w:kern w:val="0"/>
          <w:sz w:val="21"/>
          <w:szCs w:val="21"/>
          <w:lang w:val="en-US" w:eastAsia="zh-CN" w:bidi="ar"/>
        </w:rPr>
        <w:t xml:space="preserve"> 发电机废气尾气排放情况一览表</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10BA2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shd w:val="clear" w:color="auto" w:fill="D7D7D7" w:themeFill="background1" w:themeFillShade="D8"/>
            <w:vAlign w:val="center"/>
          </w:tcPr>
          <w:p w14:paraId="70727C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地下车库</w:t>
            </w:r>
          </w:p>
        </w:tc>
        <w:tc>
          <w:tcPr>
            <w:tcW w:w="2130" w:type="dxa"/>
            <w:shd w:val="clear" w:color="auto" w:fill="D7D7D7" w:themeFill="background1" w:themeFillShade="D8"/>
            <w:vAlign w:val="center"/>
          </w:tcPr>
          <w:p w14:paraId="09F8C5F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二氧化硫</w:t>
            </w:r>
          </w:p>
        </w:tc>
        <w:tc>
          <w:tcPr>
            <w:tcW w:w="2131" w:type="dxa"/>
            <w:shd w:val="clear" w:color="auto" w:fill="D7D7D7" w:themeFill="background1" w:themeFillShade="D8"/>
            <w:vAlign w:val="center"/>
          </w:tcPr>
          <w:p w14:paraId="28A481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氮氧化物</w:t>
            </w:r>
          </w:p>
        </w:tc>
        <w:tc>
          <w:tcPr>
            <w:tcW w:w="2131" w:type="dxa"/>
            <w:shd w:val="clear" w:color="auto" w:fill="D7D7D7" w:themeFill="background1" w:themeFillShade="D8"/>
            <w:vAlign w:val="center"/>
          </w:tcPr>
          <w:p w14:paraId="51CDD3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烟尘</w:t>
            </w:r>
          </w:p>
        </w:tc>
      </w:tr>
      <w:tr w14:paraId="5EF02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565A3D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排放量（kg/a）</w:t>
            </w:r>
          </w:p>
        </w:tc>
        <w:tc>
          <w:tcPr>
            <w:tcW w:w="2130" w:type="dxa"/>
            <w:vAlign w:val="center"/>
          </w:tcPr>
          <w:p w14:paraId="1A5D91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59.62</w:t>
            </w:r>
          </w:p>
        </w:tc>
        <w:tc>
          <w:tcPr>
            <w:tcW w:w="2131" w:type="dxa"/>
            <w:vAlign w:val="center"/>
          </w:tcPr>
          <w:p w14:paraId="273CF9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38.16</w:t>
            </w:r>
          </w:p>
        </w:tc>
        <w:tc>
          <w:tcPr>
            <w:tcW w:w="2131" w:type="dxa"/>
            <w:vAlign w:val="center"/>
          </w:tcPr>
          <w:p w14:paraId="62C0FE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10.64</w:t>
            </w:r>
          </w:p>
        </w:tc>
      </w:tr>
      <w:tr w14:paraId="304E3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07C0FA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排放量（mg/m</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2130" w:type="dxa"/>
            <w:vAlign w:val="center"/>
          </w:tcPr>
          <w:p w14:paraId="1771B3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237.66</w:t>
            </w:r>
          </w:p>
        </w:tc>
        <w:tc>
          <w:tcPr>
            <w:tcW w:w="2131" w:type="dxa"/>
            <w:vAlign w:val="center"/>
          </w:tcPr>
          <w:p w14:paraId="29307A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152.11</w:t>
            </w:r>
          </w:p>
        </w:tc>
        <w:tc>
          <w:tcPr>
            <w:tcW w:w="2131" w:type="dxa"/>
            <w:vAlign w:val="center"/>
          </w:tcPr>
          <w:p w14:paraId="302448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42.41</w:t>
            </w:r>
          </w:p>
        </w:tc>
      </w:tr>
    </w:tbl>
    <w:p w14:paraId="76A5642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柴油发电机设备自带消烟除尘系统，对烟尘有一定的净化作用，处理效率按50%计。根据国家环境保护总局《关于柴油发电机排气执行标准的复函》（环函[2005]350 号），备用发电机尾气排放标准执行《大气污染物综合排放标准》（GB16297-1996）中新污染源大气污染物排放限值，即SO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≤550mg/m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、NO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X</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≤240mg/m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、烟尘≤120mg/m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和林格曼黑度小于1级，从上表可以看出，本柴油发电机尾气污染物排放浓度低于上述标准，柴油发电机组的燃烧废气经自带净化器处理后引至楼顶排放。</w:t>
      </w:r>
    </w:p>
    <w:p w14:paraId="56CAFBB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经以上措施处理后，备用柴油发电机废气对居民影响不明显，对环境空气质量影响较小。</w:t>
      </w:r>
    </w:p>
    <w:p w14:paraId="15F75B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87" w:name="_Toc18935"/>
      <w:bookmarkStart w:id="1288" w:name="_Toc12683"/>
      <w:bookmarkStart w:id="1289" w:name="_Toc21395"/>
      <w:bookmarkStart w:id="1290" w:name="_Toc11088"/>
      <w:bookmarkStart w:id="1291" w:name="_Toc1404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（6）</w:t>
      </w:r>
      <w:bookmarkEnd w:id="1287"/>
      <w:bookmarkEnd w:id="1288"/>
      <w:bookmarkEnd w:id="1289"/>
      <w:bookmarkEnd w:id="1290"/>
      <w:bookmarkEnd w:id="1291"/>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中药熬制异味</w:t>
      </w:r>
    </w:p>
    <w:p w14:paraId="4B490DB9">
      <w:pPr>
        <w:spacing w:line="360" w:lineRule="auto"/>
        <w:ind w:firstLine="480"/>
        <w:rPr>
          <w:rFonts w:hint="eastAsia"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项目在门诊楼设置煎药室，中药熬制过程中会产生一定的中药气味，医院煎药室规定只处理不含毒性的药材，煎药室产生异味不会对医院就医人员及医护人员产生毒害作用。煎药室设置机械抽排风系统（换气扇），煎药异味经靠近煎药房窗户设置的机械抽排风系统（换气扇）排放后经大气自然稀释，对周边环境影响较小。</w:t>
      </w:r>
    </w:p>
    <w:p w14:paraId="3FEFED7C">
      <w:pPr>
        <w:pStyle w:val="8"/>
        <w:bidi w:val="0"/>
        <w:outlineLvl w:val="2"/>
        <w:rPr>
          <w:rFonts w:hint="default" w:ascii="Times New Roman" w:hAnsi="Times New Roman" w:eastAsia="宋体" w:cs="Times New Roman"/>
          <w:color w:val="auto"/>
          <w:sz w:val="24"/>
          <w:szCs w:val="24"/>
        </w:rPr>
      </w:pPr>
      <w:bookmarkStart w:id="1292" w:name="_Toc9457"/>
      <w:bookmarkStart w:id="1293" w:name="_Toc5422"/>
      <w:bookmarkStart w:id="1294" w:name="_Toc22668"/>
      <w:bookmarkStart w:id="1295" w:name="_Toc18323"/>
      <w:r>
        <w:rPr>
          <w:rFonts w:hint="default" w:ascii="Times New Roman" w:hAnsi="Times New Roman" w:eastAsia="宋体" w:cs="Times New Roman"/>
          <w:color w:val="auto"/>
          <w:sz w:val="24"/>
          <w:szCs w:val="24"/>
          <w:lang w:val="en-US" w:eastAsia="zh-CN"/>
        </w:rPr>
        <w:t>3.2.3.2 废水</w:t>
      </w:r>
      <w:bookmarkEnd w:id="1292"/>
      <w:bookmarkEnd w:id="1293"/>
      <w:bookmarkEnd w:id="1294"/>
      <w:bookmarkEnd w:id="1295"/>
      <w:r>
        <w:rPr>
          <w:rFonts w:hint="default" w:ascii="Times New Roman" w:hAnsi="Times New Roman" w:eastAsia="宋体" w:cs="Times New Roman"/>
          <w:color w:val="auto"/>
          <w:sz w:val="24"/>
          <w:szCs w:val="24"/>
          <w:lang w:val="en-US" w:eastAsia="zh-CN"/>
        </w:rPr>
        <w:t xml:space="preserve"> </w:t>
      </w:r>
    </w:p>
    <w:p w14:paraId="2DA72C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296" w:name="_Toc5607"/>
      <w:bookmarkStart w:id="1297" w:name="_Toc18996"/>
      <w:bookmarkStart w:id="1298" w:name="_Toc11421"/>
      <w:bookmarkStart w:id="1299" w:name="_Toc10528"/>
      <w:bookmarkStart w:id="1300" w:name="_Toc2889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（1）废水产生、治理措施及排放情况</w:t>
      </w:r>
      <w:bookmarkEnd w:id="1296"/>
      <w:bookmarkEnd w:id="1297"/>
      <w:bookmarkEnd w:id="1298"/>
      <w:bookmarkEnd w:id="1299"/>
      <w:bookmarkEnd w:id="1300"/>
    </w:p>
    <w:p w14:paraId="5CCC3A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前文水平衡分析，项目采用雨污分流制，雨水排入市政雨水管网；项目废水经污水处理设施处理达到《医疗机构水污染物排放标准》（GB18466-2005）预处理标准及《污水排入城镇下水道水质标准》（GB/T31962-2015）表（1）标准后排入大英县城市生活污水处理厂。项目给排水情况见下表。</w:t>
      </w:r>
    </w:p>
    <w:p w14:paraId="67C8A64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表3.2-</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7</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 xml:space="preserve"> </w:t>
      </w: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供暖期间（冬季）</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用水及废水产排情况一览表</w:t>
      </w:r>
    </w:p>
    <w:tbl>
      <w:tblPr>
        <w:tblStyle w:val="21"/>
        <w:tblW w:w="86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308"/>
        <w:gridCol w:w="1297"/>
        <w:gridCol w:w="1438"/>
        <w:gridCol w:w="1523"/>
        <w:gridCol w:w="1539"/>
      </w:tblGrid>
      <w:tr w14:paraId="35EAA5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shd w:val="clear" w:color="auto" w:fill="D7D7D7" w:themeFill="background1" w:themeFillShade="D8"/>
            <w:vAlign w:val="center"/>
          </w:tcPr>
          <w:p w14:paraId="68069B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项目</w:t>
            </w:r>
          </w:p>
        </w:tc>
        <w:tc>
          <w:tcPr>
            <w:tcW w:w="1308" w:type="dxa"/>
            <w:shd w:val="clear" w:color="auto" w:fill="D7D7D7" w:themeFill="background1" w:themeFillShade="D8"/>
            <w:vAlign w:val="center"/>
          </w:tcPr>
          <w:p w14:paraId="3E6F12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用水规模</w:t>
            </w:r>
          </w:p>
        </w:tc>
        <w:tc>
          <w:tcPr>
            <w:tcW w:w="1297" w:type="dxa"/>
            <w:shd w:val="clear" w:color="auto" w:fill="D7D7D7" w:themeFill="background1" w:themeFillShade="D8"/>
            <w:vAlign w:val="center"/>
          </w:tcPr>
          <w:p w14:paraId="59FB16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用水标准</w:t>
            </w:r>
          </w:p>
        </w:tc>
        <w:tc>
          <w:tcPr>
            <w:tcW w:w="1438" w:type="dxa"/>
            <w:shd w:val="clear" w:color="auto" w:fill="D7D7D7" w:themeFill="background1" w:themeFillShade="D8"/>
            <w:vAlign w:val="center"/>
          </w:tcPr>
          <w:p w14:paraId="696EEB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23" w:type="dxa"/>
            <w:shd w:val="clear" w:color="auto" w:fill="D7D7D7" w:themeFill="background1" w:themeFillShade="D8"/>
            <w:vAlign w:val="center"/>
          </w:tcPr>
          <w:p w14:paraId="7141A7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排放量（m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39" w:type="dxa"/>
            <w:shd w:val="clear" w:color="auto" w:fill="D7D7D7" w:themeFill="background1" w:themeFillShade="D8"/>
            <w:vAlign w:val="center"/>
          </w:tcPr>
          <w:p w14:paraId="7E3A9F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备注</w:t>
            </w:r>
          </w:p>
        </w:tc>
      </w:tr>
      <w:tr w14:paraId="05FC6B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29" w:type="dxa"/>
            <w:vAlign w:val="center"/>
          </w:tcPr>
          <w:p w14:paraId="53374B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住院病区用水</w:t>
            </w:r>
          </w:p>
        </w:tc>
        <w:tc>
          <w:tcPr>
            <w:tcW w:w="1308" w:type="dxa"/>
            <w:vAlign w:val="center"/>
          </w:tcPr>
          <w:p w14:paraId="5CC6D6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2FE4F579">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3</w:t>
            </w:r>
            <w:r>
              <w:rPr>
                <w:rFonts w:hint="eastAsia" w:ascii="Times New Roman" w:hAnsi="Times New Roman" w:eastAsia="宋体"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0L/床·d</w:t>
            </w:r>
          </w:p>
        </w:tc>
        <w:tc>
          <w:tcPr>
            <w:tcW w:w="1438" w:type="dxa"/>
            <w:vAlign w:val="center"/>
          </w:tcPr>
          <w:p w14:paraId="3BBC98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330.0</w:t>
            </w:r>
          </w:p>
        </w:tc>
        <w:tc>
          <w:tcPr>
            <w:tcW w:w="1523" w:type="dxa"/>
            <w:vAlign w:val="center"/>
          </w:tcPr>
          <w:p w14:paraId="10A632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280.5</w:t>
            </w:r>
          </w:p>
        </w:tc>
        <w:tc>
          <w:tcPr>
            <w:tcW w:w="1539" w:type="dxa"/>
            <w:vAlign w:val="center"/>
          </w:tcPr>
          <w:p w14:paraId="0EB94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A380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CF1DE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门</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急</w:t>
            </w:r>
            <w:r>
              <w:rPr>
                <w:rFonts w:hint="default" w:ascii="Times New Roman" w:hAnsi="Times New Roman" w:eastAsia="宋体" w:cs="Times New Roman"/>
                <w:b w:val="0"/>
                <w:bCs w:val="0"/>
                <w:color w:val="auto"/>
                <w:sz w:val="21"/>
                <w:szCs w:val="21"/>
              </w:rPr>
              <w:t>诊诊</w:t>
            </w:r>
            <w:r>
              <w:rPr>
                <w:rFonts w:hint="default" w:ascii="Times New Roman" w:hAnsi="Times New Roman" w:eastAsia="宋体" w:cs="Times New Roman"/>
                <w:b w:val="0"/>
                <w:bCs w:val="0"/>
                <w:color w:val="auto"/>
                <w:sz w:val="21"/>
                <w:szCs w:val="21"/>
                <w:lang w:val="en-US" w:eastAsia="zh-CN"/>
              </w:rPr>
              <w:t>区</w:t>
            </w:r>
            <w:r>
              <w:rPr>
                <w:rFonts w:hint="default" w:ascii="Times New Roman" w:hAnsi="Times New Roman" w:eastAsia="宋体" w:cs="Times New Roman"/>
                <w:b w:val="0"/>
                <w:bCs w:val="0"/>
                <w:color w:val="auto"/>
                <w:sz w:val="21"/>
                <w:szCs w:val="21"/>
              </w:rPr>
              <w:t>用水</w:t>
            </w:r>
          </w:p>
        </w:tc>
        <w:tc>
          <w:tcPr>
            <w:tcW w:w="1308" w:type="dxa"/>
            <w:vAlign w:val="center"/>
          </w:tcPr>
          <w:p w14:paraId="123C7C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2830人</w:t>
            </w:r>
          </w:p>
        </w:tc>
        <w:tc>
          <w:tcPr>
            <w:tcW w:w="1297" w:type="dxa"/>
            <w:vAlign w:val="center"/>
          </w:tcPr>
          <w:p w14:paraId="3D9986A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15L/人次·d</w:t>
            </w:r>
          </w:p>
        </w:tc>
        <w:tc>
          <w:tcPr>
            <w:tcW w:w="1438" w:type="dxa"/>
            <w:vAlign w:val="center"/>
          </w:tcPr>
          <w:p w14:paraId="2C30CD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42.45</w:t>
            </w:r>
          </w:p>
        </w:tc>
        <w:tc>
          <w:tcPr>
            <w:tcW w:w="1523" w:type="dxa"/>
            <w:vAlign w:val="center"/>
          </w:tcPr>
          <w:p w14:paraId="676DF4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36.08</w:t>
            </w:r>
          </w:p>
        </w:tc>
        <w:tc>
          <w:tcPr>
            <w:tcW w:w="1539" w:type="dxa"/>
            <w:vAlign w:val="center"/>
          </w:tcPr>
          <w:p w14:paraId="139B5E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F19B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EDDB5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医务人员用水</w:t>
            </w:r>
          </w:p>
        </w:tc>
        <w:tc>
          <w:tcPr>
            <w:tcW w:w="1308" w:type="dxa"/>
            <w:vAlign w:val="center"/>
          </w:tcPr>
          <w:p w14:paraId="65DA80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1760</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人</w:t>
            </w:r>
          </w:p>
        </w:tc>
        <w:tc>
          <w:tcPr>
            <w:tcW w:w="1297" w:type="dxa"/>
            <w:vAlign w:val="center"/>
          </w:tcPr>
          <w:p w14:paraId="2A744113">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15</w:t>
            </w:r>
            <w:r>
              <w:rPr>
                <w:rFonts w:hint="default" w:ascii="Times New Roman" w:hAnsi="Times New Roman" w:eastAsia="宋体" w:cs="Times New Roman"/>
                <w:b w:val="0"/>
                <w:bCs w:val="0"/>
                <w:color w:val="auto"/>
                <w:kern w:val="0"/>
                <w:sz w:val="21"/>
                <w:szCs w:val="21"/>
                <w:lang w:val="en-US" w:eastAsia="zh-CN" w:bidi="ar"/>
              </w:rPr>
              <w:t>0L/人次·d</w:t>
            </w:r>
          </w:p>
        </w:tc>
        <w:tc>
          <w:tcPr>
            <w:tcW w:w="1438" w:type="dxa"/>
            <w:vAlign w:val="center"/>
          </w:tcPr>
          <w:p w14:paraId="1692A7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264.0</w:t>
            </w:r>
          </w:p>
        </w:tc>
        <w:tc>
          <w:tcPr>
            <w:tcW w:w="1523" w:type="dxa"/>
            <w:vAlign w:val="center"/>
          </w:tcPr>
          <w:p w14:paraId="2454D9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224.4</w:t>
            </w:r>
          </w:p>
        </w:tc>
        <w:tc>
          <w:tcPr>
            <w:tcW w:w="1539" w:type="dxa"/>
            <w:vAlign w:val="center"/>
          </w:tcPr>
          <w:p w14:paraId="6848D4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1EB8F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05712F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浆洗用水</w:t>
            </w:r>
          </w:p>
        </w:tc>
        <w:tc>
          <w:tcPr>
            <w:tcW w:w="1308" w:type="dxa"/>
            <w:vAlign w:val="center"/>
          </w:tcPr>
          <w:p w14:paraId="03510F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73EF656A">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w:t>
            </w:r>
            <w:r>
              <w:rPr>
                <w:rFonts w:hint="default" w:ascii="Times New Roman" w:hAnsi="Times New Roman" w:eastAsia="宋体" w:cs="Times New Roman"/>
                <w:color w:val="auto"/>
                <w:kern w:val="0"/>
                <w:sz w:val="21"/>
                <w:szCs w:val="21"/>
                <w:lang w:val="en-US" w:eastAsia="zh-CN" w:bidi="ar"/>
              </w:rPr>
              <w:t>L/kg·干衣</w:t>
            </w:r>
          </w:p>
        </w:tc>
        <w:tc>
          <w:tcPr>
            <w:tcW w:w="1438" w:type="dxa"/>
            <w:vAlign w:val="center"/>
          </w:tcPr>
          <w:p w14:paraId="172806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77.0</w:t>
            </w:r>
          </w:p>
        </w:tc>
        <w:tc>
          <w:tcPr>
            <w:tcW w:w="1523" w:type="dxa"/>
            <w:vAlign w:val="center"/>
          </w:tcPr>
          <w:p w14:paraId="3C4577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65.45</w:t>
            </w:r>
          </w:p>
        </w:tc>
        <w:tc>
          <w:tcPr>
            <w:tcW w:w="1539" w:type="dxa"/>
            <w:vAlign w:val="center"/>
          </w:tcPr>
          <w:p w14:paraId="0B2E2B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7CFAC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40E46F0C">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中央空调冷却塔补充水</w:t>
            </w:r>
          </w:p>
        </w:tc>
        <w:tc>
          <w:tcPr>
            <w:tcW w:w="1308" w:type="dxa"/>
            <w:vAlign w:val="center"/>
          </w:tcPr>
          <w:p w14:paraId="2E93C1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297" w:type="dxa"/>
            <w:vAlign w:val="center"/>
          </w:tcPr>
          <w:p w14:paraId="6E9688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473D85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30.0</w:t>
            </w:r>
          </w:p>
        </w:tc>
        <w:tc>
          <w:tcPr>
            <w:tcW w:w="1523" w:type="dxa"/>
            <w:vAlign w:val="center"/>
          </w:tcPr>
          <w:p w14:paraId="6A7FF9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0D8827C8">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01076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29" w:type="dxa"/>
            <w:vMerge w:val="restart"/>
            <w:vAlign w:val="center"/>
          </w:tcPr>
          <w:p w14:paraId="6C4F2B12">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锅炉</w:t>
            </w: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软</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水制备用水</w:t>
            </w:r>
          </w:p>
        </w:tc>
        <w:tc>
          <w:tcPr>
            <w:tcW w:w="1308" w:type="dxa"/>
            <w:vAlign w:val="center"/>
          </w:tcPr>
          <w:p w14:paraId="690166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供暖锅炉9.71</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702B88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393869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29.13</w:t>
            </w:r>
          </w:p>
        </w:tc>
        <w:tc>
          <w:tcPr>
            <w:tcW w:w="1523" w:type="dxa"/>
            <w:vAlign w:val="center"/>
          </w:tcPr>
          <w:p w14:paraId="657D6B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5.83</w:t>
            </w:r>
          </w:p>
        </w:tc>
        <w:tc>
          <w:tcPr>
            <w:tcW w:w="1539" w:type="dxa"/>
            <w:vAlign w:val="center"/>
          </w:tcPr>
          <w:p w14:paraId="3B48E892">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793869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29" w:type="dxa"/>
            <w:vMerge w:val="continue"/>
            <w:vAlign w:val="center"/>
          </w:tcPr>
          <w:p w14:paraId="2CDEB9E4">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p>
        </w:tc>
        <w:tc>
          <w:tcPr>
            <w:tcW w:w="1308" w:type="dxa"/>
            <w:vAlign w:val="center"/>
          </w:tcPr>
          <w:p w14:paraId="692121B5">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热水锅炉4</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2DAEB182">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w:t>
            </w:r>
          </w:p>
        </w:tc>
        <w:tc>
          <w:tcPr>
            <w:tcW w:w="1438" w:type="dxa"/>
            <w:vAlign w:val="center"/>
          </w:tcPr>
          <w:p w14:paraId="2AD34D77">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w:t>
            </w:r>
          </w:p>
        </w:tc>
        <w:tc>
          <w:tcPr>
            <w:tcW w:w="1523" w:type="dxa"/>
            <w:vAlign w:val="center"/>
          </w:tcPr>
          <w:p w14:paraId="57BE7B31">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24</w:t>
            </w:r>
          </w:p>
        </w:tc>
        <w:tc>
          <w:tcPr>
            <w:tcW w:w="1539" w:type="dxa"/>
            <w:vAlign w:val="center"/>
          </w:tcPr>
          <w:p w14:paraId="3A942B8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outlineLvl w:val="9"/>
              <w:rPr>
                <w:rFonts w:hint="default" w:ascii="Times New Roman" w:hAnsi="Times New Roman" w:eastAsia="宋体" w:cs="Times New Roman"/>
                <w:i w:val="0"/>
                <w:iCs w:val="0"/>
                <w:caps w:val="0"/>
                <w:color w:val="auto"/>
                <w:spacing w:val="0"/>
                <w:kern w:val="0"/>
                <w:sz w:val="21"/>
                <w:szCs w:val="21"/>
                <w:shd w:val="clear" w:fill="FFFFFF"/>
                <w:lang w:val="en-US" w:eastAsia="zh-CN" w:bidi="ar"/>
              </w:rPr>
            </w:pPr>
            <w:r>
              <w:rPr>
                <w:rFonts w:hint="eastAsia" w:ascii="Times New Roman" w:hAnsi="Times New Roman" w:eastAsia="宋体" w:cs="Times New Roman"/>
                <w:color w:val="auto"/>
                <w:kern w:val="0"/>
                <w:sz w:val="21"/>
                <w:szCs w:val="21"/>
                <w:lang w:val="en-US" w:eastAsia="zh-CN" w:bidi="ar"/>
              </w:rPr>
              <w:t>热水锅炉提供的热水供病房、浆洗等使用，病房、浆洗等用水包含了部分热水，因此热水锅炉用水不再重复计算。</w:t>
            </w:r>
          </w:p>
        </w:tc>
      </w:tr>
      <w:tr w14:paraId="32A22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1AA34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绿化用水</w:t>
            </w:r>
          </w:p>
        </w:tc>
        <w:tc>
          <w:tcPr>
            <w:tcW w:w="1308" w:type="dxa"/>
            <w:vAlign w:val="center"/>
          </w:tcPr>
          <w:p w14:paraId="61A909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Cs/>
                <w:color w:val="auto"/>
                <w:sz w:val="21"/>
                <w:szCs w:val="21"/>
                <w:vertAlign w:val="baseline"/>
                <w:lang w:val="en-US" w:eastAsia="zh-CN"/>
              </w:rPr>
              <w:t>24606.6</w:t>
            </w: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297" w:type="dxa"/>
            <w:vAlign w:val="center"/>
          </w:tcPr>
          <w:p w14:paraId="45E1A610">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1.0L/m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·d</w:t>
            </w:r>
          </w:p>
        </w:tc>
        <w:tc>
          <w:tcPr>
            <w:tcW w:w="1438" w:type="dxa"/>
            <w:vAlign w:val="center"/>
          </w:tcPr>
          <w:p w14:paraId="6CB48A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24.6</w:t>
            </w:r>
          </w:p>
        </w:tc>
        <w:tc>
          <w:tcPr>
            <w:tcW w:w="1523" w:type="dxa"/>
            <w:vAlign w:val="center"/>
          </w:tcPr>
          <w:p w14:paraId="70D271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251A5B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蒸发、渗透</w:t>
            </w:r>
          </w:p>
        </w:tc>
      </w:tr>
      <w:tr w14:paraId="58993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334554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未预见用水量</w:t>
            </w:r>
          </w:p>
        </w:tc>
        <w:tc>
          <w:tcPr>
            <w:tcW w:w="1308" w:type="dxa"/>
            <w:vAlign w:val="center"/>
          </w:tcPr>
          <w:p w14:paraId="6C199848">
            <w:pPr>
              <w:keepNext w:val="0"/>
              <w:keepLines w:val="0"/>
              <w:widowControl/>
              <w:suppressLineNumbers w:val="0"/>
              <w:spacing w:line="240" w:lineRule="auto"/>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按以上各用水量的10%计</w:t>
            </w:r>
          </w:p>
        </w:tc>
        <w:tc>
          <w:tcPr>
            <w:tcW w:w="1297" w:type="dxa"/>
            <w:vAlign w:val="center"/>
          </w:tcPr>
          <w:p w14:paraId="4776E5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598B80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79.72</w:t>
            </w:r>
          </w:p>
        </w:tc>
        <w:tc>
          <w:tcPr>
            <w:tcW w:w="1523" w:type="dxa"/>
            <w:vAlign w:val="center"/>
          </w:tcPr>
          <w:p w14:paraId="3F96E5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67.76</w:t>
            </w:r>
          </w:p>
        </w:tc>
        <w:tc>
          <w:tcPr>
            <w:tcW w:w="1539" w:type="dxa"/>
            <w:vAlign w:val="center"/>
          </w:tcPr>
          <w:p w14:paraId="69A2D4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5D0B4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4" w:type="dxa"/>
            <w:gridSpan w:val="3"/>
            <w:vAlign w:val="center"/>
          </w:tcPr>
          <w:p w14:paraId="2AFBF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合计</w:t>
            </w:r>
          </w:p>
        </w:tc>
        <w:tc>
          <w:tcPr>
            <w:tcW w:w="1438" w:type="dxa"/>
            <w:vAlign w:val="center"/>
          </w:tcPr>
          <w:p w14:paraId="32B9E3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876.9</w:t>
            </w:r>
          </w:p>
        </w:tc>
        <w:tc>
          <w:tcPr>
            <w:tcW w:w="1523" w:type="dxa"/>
            <w:vAlign w:val="center"/>
          </w:tcPr>
          <w:p w14:paraId="6B97A1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704.02</w:t>
            </w:r>
          </w:p>
        </w:tc>
        <w:tc>
          <w:tcPr>
            <w:tcW w:w="1539" w:type="dxa"/>
            <w:vAlign w:val="center"/>
          </w:tcPr>
          <w:p w14:paraId="765E89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2D3812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4" w:type="dxa"/>
            <w:gridSpan w:val="6"/>
            <w:vAlign w:val="center"/>
          </w:tcPr>
          <w:p w14:paraId="73F63A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注：</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住院病区用水包含病患及陪护人员用水；</w:t>
            </w: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医务人员用水量包括手术室、中心供应等医院常规医疗用水</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w:t>
            </w:r>
          </w:p>
        </w:tc>
      </w:tr>
    </w:tbl>
    <w:p w14:paraId="3EAFF8AF">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Cs/>
          <w:color w:val="auto"/>
          <w:sz w:val="24"/>
          <w:szCs w:val="24"/>
          <w:highlight w:val="none"/>
          <w:lang w:val="en-US" w:eastAsia="zh-CN"/>
        </w:rPr>
        <w:t xml:space="preserve">表3.2-8 </w:t>
      </w:r>
      <w:r>
        <w:rPr>
          <w:rFonts w:hint="eastAsia" w:ascii="宋体" w:hAnsi="宋体" w:eastAsia="宋体" w:cs="宋体"/>
          <w:b/>
          <w:bCs/>
          <w:i w:val="0"/>
          <w:iCs w:val="0"/>
          <w:color w:val="auto"/>
          <w:spacing w:val="0"/>
          <w:kern w:val="0"/>
          <w:sz w:val="21"/>
          <w:szCs w:val="21"/>
          <w:shd w:val="clear" w:fill="FFFFFF"/>
          <w:lang w:val="en-US" w:eastAsia="zh-CN" w:bidi="ar"/>
        </w:rPr>
        <w:t>不</w:t>
      </w:r>
      <w:r>
        <w:rPr>
          <w:rFonts w:hint="eastAsia" w:ascii="宋体" w:hAnsi="宋体" w:eastAsia="宋体" w:cs="宋体"/>
          <w:b/>
          <w:bCs/>
          <w:color w:val="auto"/>
          <w:sz w:val="21"/>
          <w:szCs w:val="21"/>
          <w:highlight w:val="none"/>
          <w:lang w:val="en-US" w:eastAsia="zh-CN"/>
        </w:rPr>
        <w:t>供</w:t>
      </w:r>
      <w:r>
        <w:rPr>
          <w:rFonts w:hint="eastAsia" w:ascii="Times New Roman" w:hAnsi="Times New Roman" w:eastAsia="宋体" w:cs="Times New Roman"/>
          <w:b/>
          <w:bCs/>
          <w:color w:val="auto"/>
          <w:sz w:val="21"/>
          <w:szCs w:val="21"/>
          <w:highlight w:val="none"/>
          <w:lang w:val="en-US" w:eastAsia="zh-CN"/>
        </w:rPr>
        <w:t>暖期间</w:t>
      </w:r>
      <w:r>
        <w:rPr>
          <w:rFonts w:hint="default" w:ascii="Times New Roman" w:hAnsi="Times New Roman" w:eastAsia="宋体" w:cs="Times New Roman"/>
          <w:b/>
          <w:bCs/>
          <w:color w:val="auto"/>
          <w:sz w:val="21"/>
          <w:szCs w:val="21"/>
          <w:highlight w:val="none"/>
          <w:lang w:val="en-US" w:eastAsia="zh-CN"/>
        </w:rPr>
        <w:t>用水及废水产排情况一览表</w:t>
      </w:r>
    </w:p>
    <w:tbl>
      <w:tblPr>
        <w:tblStyle w:val="21"/>
        <w:tblW w:w="86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308"/>
        <w:gridCol w:w="1297"/>
        <w:gridCol w:w="1438"/>
        <w:gridCol w:w="1523"/>
        <w:gridCol w:w="1539"/>
      </w:tblGrid>
      <w:tr w14:paraId="620AF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shd w:val="clear" w:color="auto" w:fill="D7D7D7" w:themeFill="background1" w:themeFillShade="D8"/>
            <w:vAlign w:val="center"/>
          </w:tcPr>
          <w:p w14:paraId="68F811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项目</w:t>
            </w:r>
          </w:p>
        </w:tc>
        <w:tc>
          <w:tcPr>
            <w:tcW w:w="1308" w:type="dxa"/>
            <w:shd w:val="clear" w:color="auto" w:fill="D7D7D7" w:themeFill="background1" w:themeFillShade="D8"/>
            <w:vAlign w:val="center"/>
          </w:tcPr>
          <w:p w14:paraId="2B22B2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用水规模</w:t>
            </w:r>
          </w:p>
        </w:tc>
        <w:tc>
          <w:tcPr>
            <w:tcW w:w="1297" w:type="dxa"/>
            <w:shd w:val="clear" w:color="auto" w:fill="D7D7D7" w:themeFill="background1" w:themeFillShade="D8"/>
            <w:vAlign w:val="center"/>
          </w:tcPr>
          <w:p w14:paraId="37345A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用水标准</w:t>
            </w:r>
          </w:p>
        </w:tc>
        <w:tc>
          <w:tcPr>
            <w:tcW w:w="1438" w:type="dxa"/>
            <w:shd w:val="clear" w:color="auto" w:fill="D7D7D7" w:themeFill="background1" w:themeFillShade="D8"/>
            <w:vAlign w:val="center"/>
          </w:tcPr>
          <w:p w14:paraId="143B7D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用水量（m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23" w:type="dxa"/>
            <w:shd w:val="clear" w:color="auto" w:fill="D7D7D7" w:themeFill="background1" w:themeFillShade="D8"/>
            <w:vAlign w:val="center"/>
          </w:tcPr>
          <w:p w14:paraId="6D607D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排放量（m</w:t>
            </w:r>
            <w:r>
              <w:rPr>
                <w:rFonts w:hint="default" w:ascii="Times New Roman" w:hAnsi="Times New Roman" w:eastAsia="宋体" w:cs="Times New Roman"/>
                <w:b/>
                <w:bCs/>
                <w:i w:val="0"/>
                <w:iCs w:val="0"/>
                <w:caps w:val="0"/>
                <w:color w:val="auto"/>
                <w:spacing w:val="0"/>
                <w:kern w:val="0"/>
                <w:sz w:val="21"/>
                <w:szCs w:val="21"/>
                <w:u w:val="none"/>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/d）</w:t>
            </w:r>
          </w:p>
        </w:tc>
        <w:tc>
          <w:tcPr>
            <w:tcW w:w="1539" w:type="dxa"/>
            <w:shd w:val="clear" w:color="auto" w:fill="D7D7D7" w:themeFill="background1" w:themeFillShade="D8"/>
            <w:vAlign w:val="center"/>
          </w:tcPr>
          <w:p w14:paraId="2C9838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u w:val="none"/>
                <w:shd w:val="clear" w:fill="FFFFFF"/>
                <w:vertAlign w:val="baseline"/>
                <w:lang w:val="en-US" w:eastAsia="zh-CN" w:bidi="ar"/>
              </w:rPr>
              <w:t>备注</w:t>
            </w:r>
          </w:p>
        </w:tc>
      </w:tr>
      <w:tr w14:paraId="79AA3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529" w:type="dxa"/>
            <w:vAlign w:val="center"/>
          </w:tcPr>
          <w:p w14:paraId="71B325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住院病区用水</w:t>
            </w:r>
          </w:p>
        </w:tc>
        <w:tc>
          <w:tcPr>
            <w:tcW w:w="1308" w:type="dxa"/>
            <w:vAlign w:val="center"/>
          </w:tcPr>
          <w:p w14:paraId="704C2A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67B3B88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3</w:t>
            </w:r>
            <w:r>
              <w:rPr>
                <w:rFonts w:hint="eastAsia" w:ascii="Times New Roman" w:hAnsi="Times New Roman" w:eastAsia="宋体"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0L/床·d</w:t>
            </w:r>
          </w:p>
        </w:tc>
        <w:tc>
          <w:tcPr>
            <w:tcW w:w="1438" w:type="dxa"/>
            <w:vAlign w:val="center"/>
          </w:tcPr>
          <w:p w14:paraId="2E2944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330.0</w:t>
            </w:r>
          </w:p>
        </w:tc>
        <w:tc>
          <w:tcPr>
            <w:tcW w:w="1523" w:type="dxa"/>
            <w:vAlign w:val="center"/>
          </w:tcPr>
          <w:p w14:paraId="497A154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280.5</w:t>
            </w:r>
          </w:p>
        </w:tc>
        <w:tc>
          <w:tcPr>
            <w:tcW w:w="1539" w:type="dxa"/>
            <w:vAlign w:val="center"/>
          </w:tcPr>
          <w:p w14:paraId="2287DE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4EB6A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FBAC5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门</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急</w:t>
            </w:r>
            <w:r>
              <w:rPr>
                <w:rFonts w:hint="default" w:ascii="Times New Roman" w:hAnsi="Times New Roman" w:eastAsia="宋体" w:cs="Times New Roman"/>
                <w:b w:val="0"/>
                <w:bCs w:val="0"/>
                <w:color w:val="auto"/>
                <w:sz w:val="21"/>
                <w:szCs w:val="21"/>
              </w:rPr>
              <w:t>诊诊</w:t>
            </w:r>
            <w:r>
              <w:rPr>
                <w:rFonts w:hint="default" w:ascii="Times New Roman" w:hAnsi="Times New Roman" w:eastAsia="宋体" w:cs="Times New Roman"/>
                <w:b w:val="0"/>
                <w:bCs w:val="0"/>
                <w:color w:val="auto"/>
                <w:sz w:val="21"/>
                <w:szCs w:val="21"/>
                <w:lang w:val="en-US" w:eastAsia="zh-CN"/>
              </w:rPr>
              <w:t>区</w:t>
            </w:r>
            <w:r>
              <w:rPr>
                <w:rFonts w:hint="default" w:ascii="Times New Roman" w:hAnsi="Times New Roman" w:eastAsia="宋体" w:cs="Times New Roman"/>
                <w:b w:val="0"/>
                <w:bCs w:val="0"/>
                <w:color w:val="auto"/>
                <w:sz w:val="21"/>
                <w:szCs w:val="21"/>
              </w:rPr>
              <w:t>用水</w:t>
            </w:r>
          </w:p>
        </w:tc>
        <w:tc>
          <w:tcPr>
            <w:tcW w:w="1308" w:type="dxa"/>
            <w:vAlign w:val="center"/>
          </w:tcPr>
          <w:p w14:paraId="5A8E9D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2830人</w:t>
            </w:r>
          </w:p>
        </w:tc>
        <w:tc>
          <w:tcPr>
            <w:tcW w:w="1297" w:type="dxa"/>
            <w:vAlign w:val="center"/>
          </w:tcPr>
          <w:p w14:paraId="77027407">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15L/人次·d</w:t>
            </w:r>
          </w:p>
        </w:tc>
        <w:tc>
          <w:tcPr>
            <w:tcW w:w="1438" w:type="dxa"/>
            <w:vAlign w:val="center"/>
          </w:tcPr>
          <w:p w14:paraId="7F2F70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42.45</w:t>
            </w:r>
          </w:p>
        </w:tc>
        <w:tc>
          <w:tcPr>
            <w:tcW w:w="1523" w:type="dxa"/>
            <w:vAlign w:val="center"/>
          </w:tcPr>
          <w:p w14:paraId="4F6305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36.08</w:t>
            </w:r>
          </w:p>
        </w:tc>
        <w:tc>
          <w:tcPr>
            <w:tcW w:w="1539" w:type="dxa"/>
            <w:vAlign w:val="center"/>
          </w:tcPr>
          <w:p w14:paraId="179FA0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5F035D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6A40ED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医务人员用水</w:t>
            </w:r>
          </w:p>
        </w:tc>
        <w:tc>
          <w:tcPr>
            <w:tcW w:w="1308" w:type="dxa"/>
            <w:vAlign w:val="center"/>
          </w:tcPr>
          <w:p w14:paraId="507464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1760</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人</w:t>
            </w:r>
          </w:p>
        </w:tc>
        <w:tc>
          <w:tcPr>
            <w:tcW w:w="1297" w:type="dxa"/>
            <w:vAlign w:val="center"/>
          </w:tcPr>
          <w:p w14:paraId="73992D9A">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15</w:t>
            </w:r>
            <w:r>
              <w:rPr>
                <w:rFonts w:hint="default" w:ascii="Times New Roman" w:hAnsi="Times New Roman" w:eastAsia="宋体" w:cs="Times New Roman"/>
                <w:b w:val="0"/>
                <w:bCs w:val="0"/>
                <w:color w:val="auto"/>
                <w:kern w:val="0"/>
                <w:sz w:val="21"/>
                <w:szCs w:val="21"/>
                <w:lang w:val="en-US" w:eastAsia="zh-CN" w:bidi="ar"/>
              </w:rPr>
              <w:t>0L/人次·d</w:t>
            </w:r>
          </w:p>
        </w:tc>
        <w:tc>
          <w:tcPr>
            <w:tcW w:w="1438" w:type="dxa"/>
            <w:vAlign w:val="center"/>
          </w:tcPr>
          <w:p w14:paraId="5BEF29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264.0</w:t>
            </w:r>
          </w:p>
        </w:tc>
        <w:tc>
          <w:tcPr>
            <w:tcW w:w="1523" w:type="dxa"/>
            <w:vAlign w:val="center"/>
          </w:tcPr>
          <w:p w14:paraId="3872AA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224.4</w:t>
            </w:r>
          </w:p>
        </w:tc>
        <w:tc>
          <w:tcPr>
            <w:tcW w:w="1539" w:type="dxa"/>
            <w:vAlign w:val="center"/>
          </w:tcPr>
          <w:p w14:paraId="553E5B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1C07D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56EB2C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浆洗用水</w:t>
            </w:r>
          </w:p>
        </w:tc>
        <w:tc>
          <w:tcPr>
            <w:tcW w:w="1308" w:type="dxa"/>
            <w:vAlign w:val="center"/>
          </w:tcPr>
          <w:p w14:paraId="5104E0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1100床</w:t>
            </w:r>
          </w:p>
        </w:tc>
        <w:tc>
          <w:tcPr>
            <w:tcW w:w="1297" w:type="dxa"/>
            <w:vAlign w:val="center"/>
          </w:tcPr>
          <w:p w14:paraId="49AAD472">
            <w:pPr>
              <w:keepNext w:val="0"/>
              <w:keepLines w:val="0"/>
              <w:widowControl/>
              <w:suppressLineNumbers w:val="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w:t>
            </w:r>
            <w:r>
              <w:rPr>
                <w:rFonts w:hint="default" w:ascii="Times New Roman" w:hAnsi="Times New Roman" w:eastAsia="宋体" w:cs="Times New Roman"/>
                <w:color w:val="auto"/>
                <w:kern w:val="0"/>
                <w:sz w:val="21"/>
                <w:szCs w:val="21"/>
                <w:lang w:val="en-US" w:eastAsia="zh-CN" w:bidi="ar"/>
              </w:rPr>
              <w:t>L/kg·干衣</w:t>
            </w:r>
          </w:p>
        </w:tc>
        <w:tc>
          <w:tcPr>
            <w:tcW w:w="1438" w:type="dxa"/>
            <w:vAlign w:val="center"/>
          </w:tcPr>
          <w:p w14:paraId="241DC8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77.0</w:t>
            </w:r>
          </w:p>
        </w:tc>
        <w:tc>
          <w:tcPr>
            <w:tcW w:w="1523" w:type="dxa"/>
            <w:vAlign w:val="center"/>
          </w:tcPr>
          <w:p w14:paraId="5F1E41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65.45</w:t>
            </w:r>
          </w:p>
        </w:tc>
        <w:tc>
          <w:tcPr>
            <w:tcW w:w="1539" w:type="dxa"/>
            <w:vAlign w:val="center"/>
          </w:tcPr>
          <w:p w14:paraId="10C3CF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59B76E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741EE4F">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中央空调冷却塔补充水</w:t>
            </w:r>
          </w:p>
        </w:tc>
        <w:tc>
          <w:tcPr>
            <w:tcW w:w="1308" w:type="dxa"/>
            <w:vAlign w:val="center"/>
          </w:tcPr>
          <w:p w14:paraId="1BF12B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297" w:type="dxa"/>
            <w:vAlign w:val="center"/>
          </w:tcPr>
          <w:p w14:paraId="53B7DD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5592D4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30.0</w:t>
            </w:r>
          </w:p>
        </w:tc>
        <w:tc>
          <w:tcPr>
            <w:tcW w:w="1523" w:type="dxa"/>
            <w:vAlign w:val="center"/>
          </w:tcPr>
          <w:p w14:paraId="6FFDB2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09EFD02F">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蒸发损耗，定期新鲜补充水</w:t>
            </w:r>
          </w:p>
        </w:tc>
      </w:tr>
      <w:tr w14:paraId="39F016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7128BC25">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锅炉</w:t>
            </w: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软</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水制备用水</w:t>
            </w:r>
          </w:p>
        </w:tc>
        <w:tc>
          <w:tcPr>
            <w:tcW w:w="1308" w:type="dxa"/>
            <w:vAlign w:val="center"/>
          </w:tcPr>
          <w:p w14:paraId="05B80E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i w:val="0"/>
                <w:iCs w:val="0"/>
                <w:caps w:val="0"/>
                <w:color w:val="auto"/>
                <w:spacing w:val="0"/>
                <w:kern w:val="0"/>
                <w:sz w:val="21"/>
                <w:szCs w:val="21"/>
                <w:shd w:val="clear" w:fill="FFFFFF"/>
                <w:lang w:val="en-US" w:eastAsia="zh-CN" w:bidi="ar"/>
              </w:rPr>
              <w:t>热水锅炉</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4</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t/h</w:t>
            </w:r>
          </w:p>
        </w:tc>
        <w:tc>
          <w:tcPr>
            <w:tcW w:w="1297" w:type="dxa"/>
            <w:vAlign w:val="center"/>
          </w:tcPr>
          <w:p w14:paraId="54C46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162DB9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Cs/>
                <w:color w:val="auto"/>
                <w:sz w:val="21"/>
                <w:szCs w:val="21"/>
                <w:highlight w:val="none"/>
                <w:lang w:val="en-US" w:eastAsia="zh-CN"/>
              </w:rPr>
              <w:t>/</w:t>
            </w:r>
          </w:p>
        </w:tc>
        <w:tc>
          <w:tcPr>
            <w:tcW w:w="1523" w:type="dxa"/>
            <w:vAlign w:val="center"/>
          </w:tcPr>
          <w:p w14:paraId="120486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w:t>
            </w:r>
          </w:p>
        </w:tc>
        <w:tc>
          <w:tcPr>
            <w:tcW w:w="1539" w:type="dxa"/>
            <w:vAlign w:val="center"/>
          </w:tcPr>
          <w:p w14:paraId="6440E5B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热水锅炉提供的热水供病房、浆洗等使用，病房、浆洗等用水包含了部分热水，因此热水锅炉用水不再重复计算。</w:t>
            </w:r>
          </w:p>
        </w:tc>
      </w:tr>
      <w:tr w14:paraId="13FEFE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756EC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sz w:val="21"/>
                <w:szCs w:val="21"/>
              </w:rPr>
              <w:t>绿化用水</w:t>
            </w:r>
          </w:p>
        </w:tc>
        <w:tc>
          <w:tcPr>
            <w:tcW w:w="1308" w:type="dxa"/>
            <w:vAlign w:val="center"/>
          </w:tcPr>
          <w:p w14:paraId="55CC0D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Cs/>
                <w:color w:val="auto"/>
                <w:sz w:val="21"/>
                <w:szCs w:val="21"/>
                <w:vertAlign w:val="baseline"/>
                <w:lang w:val="en-US" w:eastAsia="zh-CN"/>
              </w:rPr>
              <w:t>24606.6</w:t>
            </w: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297" w:type="dxa"/>
            <w:vAlign w:val="center"/>
          </w:tcPr>
          <w:p w14:paraId="1B36394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1.0L/m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·d</w:t>
            </w:r>
          </w:p>
        </w:tc>
        <w:tc>
          <w:tcPr>
            <w:tcW w:w="1438" w:type="dxa"/>
            <w:vAlign w:val="center"/>
          </w:tcPr>
          <w:p w14:paraId="7A5436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24.6</w:t>
            </w:r>
          </w:p>
        </w:tc>
        <w:tc>
          <w:tcPr>
            <w:tcW w:w="1523" w:type="dxa"/>
            <w:vAlign w:val="center"/>
          </w:tcPr>
          <w:p w14:paraId="573F50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539" w:type="dxa"/>
            <w:vAlign w:val="center"/>
          </w:tcPr>
          <w:p w14:paraId="12757E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蒸发、渗透</w:t>
            </w:r>
          </w:p>
        </w:tc>
      </w:tr>
      <w:tr w14:paraId="42C9A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14:paraId="1B532E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未预见用水量</w:t>
            </w:r>
          </w:p>
        </w:tc>
        <w:tc>
          <w:tcPr>
            <w:tcW w:w="1308" w:type="dxa"/>
            <w:vAlign w:val="center"/>
          </w:tcPr>
          <w:p w14:paraId="4B94E148">
            <w:pPr>
              <w:keepNext w:val="0"/>
              <w:keepLines w:val="0"/>
              <w:widowControl/>
              <w:suppressLineNumbers w:val="0"/>
              <w:spacing w:line="240" w:lineRule="auto"/>
              <w:jc w:val="cente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按以上各用水量的10%计</w:t>
            </w:r>
          </w:p>
        </w:tc>
        <w:tc>
          <w:tcPr>
            <w:tcW w:w="1297" w:type="dxa"/>
            <w:vAlign w:val="center"/>
          </w:tcPr>
          <w:p w14:paraId="64FE38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c>
          <w:tcPr>
            <w:tcW w:w="1438" w:type="dxa"/>
            <w:vAlign w:val="center"/>
          </w:tcPr>
          <w:p w14:paraId="3A5259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76.81</w:t>
            </w:r>
          </w:p>
        </w:tc>
        <w:tc>
          <w:tcPr>
            <w:tcW w:w="1523" w:type="dxa"/>
            <w:vAlign w:val="center"/>
          </w:tcPr>
          <w:p w14:paraId="6C19AF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65.29</w:t>
            </w:r>
          </w:p>
        </w:tc>
        <w:tc>
          <w:tcPr>
            <w:tcW w:w="1539" w:type="dxa"/>
            <w:vAlign w:val="center"/>
          </w:tcPr>
          <w:p w14:paraId="4C2E2A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06091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34" w:type="dxa"/>
            <w:gridSpan w:val="3"/>
            <w:vAlign w:val="center"/>
          </w:tcPr>
          <w:p w14:paraId="590FD2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合计</w:t>
            </w:r>
          </w:p>
        </w:tc>
        <w:tc>
          <w:tcPr>
            <w:tcW w:w="1438" w:type="dxa"/>
            <w:vAlign w:val="center"/>
          </w:tcPr>
          <w:p w14:paraId="1168BE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844.86</w:t>
            </w:r>
          </w:p>
        </w:tc>
        <w:tc>
          <w:tcPr>
            <w:tcW w:w="1523" w:type="dxa"/>
            <w:vAlign w:val="center"/>
          </w:tcPr>
          <w:p w14:paraId="197630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695.72</w:t>
            </w:r>
          </w:p>
        </w:tc>
        <w:tc>
          <w:tcPr>
            <w:tcW w:w="1539" w:type="dxa"/>
            <w:vAlign w:val="center"/>
          </w:tcPr>
          <w:p w14:paraId="27B755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w:t>
            </w:r>
          </w:p>
        </w:tc>
      </w:tr>
      <w:tr w14:paraId="22243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4" w:type="dxa"/>
            <w:gridSpan w:val="6"/>
            <w:vAlign w:val="center"/>
          </w:tcPr>
          <w:p w14:paraId="3DC7A6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注：</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住院病区用水包含病患及陪护人员用水；</w:t>
            </w:r>
            <w:r>
              <w:rPr>
                <w:rFonts w:hint="default" w:ascii="Times New Roman" w:hAnsi="Times New Roman" w:eastAsia="宋体" w:cs="Times New Roman"/>
                <w:b/>
                <w:bCs/>
                <w:i w:val="0"/>
                <w:iCs w:val="0"/>
                <w:caps w:val="0"/>
                <w:color w:val="auto"/>
                <w:spacing w:val="0"/>
                <w:kern w:val="0"/>
                <w:sz w:val="22"/>
                <w:szCs w:val="22"/>
                <w:u w:val="none"/>
                <w:shd w:val="clear" w:fill="FFFFFF"/>
                <w:lang w:val="en-US" w:eastAsia="zh-CN" w:bidi="ar"/>
              </w:rPr>
              <w:t>医务人员用水量包括手术室、中心供应等医院常规医疗用水</w:t>
            </w:r>
            <w:r>
              <w:rPr>
                <w:rFonts w:hint="eastAsia" w:ascii="Times New Roman" w:hAnsi="Times New Roman" w:eastAsia="宋体" w:cs="Times New Roman"/>
                <w:b/>
                <w:bCs/>
                <w:i w:val="0"/>
                <w:iCs w:val="0"/>
                <w:caps w:val="0"/>
                <w:color w:val="auto"/>
                <w:spacing w:val="0"/>
                <w:kern w:val="0"/>
                <w:sz w:val="22"/>
                <w:szCs w:val="22"/>
                <w:u w:val="none"/>
                <w:shd w:val="clear" w:fill="FFFFFF"/>
                <w:lang w:val="en-US" w:eastAsia="zh-CN" w:bidi="ar"/>
              </w:rPr>
              <w:t>。</w:t>
            </w:r>
          </w:p>
        </w:tc>
      </w:tr>
    </w:tbl>
    <w:p w14:paraId="0AF1F4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本项目废水水质参考《医院污水处理工程技术规范》（HJ 2029-2013）、《医院污水处理技术指南》（环发[2003]197号）表2-2给出的医院废水水质范围及类比同行业医院水质，医院污水水质指标参考数据见下表。</w:t>
      </w:r>
    </w:p>
    <w:p w14:paraId="417F5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3.2-</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医院污水</w:t>
      </w:r>
      <w:r>
        <w:rPr>
          <w:rFonts w:hint="default" w:ascii="Times New Roman" w:hAnsi="Times New Roman" w:eastAsia="宋体" w:cs="Times New Roman"/>
          <w:b/>
          <w:bCs/>
          <w:color w:val="auto"/>
          <w:sz w:val="21"/>
          <w:szCs w:val="21"/>
          <w:lang w:val="en-US" w:eastAsia="zh-CN"/>
        </w:rPr>
        <w:t>进水</w:t>
      </w:r>
      <w:r>
        <w:rPr>
          <w:rFonts w:hint="default" w:ascii="Times New Roman" w:hAnsi="Times New Roman" w:eastAsia="宋体" w:cs="Times New Roman"/>
          <w:b/>
          <w:bCs/>
          <w:color w:val="auto"/>
          <w:sz w:val="21"/>
          <w:szCs w:val="21"/>
        </w:rPr>
        <w:t>水质指标参考数据</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单位：mg/L</w:t>
      </w:r>
    </w:p>
    <w:tbl>
      <w:tblPr>
        <w:tblStyle w:val="21"/>
        <w:tblW w:w="5303"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033"/>
        <w:gridCol w:w="1312"/>
        <w:gridCol w:w="1335"/>
        <w:gridCol w:w="1427"/>
        <w:gridCol w:w="1991"/>
        <w:gridCol w:w="942"/>
      </w:tblGrid>
      <w:tr w14:paraId="33C5081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1124" w:type="pct"/>
            <w:tcBorders>
              <w:tl2br w:val="nil"/>
              <w:tr2bl w:val="nil"/>
            </w:tcBorders>
            <w:shd w:val="clear" w:color="auto" w:fill="D7D7D7" w:themeFill="background1" w:themeFillShade="D8"/>
            <w:noWrap w:val="0"/>
            <w:vAlign w:val="center"/>
          </w:tcPr>
          <w:p w14:paraId="44CCDED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kern w:val="0"/>
                <w:sz w:val="21"/>
                <w:szCs w:val="21"/>
                <w:vertAlign w:val="baseline"/>
                <w:lang w:val="zh-CN"/>
              </w:rPr>
              <w:t>指标</w:t>
            </w:r>
          </w:p>
        </w:tc>
        <w:tc>
          <w:tcPr>
            <w:tcW w:w="725" w:type="pct"/>
            <w:tcBorders>
              <w:tl2br w:val="nil"/>
              <w:tr2bl w:val="nil"/>
            </w:tcBorders>
            <w:shd w:val="clear" w:color="auto" w:fill="D7D7D7" w:themeFill="background1" w:themeFillShade="D8"/>
            <w:noWrap w:val="0"/>
            <w:vAlign w:val="center"/>
          </w:tcPr>
          <w:p w14:paraId="0C1A641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sz w:val="21"/>
                <w:szCs w:val="21"/>
              </w:rPr>
              <w:t>COD</w:t>
            </w:r>
          </w:p>
        </w:tc>
        <w:tc>
          <w:tcPr>
            <w:tcW w:w="738" w:type="pct"/>
            <w:tcBorders>
              <w:tl2br w:val="nil"/>
              <w:tr2bl w:val="nil"/>
            </w:tcBorders>
            <w:shd w:val="clear" w:color="auto" w:fill="D7D7D7" w:themeFill="background1" w:themeFillShade="D8"/>
            <w:noWrap w:val="0"/>
            <w:vAlign w:val="center"/>
          </w:tcPr>
          <w:p w14:paraId="6B9ABFD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789" w:type="pct"/>
            <w:tcBorders>
              <w:tl2br w:val="nil"/>
              <w:tr2bl w:val="nil"/>
            </w:tcBorders>
            <w:shd w:val="clear" w:color="auto" w:fill="D7D7D7" w:themeFill="background1" w:themeFillShade="D8"/>
            <w:noWrap w:val="0"/>
            <w:vAlign w:val="center"/>
          </w:tcPr>
          <w:p w14:paraId="0CE9186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SS</w:t>
            </w:r>
          </w:p>
        </w:tc>
        <w:tc>
          <w:tcPr>
            <w:tcW w:w="1101" w:type="pct"/>
            <w:tcBorders>
              <w:tl2br w:val="nil"/>
              <w:tr2bl w:val="nil"/>
            </w:tcBorders>
            <w:shd w:val="clear" w:color="auto" w:fill="D7D7D7" w:themeFill="background1" w:themeFillShade="D8"/>
            <w:noWrap w:val="0"/>
            <w:vAlign w:val="center"/>
          </w:tcPr>
          <w:p w14:paraId="45FAF74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521" w:type="pct"/>
            <w:tcBorders>
              <w:tl2br w:val="nil"/>
              <w:tr2bl w:val="nil"/>
            </w:tcBorders>
            <w:shd w:val="clear" w:color="auto" w:fill="D7D7D7" w:themeFill="background1" w:themeFillShade="D8"/>
            <w:noWrap w:val="0"/>
            <w:vAlign w:val="center"/>
          </w:tcPr>
          <w:p w14:paraId="31E1377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p>
        </w:tc>
      </w:tr>
      <w:tr w14:paraId="6740595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1124" w:type="pct"/>
            <w:tcBorders>
              <w:tl2br w:val="nil"/>
              <w:tr2bl w:val="nil"/>
            </w:tcBorders>
            <w:noWrap w:val="0"/>
            <w:vAlign w:val="center"/>
          </w:tcPr>
          <w:p w14:paraId="25A771E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zh-CN"/>
              </w:rPr>
            </w:pPr>
            <w:r>
              <w:rPr>
                <w:rFonts w:hint="default" w:ascii="Times New Roman" w:hAnsi="Times New Roman" w:eastAsia="宋体" w:cs="Times New Roman"/>
                <w:color w:val="auto"/>
                <w:kern w:val="0"/>
                <w:sz w:val="21"/>
                <w:szCs w:val="21"/>
                <w:vertAlign w:val="baseline"/>
                <w:lang w:val="zh-CN"/>
              </w:rPr>
              <w:t>本项目</w:t>
            </w:r>
          </w:p>
        </w:tc>
        <w:tc>
          <w:tcPr>
            <w:tcW w:w="725" w:type="pct"/>
            <w:tcBorders>
              <w:tl2br w:val="nil"/>
              <w:tr2bl w:val="nil"/>
            </w:tcBorders>
            <w:noWrap w:val="0"/>
            <w:vAlign w:val="center"/>
          </w:tcPr>
          <w:p w14:paraId="76439ED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300</w:t>
            </w:r>
          </w:p>
        </w:tc>
        <w:tc>
          <w:tcPr>
            <w:tcW w:w="738" w:type="pct"/>
            <w:tcBorders>
              <w:tl2br w:val="nil"/>
              <w:tr2bl w:val="nil"/>
            </w:tcBorders>
            <w:noWrap w:val="0"/>
            <w:vAlign w:val="center"/>
          </w:tcPr>
          <w:p w14:paraId="70A1F35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120</w:t>
            </w:r>
          </w:p>
        </w:tc>
        <w:tc>
          <w:tcPr>
            <w:tcW w:w="789" w:type="pct"/>
            <w:tcBorders>
              <w:tl2br w:val="nil"/>
              <w:tr2bl w:val="nil"/>
            </w:tcBorders>
            <w:noWrap w:val="0"/>
            <w:vAlign w:val="center"/>
          </w:tcPr>
          <w:p w14:paraId="5C46CE6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80</w:t>
            </w:r>
          </w:p>
        </w:tc>
        <w:tc>
          <w:tcPr>
            <w:tcW w:w="1101" w:type="pct"/>
            <w:tcBorders>
              <w:tl2br w:val="nil"/>
              <w:tr2bl w:val="nil"/>
            </w:tcBorders>
            <w:noWrap w:val="0"/>
            <w:vAlign w:val="center"/>
          </w:tcPr>
          <w:p w14:paraId="34AF04F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50</w:t>
            </w:r>
          </w:p>
        </w:tc>
        <w:tc>
          <w:tcPr>
            <w:tcW w:w="521" w:type="pct"/>
            <w:tcBorders>
              <w:tl2br w:val="nil"/>
              <w:tr2bl w:val="nil"/>
            </w:tcBorders>
            <w:noWrap w:val="0"/>
            <w:vAlign w:val="center"/>
          </w:tcPr>
          <w:p w14:paraId="69389C0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10</w:t>
            </w:r>
          </w:p>
        </w:tc>
      </w:tr>
    </w:tbl>
    <w:p w14:paraId="2060A4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根据前文水平衡分析，项目</w:t>
      </w:r>
      <w:r>
        <w:rPr>
          <w:rFonts w:hint="eastAsia" w:ascii="Times New Roman" w:hAnsi="Times New Roman" w:eastAsia="宋体" w:cs="Times New Roman"/>
          <w:bCs/>
          <w:color w:val="auto"/>
          <w:sz w:val="24"/>
          <w:szCs w:val="24"/>
          <w:highlight w:val="none"/>
          <w:lang w:val="en-US" w:eastAsia="zh-CN"/>
        </w:rPr>
        <w:t>供暖期间（冬季）</w:t>
      </w:r>
      <w:r>
        <w:rPr>
          <w:rFonts w:hint="default" w:ascii="Times New Roman" w:hAnsi="Times New Roman" w:eastAsia="宋体" w:cs="Times New Roman"/>
          <w:bCs/>
          <w:color w:val="auto"/>
          <w:sz w:val="24"/>
          <w:szCs w:val="24"/>
          <w:highlight w:val="none"/>
          <w:lang w:val="en-US" w:eastAsia="zh-CN"/>
        </w:rPr>
        <w:t>的日最大废水量为</w:t>
      </w:r>
      <w:r>
        <w:rPr>
          <w:rFonts w:hint="eastAsia" w:ascii="Times New Roman" w:hAnsi="Times New Roman" w:eastAsia="宋体" w:cs="Times New Roman"/>
          <w:bCs/>
          <w:color w:val="auto"/>
          <w:sz w:val="24"/>
          <w:szCs w:val="24"/>
          <w:highlight w:val="none"/>
          <w:lang w:val="en-US" w:eastAsia="zh-CN"/>
        </w:rPr>
        <w:t>704.02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不供暖期间日最大废水量为695.72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vertAlign w:val="baseline"/>
          <w:lang w:val="en-US" w:eastAsia="zh-CN"/>
        </w:rPr>
        <w:t>。</w:t>
      </w:r>
      <w:r>
        <w:rPr>
          <w:rFonts w:hint="default" w:ascii="Times New Roman" w:hAnsi="Times New Roman" w:eastAsia="宋体" w:cs="Times New Roman"/>
          <w:bCs/>
          <w:color w:val="auto"/>
          <w:sz w:val="24"/>
          <w:szCs w:val="24"/>
          <w:highlight w:val="none"/>
          <w:lang w:val="en-US" w:eastAsia="zh-CN"/>
        </w:rPr>
        <w:t>本项目拟设置处理能力</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/d的污水处理设施能满足项目需求，按照污水排放量</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/d计，参照其设计资料，</w:t>
      </w:r>
      <w:r>
        <w:rPr>
          <w:rFonts w:hint="default" w:ascii="Times New Roman" w:hAnsi="Times New Roman" w:eastAsia="宋体" w:cs="Times New Roman"/>
          <w:bCs/>
          <w:color w:val="auto"/>
          <w:sz w:val="24"/>
          <w:szCs w:val="24"/>
          <w:highlight w:val="none"/>
        </w:rPr>
        <w:t>本项目运营期水污染物产排情况如下表：</w:t>
      </w:r>
    </w:p>
    <w:p w14:paraId="41B039DD">
      <w:pPr>
        <w:pStyle w:val="24"/>
        <w:rPr>
          <w:rFonts w:hint="default" w:ascii="Times New Roman" w:hAnsi="Times New Roman" w:eastAsia="宋体" w:cs="Times New Roman"/>
          <w:bCs/>
          <w:color w:val="auto"/>
          <w:sz w:val="22"/>
          <w:szCs w:val="22"/>
          <w:highlight w:val="none"/>
        </w:rPr>
      </w:pPr>
    </w:p>
    <w:p w14:paraId="19C175D7">
      <w:pPr>
        <w:pStyle w:val="24"/>
        <w:rPr>
          <w:rFonts w:hint="default" w:ascii="Times New Roman" w:hAnsi="Times New Roman" w:eastAsia="宋体" w:cs="Times New Roman"/>
          <w:bCs/>
          <w:color w:val="auto"/>
          <w:sz w:val="22"/>
          <w:szCs w:val="2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3F3741D">
      <w:pPr>
        <w:adjustRightInd w:val="0"/>
        <w:ind w:firstLine="440" w:firstLineChars="200"/>
        <w:jc w:val="left"/>
        <w:textAlignment w:val="baseline"/>
        <w:rPr>
          <w:rFonts w:hint="default" w:ascii="Times New Roman" w:hAnsi="Times New Roman" w:eastAsia="宋体" w:cs="Times New Roman"/>
          <w:bCs/>
          <w:color w:val="auto"/>
          <w:sz w:val="22"/>
          <w:szCs w:val="22"/>
          <w:highlight w:val="none"/>
        </w:rPr>
      </w:pPr>
      <w:r>
        <w:rPr>
          <w:rFonts w:hint="default" w:ascii="Times New Roman" w:hAnsi="Times New Roman" w:eastAsia="宋体" w:cs="Times New Roman"/>
          <w:bCs/>
          <w:color w:val="auto"/>
          <w:sz w:val="22"/>
          <w:szCs w:val="22"/>
          <w:highlight w:val="none"/>
        </w:rPr>
        <w:t>本项目运营期水污染物产排情况如下表：</w:t>
      </w:r>
    </w:p>
    <w:p w14:paraId="54ED5F21">
      <w:pPr>
        <w:adjustRightInd w:val="0"/>
        <w:ind w:firstLine="422" w:firstLineChars="200"/>
        <w:jc w:val="center"/>
        <w:textAlignment w:val="baseline"/>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3.2-</w:t>
      </w:r>
      <w:r>
        <w:rPr>
          <w:rFonts w:hint="eastAsia" w:ascii="Times New Roman" w:hAnsi="Times New Roman" w:eastAsia="宋体" w:cs="Times New Roman"/>
          <w:b/>
          <w:color w:val="auto"/>
          <w:szCs w:val="21"/>
          <w:highlight w:val="none"/>
          <w:lang w:val="en-US" w:eastAsia="zh-CN"/>
        </w:rPr>
        <w:t>9</w:t>
      </w:r>
      <w:r>
        <w:rPr>
          <w:rFonts w:hint="default" w:ascii="Times New Roman" w:hAnsi="Times New Roman" w:eastAsia="宋体" w:cs="Times New Roman"/>
          <w:b/>
          <w:color w:val="auto"/>
          <w:szCs w:val="21"/>
          <w:highlight w:val="none"/>
        </w:rPr>
        <w:t>项目运营期废水产排污情况一览表</w:t>
      </w:r>
    </w:p>
    <w:tbl>
      <w:tblPr>
        <w:tblStyle w:val="20"/>
        <w:tblW w:w="13992"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796"/>
        <w:gridCol w:w="1182"/>
        <w:gridCol w:w="765"/>
        <w:gridCol w:w="834"/>
        <w:gridCol w:w="941"/>
        <w:gridCol w:w="760"/>
        <w:gridCol w:w="1215"/>
        <w:gridCol w:w="504"/>
        <w:gridCol w:w="990"/>
        <w:gridCol w:w="710"/>
        <w:gridCol w:w="819"/>
        <w:gridCol w:w="950"/>
        <w:gridCol w:w="750"/>
        <w:gridCol w:w="625"/>
        <w:gridCol w:w="850"/>
        <w:gridCol w:w="587"/>
        <w:gridCol w:w="714"/>
      </w:tblGrid>
      <w:tr w14:paraId="37567C9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58" w:hRule="atLeast"/>
          <w:tblHeader/>
          <w:jc w:val="center"/>
        </w:trPr>
        <w:tc>
          <w:tcPr>
            <w:tcW w:w="796" w:type="dxa"/>
            <w:vMerge w:val="restart"/>
            <w:tcBorders>
              <w:tl2br w:val="nil"/>
              <w:tr2bl w:val="nil"/>
            </w:tcBorders>
            <w:shd w:val="clear" w:color="auto" w:fill="D7D7D7" w:themeFill="background1" w:themeFillShade="D8"/>
            <w:noWrap w:val="0"/>
            <w:vAlign w:val="center"/>
          </w:tcPr>
          <w:p w14:paraId="0826AC21">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产排污</w:t>
            </w:r>
          </w:p>
          <w:p w14:paraId="03797A6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环节</w:t>
            </w:r>
          </w:p>
        </w:tc>
        <w:tc>
          <w:tcPr>
            <w:tcW w:w="1182" w:type="dxa"/>
            <w:vMerge w:val="restart"/>
            <w:tcBorders>
              <w:tl2br w:val="nil"/>
              <w:tr2bl w:val="nil"/>
            </w:tcBorders>
            <w:shd w:val="clear" w:color="auto" w:fill="D7D7D7" w:themeFill="background1" w:themeFillShade="D8"/>
            <w:noWrap w:val="0"/>
            <w:vAlign w:val="center"/>
          </w:tcPr>
          <w:p w14:paraId="2563E590">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污染物</w:t>
            </w:r>
          </w:p>
          <w:p w14:paraId="0499557D">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种类</w:t>
            </w:r>
          </w:p>
        </w:tc>
        <w:tc>
          <w:tcPr>
            <w:tcW w:w="765" w:type="dxa"/>
            <w:vMerge w:val="restart"/>
            <w:tcBorders>
              <w:tl2br w:val="nil"/>
              <w:tr2bl w:val="nil"/>
            </w:tcBorders>
            <w:shd w:val="clear" w:color="auto" w:fill="D7D7D7" w:themeFill="background1" w:themeFillShade="D8"/>
            <w:noWrap w:val="0"/>
            <w:vAlign w:val="center"/>
          </w:tcPr>
          <w:p w14:paraId="0D038ED6">
            <w:pPr>
              <w:jc w:val="center"/>
              <w:rPr>
                <w:rFonts w:hint="default" w:ascii="Times New Roman" w:hAnsi="Times New Roman" w:eastAsia="宋体" w:cs="Times New Roman"/>
                <w:b/>
                <w:bCs/>
                <w:color w:val="auto"/>
                <w:szCs w:val="22"/>
                <w:highlight w:val="none"/>
                <w:lang w:eastAsia="zh-CN"/>
              </w:rPr>
            </w:pPr>
            <w:r>
              <w:rPr>
                <w:rFonts w:hint="default" w:ascii="Times New Roman" w:hAnsi="Times New Roman" w:eastAsia="宋体" w:cs="Times New Roman"/>
                <w:b/>
                <w:bCs/>
                <w:color w:val="auto"/>
                <w:szCs w:val="22"/>
                <w:highlight w:val="none"/>
              </w:rPr>
              <w:t>废水产生量</w:t>
            </w:r>
            <w:r>
              <w:rPr>
                <w:rFonts w:hint="default" w:ascii="Times New Roman" w:hAnsi="Times New Roman" w:eastAsia="宋体" w:cs="Times New Roman"/>
                <w:b/>
                <w:bCs/>
                <w:color w:val="auto"/>
                <w:szCs w:val="22"/>
                <w:highlight w:val="none"/>
                <w:lang w:val="en-US" w:eastAsia="zh-CN"/>
              </w:rPr>
              <w:t>m</w:t>
            </w:r>
            <w:r>
              <w:rPr>
                <w:rFonts w:hint="default" w:ascii="Times New Roman" w:hAnsi="Times New Roman" w:eastAsia="宋体" w:cs="Times New Roman"/>
                <w:b/>
                <w:bCs/>
                <w:color w:val="auto"/>
                <w:szCs w:val="22"/>
                <w:highlight w:val="none"/>
                <w:vertAlign w:val="superscript"/>
                <w:lang w:val="en-US" w:eastAsia="zh-CN"/>
              </w:rPr>
              <w:t>3</w:t>
            </w:r>
            <w:r>
              <w:rPr>
                <w:rFonts w:hint="default" w:ascii="Times New Roman" w:hAnsi="Times New Roman" w:eastAsia="宋体" w:cs="Times New Roman"/>
                <w:b/>
                <w:bCs/>
                <w:color w:val="auto"/>
                <w:szCs w:val="22"/>
                <w:highlight w:val="none"/>
              </w:rPr>
              <w:t>/</w:t>
            </w:r>
            <w:r>
              <w:rPr>
                <w:rFonts w:hint="default" w:ascii="Times New Roman" w:hAnsi="Times New Roman" w:eastAsia="宋体" w:cs="Times New Roman"/>
                <w:b/>
                <w:bCs/>
                <w:color w:val="auto"/>
                <w:szCs w:val="22"/>
                <w:highlight w:val="none"/>
                <w:lang w:val="en-US" w:eastAsia="zh-CN"/>
              </w:rPr>
              <w:t>d</w:t>
            </w:r>
          </w:p>
        </w:tc>
        <w:tc>
          <w:tcPr>
            <w:tcW w:w="834" w:type="dxa"/>
            <w:vMerge w:val="restart"/>
            <w:tcBorders>
              <w:tl2br w:val="nil"/>
              <w:tr2bl w:val="nil"/>
            </w:tcBorders>
            <w:shd w:val="clear" w:color="auto" w:fill="D7D7D7" w:themeFill="background1" w:themeFillShade="D8"/>
            <w:noWrap w:val="0"/>
            <w:vAlign w:val="center"/>
          </w:tcPr>
          <w:p w14:paraId="603759B1">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污染物产生量t/a</w:t>
            </w:r>
          </w:p>
        </w:tc>
        <w:tc>
          <w:tcPr>
            <w:tcW w:w="941" w:type="dxa"/>
            <w:vMerge w:val="restart"/>
            <w:tcBorders>
              <w:tl2br w:val="nil"/>
              <w:tr2bl w:val="nil"/>
            </w:tcBorders>
            <w:shd w:val="clear" w:color="auto" w:fill="D7D7D7" w:themeFill="background1" w:themeFillShade="D8"/>
            <w:noWrap w:val="0"/>
            <w:vAlign w:val="center"/>
          </w:tcPr>
          <w:p w14:paraId="35B00151">
            <w:pPr>
              <w:jc w:val="center"/>
              <w:rPr>
                <w:rFonts w:hint="default" w:ascii="Times New Roman" w:hAnsi="Times New Roman" w:eastAsia="宋体" w:cs="Times New Roman"/>
                <w:b/>
                <w:bCs/>
                <w:color w:val="auto"/>
                <w:szCs w:val="22"/>
                <w:highlight w:val="none"/>
                <w:lang w:eastAsia="zh-CN"/>
              </w:rPr>
            </w:pPr>
            <w:r>
              <w:rPr>
                <w:rFonts w:hint="default" w:ascii="Times New Roman" w:hAnsi="Times New Roman" w:eastAsia="宋体" w:cs="Times New Roman"/>
                <w:b/>
                <w:bCs/>
                <w:color w:val="auto"/>
                <w:szCs w:val="22"/>
                <w:highlight w:val="none"/>
              </w:rPr>
              <w:t>污染物产生浓度mg/</w:t>
            </w:r>
            <w:r>
              <w:rPr>
                <w:rFonts w:hint="default" w:ascii="Times New Roman" w:hAnsi="Times New Roman" w:eastAsia="宋体" w:cs="Times New Roman"/>
                <w:b/>
                <w:bCs/>
                <w:color w:val="auto"/>
                <w:szCs w:val="22"/>
                <w:highlight w:val="none"/>
                <w:lang w:val="en-US" w:eastAsia="zh-CN"/>
              </w:rPr>
              <w:t>L</w:t>
            </w:r>
          </w:p>
        </w:tc>
        <w:tc>
          <w:tcPr>
            <w:tcW w:w="3469" w:type="dxa"/>
            <w:gridSpan w:val="4"/>
            <w:tcBorders>
              <w:tl2br w:val="nil"/>
              <w:tr2bl w:val="nil"/>
            </w:tcBorders>
            <w:shd w:val="clear" w:color="auto" w:fill="D7D7D7" w:themeFill="background1" w:themeFillShade="D8"/>
            <w:noWrap w:val="0"/>
            <w:vAlign w:val="center"/>
          </w:tcPr>
          <w:p w14:paraId="5D19AF8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治理设施</w:t>
            </w:r>
          </w:p>
        </w:tc>
        <w:tc>
          <w:tcPr>
            <w:tcW w:w="710" w:type="dxa"/>
            <w:vMerge w:val="restart"/>
            <w:tcBorders>
              <w:tl2br w:val="nil"/>
              <w:tr2bl w:val="nil"/>
            </w:tcBorders>
            <w:shd w:val="clear" w:color="auto" w:fill="D7D7D7" w:themeFill="background1" w:themeFillShade="D8"/>
            <w:noWrap w:val="0"/>
            <w:vAlign w:val="center"/>
          </w:tcPr>
          <w:p w14:paraId="433E6540">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排放口</w:t>
            </w:r>
          </w:p>
          <w:p w14:paraId="760A238F">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编号</w:t>
            </w:r>
          </w:p>
        </w:tc>
        <w:tc>
          <w:tcPr>
            <w:tcW w:w="819" w:type="dxa"/>
            <w:vMerge w:val="restart"/>
            <w:tcBorders>
              <w:tl2br w:val="nil"/>
              <w:tr2bl w:val="nil"/>
            </w:tcBorders>
            <w:shd w:val="clear" w:color="auto" w:fill="D7D7D7" w:themeFill="background1" w:themeFillShade="D8"/>
            <w:noWrap w:val="0"/>
            <w:vAlign w:val="center"/>
          </w:tcPr>
          <w:p w14:paraId="60AAAB2E">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废水排放量</w:t>
            </w:r>
            <w:r>
              <w:rPr>
                <w:rFonts w:hint="default" w:ascii="Times New Roman" w:hAnsi="Times New Roman" w:eastAsia="宋体" w:cs="Times New Roman"/>
                <w:b/>
                <w:bCs/>
                <w:color w:val="auto"/>
                <w:szCs w:val="22"/>
                <w:highlight w:val="none"/>
                <w:lang w:val="en-US" w:eastAsia="zh-CN"/>
              </w:rPr>
              <w:t>m</w:t>
            </w:r>
            <w:r>
              <w:rPr>
                <w:rFonts w:hint="default" w:ascii="Times New Roman" w:hAnsi="Times New Roman" w:eastAsia="宋体" w:cs="Times New Roman"/>
                <w:b/>
                <w:bCs/>
                <w:color w:val="auto"/>
                <w:szCs w:val="22"/>
                <w:highlight w:val="none"/>
                <w:vertAlign w:val="superscript"/>
                <w:lang w:val="en-US" w:eastAsia="zh-CN"/>
              </w:rPr>
              <w:t>3</w:t>
            </w:r>
            <w:r>
              <w:rPr>
                <w:rFonts w:hint="default" w:ascii="Times New Roman" w:hAnsi="Times New Roman" w:eastAsia="宋体" w:cs="Times New Roman"/>
                <w:b/>
                <w:bCs/>
                <w:color w:val="auto"/>
                <w:szCs w:val="22"/>
                <w:highlight w:val="none"/>
              </w:rPr>
              <w:t>/</w:t>
            </w:r>
            <w:r>
              <w:rPr>
                <w:rFonts w:hint="default" w:ascii="Times New Roman" w:hAnsi="Times New Roman" w:eastAsia="宋体" w:cs="Times New Roman"/>
                <w:b/>
                <w:bCs/>
                <w:color w:val="auto"/>
                <w:szCs w:val="22"/>
                <w:highlight w:val="none"/>
                <w:lang w:val="en-US" w:eastAsia="zh-CN"/>
              </w:rPr>
              <w:t>d</w:t>
            </w:r>
          </w:p>
        </w:tc>
        <w:tc>
          <w:tcPr>
            <w:tcW w:w="950" w:type="dxa"/>
            <w:vMerge w:val="restart"/>
            <w:tcBorders>
              <w:tl2br w:val="nil"/>
              <w:tr2bl w:val="nil"/>
            </w:tcBorders>
            <w:shd w:val="clear" w:color="auto" w:fill="D7D7D7" w:themeFill="background1" w:themeFillShade="D8"/>
            <w:noWrap w:val="0"/>
            <w:vAlign w:val="center"/>
          </w:tcPr>
          <w:p w14:paraId="038CACE9">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污染物</w:t>
            </w:r>
          </w:p>
          <w:p w14:paraId="4728DE22">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排放量t/a</w:t>
            </w:r>
          </w:p>
        </w:tc>
        <w:tc>
          <w:tcPr>
            <w:tcW w:w="750" w:type="dxa"/>
            <w:vMerge w:val="restart"/>
            <w:tcBorders>
              <w:tl2br w:val="nil"/>
              <w:tr2bl w:val="nil"/>
            </w:tcBorders>
            <w:shd w:val="clear" w:color="auto" w:fill="D7D7D7" w:themeFill="background1" w:themeFillShade="D8"/>
            <w:noWrap w:val="0"/>
            <w:vAlign w:val="center"/>
          </w:tcPr>
          <w:p w14:paraId="56D7ADC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w:t>
            </w:r>
          </w:p>
          <w:p w14:paraId="7D708657">
            <w:pPr>
              <w:jc w:val="center"/>
              <w:rPr>
                <w:rFonts w:hint="default" w:ascii="Times New Roman" w:hAnsi="Times New Roman" w:eastAsia="宋体" w:cs="Times New Roman"/>
                <w:b/>
                <w:bCs/>
                <w:color w:val="auto"/>
                <w:szCs w:val="22"/>
                <w:highlight w:val="none"/>
                <w:lang w:eastAsia="zh-CN"/>
              </w:rPr>
            </w:pPr>
            <w:r>
              <w:rPr>
                <w:rFonts w:hint="default" w:ascii="Times New Roman" w:hAnsi="Times New Roman" w:eastAsia="宋体" w:cs="Times New Roman"/>
                <w:b/>
                <w:bCs/>
                <w:color w:val="auto"/>
                <w:szCs w:val="22"/>
                <w:highlight w:val="none"/>
              </w:rPr>
              <w:t>浓度mg/</w:t>
            </w:r>
            <w:r>
              <w:rPr>
                <w:rFonts w:hint="default" w:ascii="Times New Roman" w:hAnsi="Times New Roman" w:eastAsia="宋体" w:cs="Times New Roman"/>
                <w:b/>
                <w:bCs/>
                <w:color w:val="auto"/>
                <w:szCs w:val="22"/>
                <w:highlight w:val="none"/>
                <w:lang w:val="en-US" w:eastAsia="zh-CN"/>
              </w:rPr>
              <w:t>L</w:t>
            </w:r>
          </w:p>
        </w:tc>
        <w:tc>
          <w:tcPr>
            <w:tcW w:w="625" w:type="dxa"/>
            <w:vMerge w:val="restart"/>
            <w:tcBorders>
              <w:tl2br w:val="nil"/>
              <w:tr2bl w:val="nil"/>
            </w:tcBorders>
            <w:shd w:val="clear" w:color="auto" w:fill="D7D7D7" w:themeFill="background1" w:themeFillShade="D8"/>
            <w:noWrap w:val="0"/>
            <w:vAlign w:val="center"/>
          </w:tcPr>
          <w:p w14:paraId="745F86E4">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w:t>
            </w:r>
          </w:p>
          <w:p w14:paraId="2A3603CF">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方式</w:t>
            </w:r>
          </w:p>
        </w:tc>
        <w:tc>
          <w:tcPr>
            <w:tcW w:w="850" w:type="dxa"/>
            <w:vMerge w:val="restart"/>
            <w:tcBorders>
              <w:tl2br w:val="nil"/>
              <w:tr2bl w:val="nil"/>
            </w:tcBorders>
            <w:shd w:val="clear" w:color="auto" w:fill="D7D7D7" w:themeFill="background1" w:themeFillShade="D8"/>
            <w:noWrap w:val="0"/>
            <w:vAlign w:val="center"/>
          </w:tcPr>
          <w:p w14:paraId="5690DC44">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w:t>
            </w:r>
          </w:p>
          <w:p w14:paraId="1A192E28">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去向</w:t>
            </w:r>
          </w:p>
        </w:tc>
        <w:tc>
          <w:tcPr>
            <w:tcW w:w="587" w:type="dxa"/>
            <w:vMerge w:val="restart"/>
            <w:tcBorders>
              <w:tl2br w:val="nil"/>
              <w:tr2bl w:val="nil"/>
            </w:tcBorders>
            <w:shd w:val="clear" w:color="auto" w:fill="D7D7D7" w:themeFill="background1" w:themeFillShade="D8"/>
            <w:noWrap w:val="0"/>
            <w:vAlign w:val="center"/>
          </w:tcPr>
          <w:p w14:paraId="0701105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排放</w:t>
            </w:r>
          </w:p>
          <w:p w14:paraId="59A3533D">
            <w:pPr>
              <w:jc w:val="center"/>
              <w:rPr>
                <w:rFonts w:hint="default" w:ascii="Times New Roman" w:hAnsi="Times New Roman" w:eastAsia="宋体" w:cs="Times New Roman"/>
                <w:b/>
                <w:bCs/>
                <w:color w:val="auto"/>
                <w:szCs w:val="22"/>
                <w:highlight w:val="none"/>
                <w:lang w:eastAsia="zh-CN"/>
              </w:rPr>
            </w:pPr>
            <w:r>
              <w:rPr>
                <w:rFonts w:hint="default" w:ascii="Times New Roman" w:hAnsi="Times New Roman" w:eastAsia="宋体" w:cs="Times New Roman"/>
                <w:b/>
                <w:bCs/>
                <w:color w:val="auto"/>
                <w:szCs w:val="22"/>
                <w:highlight w:val="none"/>
              </w:rPr>
              <w:t>规</w:t>
            </w:r>
            <w:r>
              <w:rPr>
                <w:rFonts w:hint="default" w:ascii="Times New Roman" w:hAnsi="Times New Roman" w:eastAsia="宋体" w:cs="Times New Roman"/>
                <w:b/>
                <w:bCs/>
                <w:color w:val="auto"/>
                <w:szCs w:val="22"/>
                <w:highlight w:val="none"/>
                <w:lang w:eastAsia="zh-CN"/>
              </w:rPr>
              <w:t>律</w:t>
            </w:r>
          </w:p>
        </w:tc>
        <w:tc>
          <w:tcPr>
            <w:tcW w:w="714" w:type="dxa"/>
            <w:vMerge w:val="restart"/>
            <w:tcBorders>
              <w:tl2br w:val="nil"/>
              <w:tr2bl w:val="nil"/>
            </w:tcBorders>
            <w:shd w:val="clear" w:color="auto" w:fill="D7D7D7" w:themeFill="background1" w:themeFillShade="D8"/>
            <w:noWrap w:val="0"/>
            <w:vAlign w:val="center"/>
          </w:tcPr>
          <w:p w14:paraId="20C77582">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备注</w:t>
            </w:r>
          </w:p>
        </w:tc>
      </w:tr>
      <w:tr w14:paraId="233962D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84" w:hRule="atLeast"/>
          <w:tblHeader/>
          <w:jc w:val="center"/>
        </w:trPr>
        <w:tc>
          <w:tcPr>
            <w:tcW w:w="796" w:type="dxa"/>
            <w:vMerge w:val="continue"/>
            <w:tcBorders>
              <w:tl2br w:val="nil"/>
              <w:tr2bl w:val="nil"/>
            </w:tcBorders>
            <w:noWrap w:val="0"/>
            <w:vAlign w:val="center"/>
          </w:tcPr>
          <w:p w14:paraId="723DFC58">
            <w:pPr>
              <w:jc w:val="center"/>
              <w:rPr>
                <w:rFonts w:hint="default" w:ascii="Times New Roman" w:hAnsi="Times New Roman" w:eastAsia="宋体" w:cs="Times New Roman"/>
                <w:color w:val="auto"/>
                <w:szCs w:val="22"/>
                <w:highlight w:val="none"/>
              </w:rPr>
            </w:pPr>
          </w:p>
        </w:tc>
        <w:tc>
          <w:tcPr>
            <w:tcW w:w="1182" w:type="dxa"/>
            <w:vMerge w:val="continue"/>
            <w:tcBorders>
              <w:tl2br w:val="nil"/>
              <w:tr2bl w:val="nil"/>
            </w:tcBorders>
            <w:noWrap w:val="0"/>
            <w:vAlign w:val="center"/>
          </w:tcPr>
          <w:p w14:paraId="1AC7A1B4">
            <w:pPr>
              <w:jc w:val="center"/>
              <w:rPr>
                <w:rFonts w:hint="default" w:ascii="Times New Roman" w:hAnsi="Times New Roman" w:eastAsia="宋体" w:cs="Times New Roman"/>
                <w:color w:val="auto"/>
                <w:szCs w:val="22"/>
                <w:highlight w:val="none"/>
              </w:rPr>
            </w:pPr>
          </w:p>
        </w:tc>
        <w:tc>
          <w:tcPr>
            <w:tcW w:w="765" w:type="dxa"/>
            <w:vMerge w:val="continue"/>
            <w:tcBorders>
              <w:tl2br w:val="nil"/>
              <w:tr2bl w:val="nil"/>
            </w:tcBorders>
            <w:noWrap w:val="0"/>
            <w:vAlign w:val="center"/>
          </w:tcPr>
          <w:p w14:paraId="783051FC">
            <w:pPr>
              <w:jc w:val="center"/>
              <w:rPr>
                <w:rFonts w:hint="default" w:ascii="Times New Roman" w:hAnsi="Times New Roman" w:eastAsia="宋体" w:cs="Times New Roman"/>
                <w:color w:val="auto"/>
                <w:szCs w:val="22"/>
                <w:highlight w:val="none"/>
              </w:rPr>
            </w:pPr>
          </w:p>
        </w:tc>
        <w:tc>
          <w:tcPr>
            <w:tcW w:w="834" w:type="dxa"/>
            <w:vMerge w:val="continue"/>
            <w:tcBorders>
              <w:tl2br w:val="nil"/>
              <w:tr2bl w:val="nil"/>
            </w:tcBorders>
            <w:noWrap w:val="0"/>
            <w:vAlign w:val="center"/>
          </w:tcPr>
          <w:p w14:paraId="5F4FE4C6">
            <w:pPr>
              <w:jc w:val="center"/>
              <w:rPr>
                <w:rFonts w:hint="default" w:ascii="Times New Roman" w:hAnsi="Times New Roman" w:eastAsia="宋体" w:cs="Times New Roman"/>
                <w:color w:val="auto"/>
                <w:szCs w:val="22"/>
                <w:highlight w:val="none"/>
              </w:rPr>
            </w:pPr>
          </w:p>
        </w:tc>
        <w:tc>
          <w:tcPr>
            <w:tcW w:w="941" w:type="dxa"/>
            <w:vMerge w:val="continue"/>
            <w:tcBorders>
              <w:tl2br w:val="nil"/>
              <w:tr2bl w:val="nil"/>
            </w:tcBorders>
            <w:noWrap w:val="0"/>
            <w:vAlign w:val="center"/>
          </w:tcPr>
          <w:p w14:paraId="46273797">
            <w:pPr>
              <w:jc w:val="center"/>
              <w:rPr>
                <w:rFonts w:hint="default" w:ascii="Times New Roman" w:hAnsi="Times New Roman" w:eastAsia="宋体" w:cs="Times New Roman"/>
                <w:color w:val="auto"/>
                <w:szCs w:val="22"/>
                <w:highlight w:val="none"/>
              </w:rPr>
            </w:pPr>
          </w:p>
        </w:tc>
        <w:tc>
          <w:tcPr>
            <w:tcW w:w="760" w:type="dxa"/>
            <w:tcBorders>
              <w:tl2br w:val="nil"/>
              <w:tr2bl w:val="nil"/>
            </w:tcBorders>
            <w:shd w:val="clear" w:color="auto" w:fill="D7D7D7" w:themeFill="background1" w:themeFillShade="D8"/>
            <w:noWrap w:val="0"/>
            <w:vAlign w:val="center"/>
          </w:tcPr>
          <w:p w14:paraId="55CD5AB3">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处理</w:t>
            </w:r>
          </w:p>
          <w:p w14:paraId="6E694B7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能力</w:t>
            </w:r>
          </w:p>
        </w:tc>
        <w:tc>
          <w:tcPr>
            <w:tcW w:w="1215" w:type="dxa"/>
            <w:tcBorders>
              <w:tl2br w:val="nil"/>
              <w:tr2bl w:val="nil"/>
            </w:tcBorders>
            <w:shd w:val="clear" w:color="auto" w:fill="D7D7D7" w:themeFill="background1" w:themeFillShade="D8"/>
            <w:noWrap w:val="0"/>
            <w:vAlign w:val="center"/>
          </w:tcPr>
          <w:p w14:paraId="41E8B6E7">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治理工艺</w:t>
            </w:r>
          </w:p>
        </w:tc>
        <w:tc>
          <w:tcPr>
            <w:tcW w:w="504" w:type="dxa"/>
            <w:tcBorders>
              <w:tl2br w:val="nil"/>
              <w:tr2bl w:val="nil"/>
            </w:tcBorders>
            <w:shd w:val="clear" w:color="auto" w:fill="D7D7D7" w:themeFill="background1" w:themeFillShade="D8"/>
            <w:noWrap w:val="0"/>
            <w:vAlign w:val="center"/>
          </w:tcPr>
          <w:p w14:paraId="1A8D8183">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治理</w:t>
            </w:r>
          </w:p>
          <w:p w14:paraId="4E3579C9">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效率</w:t>
            </w:r>
          </w:p>
        </w:tc>
        <w:tc>
          <w:tcPr>
            <w:tcW w:w="990" w:type="dxa"/>
            <w:tcBorders>
              <w:tl2br w:val="nil"/>
              <w:tr2bl w:val="nil"/>
            </w:tcBorders>
            <w:shd w:val="clear" w:color="auto" w:fill="D7D7D7" w:themeFill="background1" w:themeFillShade="D8"/>
            <w:noWrap w:val="0"/>
            <w:vAlign w:val="center"/>
          </w:tcPr>
          <w:p w14:paraId="23704706">
            <w:pPr>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是否为可行技术</w:t>
            </w:r>
          </w:p>
        </w:tc>
        <w:tc>
          <w:tcPr>
            <w:tcW w:w="710" w:type="dxa"/>
            <w:vMerge w:val="continue"/>
            <w:tcBorders>
              <w:tl2br w:val="nil"/>
              <w:tr2bl w:val="nil"/>
            </w:tcBorders>
            <w:noWrap w:val="0"/>
            <w:vAlign w:val="center"/>
          </w:tcPr>
          <w:p w14:paraId="2E2C3CB1">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3C22E421">
            <w:pPr>
              <w:jc w:val="center"/>
              <w:rPr>
                <w:rFonts w:hint="default" w:ascii="Times New Roman" w:hAnsi="Times New Roman" w:eastAsia="宋体" w:cs="Times New Roman"/>
                <w:color w:val="auto"/>
                <w:szCs w:val="22"/>
                <w:highlight w:val="none"/>
              </w:rPr>
            </w:pPr>
          </w:p>
        </w:tc>
        <w:tc>
          <w:tcPr>
            <w:tcW w:w="950" w:type="dxa"/>
            <w:vMerge w:val="continue"/>
            <w:tcBorders>
              <w:tl2br w:val="nil"/>
              <w:tr2bl w:val="nil"/>
            </w:tcBorders>
            <w:noWrap w:val="0"/>
            <w:vAlign w:val="center"/>
          </w:tcPr>
          <w:p w14:paraId="6B87168E">
            <w:pPr>
              <w:jc w:val="center"/>
              <w:rPr>
                <w:rFonts w:hint="default" w:ascii="Times New Roman" w:hAnsi="Times New Roman" w:eastAsia="宋体" w:cs="Times New Roman"/>
                <w:color w:val="auto"/>
                <w:szCs w:val="22"/>
                <w:highlight w:val="none"/>
              </w:rPr>
            </w:pPr>
          </w:p>
        </w:tc>
        <w:tc>
          <w:tcPr>
            <w:tcW w:w="750" w:type="dxa"/>
            <w:vMerge w:val="continue"/>
            <w:tcBorders>
              <w:tl2br w:val="nil"/>
              <w:tr2bl w:val="nil"/>
            </w:tcBorders>
            <w:noWrap w:val="0"/>
            <w:vAlign w:val="center"/>
          </w:tcPr>
          <w:p w14:paraId="0DDC7454">
            <w:pPr>
              <w:jc w:val="center"/>
              <w:rPr>
                <w:rFonts w:hint="default" w:ascii="Times New Roman" w:hAnsi="Times New Roman" w:eastAsia="宋体" w:cs="Times New Roman"/>
                <w:color w:val="auto"/>
                <w:szCs w:val="22"/>
                <w:highlight w:val="none"/>
              </w:rPr>
            </w:pPr>
          </w:p>
        </w:tc>
        <w:tc>
          <w:tcPr>
            <w:tcW w:w="625" w:type="dxa"/>
            <w:vMerge w:val="continue"/>
            <w:tcBorders>
              <w:tl2br w:val="nil"/>
              <w:tr2bl w:val="nil"/>
            </w:tcBorders>
            <w:noWrap w:val="0"/>
            <w:vAlign w:val="center"/>
          </w:tcPr>
          <w:p w14:paraId="19E3A948">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6B2BF59F">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5A78E551">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4150F4DE">
            <w:pPr>
              <w:jc w:val="center"/>
              <w:rPr>
                <w:rFonts w:hint="default" w:ascii="Times New Roman" w:hAnsi="Times New Roman" w:eastAsia="宋体" w:cs="Times New Roman"/>
                <w:color w:val="auto"/>
                <w:szCs w:val="22"/>
                <w:highlight w:val="none"/>
              </w:rPr>
            </w:pPr>
          </w:p>
        </w:tc>
      </w:tr>
      <w:tr w14:paraId="2FB402B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55" w:hRule="atLeast"/>
          <w:tblHeader/>
          <w:jc w:val="center"/>
        </w:trPr>
        <w:tc>
          <w:tcPr>
            <w:tcW w:w="796" w:type="dxa"/>
            <w:vMerge w:val="restart"/>
            <w:tcBorders>
              <w:tl2br w:val="nil"/>
              <w:tr2bl w:val="nil"/>
            </w:tcBorders>
            <w:noWrap w:val="0"/>
            <w:vAlign w:val="center"/>
          </w:tcPr>
          <w:p w14:paraId="3CDEBC9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医疗</w:t>
            </w:r>
          </w:p>
          <w:p w14:paraId="0F603840">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1182" w:type="dxa"/>
            <w:tcBorders>
              <w:tl2br w:val="nil"/>
              <w:tr2bl w:val="nil"/>
            </w:tcBorders>
            <w:noWrap w:val="0"/>
            <w:vAlign w:val="center"/>
          </w:tcPr>
          <w:p w14:paraId="66CFB3FF">
            <w:pPr>
              <w:pStyle w:val="36"/>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highlight w:val="none"/>
              </w:rPr>
              <w:t>pH</w:t>
            </w:r>
          </w:p>
        </w:tc>
        <w:tc>
          <w:tcPr>
            <w:tcW w:w="765" w:type="dxa"/>
            <w:vMerge w:val="restart"/>
            <w:tcBorders>
              <w:tl2br w:val="nil"/>
              <w:tr2bl w:val="nil"/>
            </w:tcBorders>
            <w:noWrap w:val="0"/>
            <w:vAlign w:val="center"/>
          </w:tcPr>
          <w:p w14:paraId="0A91DF4A">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w:t>
            </w:r>
          </w:p>
        </w:tc>
        <w:tc>
          <w:tcPr>
            <w:tcW w:w="834" w:type="dxa"/>
            <w:tcBorders>
              <w:tl2br w:val="nil"/>
              <w:tr2bl w:val="nil"/>
            </w:tcBorders>
            <w:noWrap w:val="0"/>
            <w:vAlign w:val="center"/>
          </w:tcPr>
          <w:p w14:paraId="59100EC3">
            <w:pPr>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941" w:type="dxa"/>
            <w:tcBorders>
              <w:tl2br w:val="nil"/>
              <w:tr2bl w:val="nil"/>
            </w:tcBorders>
            <w:noWrap w:val="0"/>
            <w:vAlign w:val="center"/>
          </w:tcPr>
          <w:p w14:paraId="241C433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6-9（无量纲）</w:t>
            </w:r>
          </w:p>
        </w:tc>
        <w:tc>
          <w:tcPr>
            <w:tcW w:w="760" w:type="dxa"/>
            <w:vMerge w:val="restart"/>
            <w:tcBorders>
              <w:tl2br w:val="nil"/>
              <w:tr2bl w:val="nil"/>
            </w:tcBorders>
            <w:noWrap w:val="0"/>
            <w:vAlign w:val="center"/>
          </w:tcPr>
          <w:p w14:paraId="761C21AF">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800</w:t>
            </w:r>
          </w:p>
        </w:tc>
        <w:tc>
          <w:tcPr>
            <w:tcW w:w="1215" w:type="dxa"/>
            <w:vMerge w:val="restart"/>
            <w:tcBorders>
              <w:tl2br w:val="nil"/>
              <w:tr2bl w:val="nil"/>
            </w:tcBorders>
            <w:noWrap w:val="0"/>
            <w:vAlign w:val="center"/>
          </w:tcPr>
          <w:p w14:paraId="68A40991">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预消毒+化粪池+格栅+调节池+水解池+接触氧化+沉淀池+二氧化氯消毒</w:t>
            </w:r>
          </w:p>
        </w:tc>
        <w:tc>
          <w:tcPr>
            <w:tcW w:w="504" w:type="dxa"/>
            <w:vMerge w:val="restart"/>
            <w:tcBorders>
              <w:tl2br w:val="nil"/>
              <w:tr2bl w:val="nil"/>
            </w:tcBorders>
            <w:noWrap w:val="0"/>
            <w:vAlign w:val="center"/>
          </w:tcPr>
          <w:p w14:paraId="4CBD1F37">
            <w:pPr>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990" w:type="dxa"/>
            <w:vMerge w:val="restart"/>
            <w:tcBorders>
              <w:tl2br w:val="nil"/>
              <w:tr2bl w:val="nil"/>
            </w:tcBorders>
            <w:noWrap w:val="0"/>
            <w:vAlign w:val="center"/>
          </w:tcPr>
          <w:p w14:paraId="5DE950F4">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是</w:t>
            </w:r>
          </w:p>
        </w:tc>
        <w:tc>
          <w:tcPr>
            <w:tcW w:w="710" w:type="dxa"/>
            <w:vMerge w:val="restart"/>
            <w:tcBorders>
              <w:tl2br w:val="nil"/>
              <w:tr2bl w:val="nil"/>
            </w:tcBorders>
            <w:noWrap w:val="0"/>
            <w:vAlign w:val="center"/>
          </w:tcPr>
          <w:p w14:paraId="0B9D91E9">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DW001</w:t>
            </w:r>
          </w:p>
        </w:tc>
        <w:tc>
          <w:tcPr>
            <w:tcW w:w="819" w:type="dxa"/>
            <w:vMerge w:val="restart"/>
            <w:tcBorders>
              <w:tl2br w:val="nil"/>
              <w:tr2bl w:val="nil"/>
            </w:tcBorders>
            <w:noWrap w:val="0"/>
            <w:vAlign w:val="center"/>
          </w:tcPr>
          <w:p w14:paraId="5E75EB04">
            <w:pPr>
              <w:jc w:val="center"/>
              <w:rPr>
                <w:rFonts w:hint="default" w:ascii="Times New Roman" w:hAnsi="Times New Roman" w:eastAsia="宋体" w:cs="Times New Roman"/>
                <w:color w:val="auto"/>
                <w:szCs w:val="22"/>
                <w:highlight w:val="none"/>
                <w:lang w:val="en-US"/>
              </w:rPr>
            </w:pP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800</w:t>
            </w:r>
          </w:p>
        </w:tc>
        <w:tc>
          <w:tcPr>
            <w:tcW w:w="950" w:type="dxa"/>
            <w:tcBorders>
              <w:tl2br w:val="nil"/>
              <w:tr2bl w:val="nil"/>
            </w:tcBorders>
            <w:noWrap w:val="0"/>
            <w:vAlign w:val="center"/>
          </w:tcPr>
          <w:p w14:paraId="643054FB">
            <w:pPr>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750" w:type="dxa"/>
            <w:tcBorders>
              <w:tl2br w:val="nil"/>
              <w:tr2bl w:val="nil"/>
            </w:tcBorders>
            <w:noWrap w:val="0"/>
            <w:vAlign w:val="center"/>
          </w:tcPr>
          <w:p w14:paraId="64619ECF">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6-9（无量纲）</w:t>
            </w:r>
          </w:p>
        </w:tc>
        <w:tc>
          <w:tcPr>
            <w:tcW w:w="625" w:type="dxa"/>
            <w:vMerge w:val="restart"/>
            <w:tcBorders>
              <w:tl2br w:val="nil"/>
              <w:tr2bl w:val="nil"/>
            </w:tcBorders>
            <w:noWrap w:val="0"/>
            <w:vAlign w:val="center"/>
          </w:tcPr>
          <w:p w14:paraId="31D5DF1F">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间接</w:t>
            </w:r>
          </w:p>
          <w:p w14:paraId="56A98CB2">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排放</w:t>
            </w:r>
          </w:p>
        </w:tc>
        <w:tc>
          <w:tcPr>
            <w:tcW w:w="850" w:type="dxa"/>
            <w:vMerge w:val="restart"/>
            <w:tcBorders>
              <w:tl2br w:val="nil"/>
              <w:tr2bl w:val="nil"/>
            </w:tcBorders>
            <w:noWrap w:val="0"/>
            <w:vAlign w:val="center"/>
          </w:tcPr>
          <w:p w14:paraId="112D8F3D">
            <w:pPr>
              <w:jc w:val="center"/>
              <w:rPr>
                <w:rFonts w:hint="default" w:ascii="Times New Roman" w:hAnsi="Times New Roman" w:eastAsia="宋体" w:cs="Times New Roman"/>
                <w:b/>
                <w:bCs/>
                <w:color w:val="auto"/>
                <w:szCs w:val="22"/>
                <w:highlight w:val="none"/>
                <w:lang w:eastAsia="zh-CN"/>
              </w:rPr>
            </w:pPr>
            <w:r>
              <w:rPr>
                <w:rFonts w:hint="default" w:ascii="Times New Roman" w:hAnsi="Times New Roman" w:eastAsia="宋体" w:cs="Times New Roman"/>
                <w:b w:val="0"/>
                <w:bCs w:val="0"/>
                <w:color w:val="auto"/>
                <w:szCs w:val="22"/>
                <w:highlight w:val="none"/>
                <w:lang w:eastAsia="zh-CN"/>
              </w:rPr>
              <w:t>大英县城市生活污水处理厂</w:t>
            </w:r>
          </w:p>
        </w:tc>
        <w:tc>
          <w:tcPr>
            <w:tcW w:w="587" w:type="dxa"/>
            <w:vMerge w:val="restart"/>
            <w:tcBorders>
              <w:tl2br w:val="nil"/>
              <w:tr2bl w:val="nil"/>
            </w:tcBorders>
            <w:noWrap w:val="0"/>
            <w:vAlign w:val="center"/>
          </w:tcPr>
          <w:p w14:paraId="00EE9FF5">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连续</w:t>
            </w:r>
          </w:p>
          <w:p w14:paraId="232FB342">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排放</w:t>
            </w:r>
          </w:p>
        </w:tc>
        <w:tc>
          <w:tcPr>
            <w:tcW w:w="714" w:type="dxa"/>
            <w:vMerge w:val="restart"/>
            <w:tcBorders>
              <w:tl2br w:val="nil"/>
              <w:tr2bl w:val="nil"/>
            </w:tcBorders>
            <w:noWrap w:val="0"/>
            <w:vAlign w:val="center"/>
          </w:tcPr>
          <w:p w14:paraId="47A8BF2A">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w:t>
            </w:r>
          </w:p>
        </w:tc>
      </w:tr>
      <w:tr w14:paraId="07957E1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atLeast"/>
          <w:tblHeader/>
          <w:jc w:val="center"/>
        </w:trPr>
        <w:tc>
          <w:tcPr>
            <w:tcW w:w="796" w:type="dxa"/>
            <w:vMerge w:val="continue"/>
            <w:tcBorders>
              <w:tl2br w:val="nil"/>
              <w:tr2bl w:val="nil"/>
            </w:tcBorders>
            <w:noWrap w:val="0"/>
            <w:vAlign w:val="center"/>
          </w:tcPr>
          <w:p w14:paraId="5FD47A63">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04981524">
            <w:pPr>
              <w:pStyle w:val="36"/>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SS</w:t>
            </w:r>
          </w:p>
        </w:tc>
        <w:tc>
          <w:tcPr>
            <w:tcW w:w="765" w:type="dxa"/>
            <w:vMerge w:val="continue"/>
            <w:tcBorders>
              <w:tl2br w:val="nil"/>
              <w:tr2bl w:val="nil"/>
            </w:tcBorders>
            <w:noWrap w:val="0"/>
            <w:vAlign w:val="center"/>
          </w:tcPr>
          <w:p w14:paraId="0BE704B2">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582ED3E4">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23.36</w:t>
            </w:r>
          </w:p>
        </w:tc>
        <w:tc>
          <w:tcPr>
            <w:tcW w:w="941" w:type="dxa"/>
            <w:tcBorders>
              <w:tl2br w:val="nil"/>
              <w:tr2bl w:val="nil"/>
            </w:tcBorders>
            <w:noWrap w:val="0"/>
            <w:vAlign w:val="center"/>
          </w:tcPr>
          <w:p w14:paraId="273F7A4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80</w:t>
            </w:r>
          </w:p>
        </w:tc>
        <w:tc>
          <w:tcPr>
            <w:tcW w:w="760" w:type="dxa"/>
            <w:vMerge w:val="continue"/>
            <w:tcBorders>
              <w:tl2br w:val="nil"/>
              <w:tr2bl w:val="nil"/>
            </w:tcBorders>
            <w:noWrap w:val="0"/>
            <w:vAlign w:val="center"/>
          </w:tcPr>
          <w:p w14:paraId="34D998D6">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72EA5EB7">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4594A578">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3B7663FD">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587B812A">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45C3FA4A">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498D52DD">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17.52</w:t>
            </w:r>
          </w:p>
        </w:tc>
        <w:tc>
          <w:tcPr>
            <w:tcW w:w="750" w:type="dxa"/>
            <w:tcBorders>
              <w:tl2br w:val="nil"/>
              <w:tr2bl w:val="nil"/>
            </w:tcBorders>
            <w:noWrap w:val="0"/>
            <w:vAlign w:val="center"/>
          </w:tcPr>
          <w:p w14:paraId="3D3D58A2">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60</w:t>
            </w:r>
          </w:p>
        </w:tc>
        <w:tc>
          <w:tcPr>
            <w:tcW w:w="625" w:type="dxa"/>
            <w:vMerge w:val="continue"/>
            <w:tcBorders>
              <w:tl2br w:val="nil"/>
              <w:tr2bl w:val="nil"/>
            </w:tcBorders>
            <w:noWrap w:val="0"/>
            <w:vAlign w:val="center"/>
          </w:tcPr>
          <w:p w14:paraId="76B69619">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656F4665">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0FE3A778">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4856AB9B">
            <w:pPr>
              <w:jc w:val="center"/>
              <w:rPr>
                <w:rFonts w:hint="default" w:ascii="Times New Roman" w:hAnsi="Times New Roman" w:eastAsia="宋体" w:cs="Times New Roman"/>
                <w:color w:val="auto"/>
                <w:szCs w:val="22"/>
                <w:highlight w:val="none"/>
              </w:rPr>
            </w:pPr>
          </w:p>
        </w:tc>
      </w:tr>
      <w:tr w14:paraId="5E4C5D7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atLeast"/>
          <w:tblHeader/>
          <w:jc w:val="center"/>
        </w:trPr>
        <w:tc>
          <w:tcPr>
            <w:tcW w:w="796" w:type="dxa"/>
            <w:vMerge w:val="continue"/>
            <w:tcBorders>
              <w:tl2br w:val="nil"/>
              <w:tr2bl w:val="nil"/>
            </w:tcBorders>
            <w:noWrap w:val="0"/>
            <w:vAlign w:val="center"/>
          </w:tcPr>
          <w:p w14:paraId="154BA053">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2BAD414A">
            <w:pPr>
              <w:pStyle w:val="36"/>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COD</w:t>
            </w:r>
          </w:p>
        </w:tc>
        <w:tc>
          <w:tcPr>
            <w:tcW w:w="765" w:type="dxa"/>
            <w:vMerge w:val="continue"/>
            <w:tcBorders>
              <w:tl2br w:val="nil"/>
              <w:tr2bl w:val="nil"/>
            </w:tcBorders>
            <w:noWrap w:val="0"/>
            <w:vAlign w:val="center"/>
          </w:tcPr>
          <w:p w14:paraId="187D4E73">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65EDB7BD">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87.6</w:t>
            </w:r>
          </w:p>
        </w:tc>
        <w:tc>
          <w:tcPr>
            <w:tcW w:w="941" w:type="dxa"/>
            <w:tcBorders>
              <w:tl2br w:val="nil"/>
              <w:tr2bl w:val="nil"/>
            </w:tcBorders>
            <w:noWrap w:val="0"/>
            <w:vAlign w:val="center"/>
          </w:tcPr>
          <w:p w14:paraId="434773A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300</w:t>
            </w:r>
          </w:p>
        </w:tc>
        <w:tc>
          <w:tcPr>
            <w:tcW w:w="760" w:type="dxa"/>
            <w:vMerge w:val="continue"/>
            <w:tcBorders>
              <w:tl2br w:val="nil"/>
              <w:tr2bl w:val="nil"/>
            </w:tcBorders>
            <w:noWrap w:val="0"/>
            <w:vAlign w:val="center"/>
          </w:tcPr>
          <w:p w14:paraId="137F2D69">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5B3CF513">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020F1092">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79866084">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2B665DA0">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2418B72A">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7CAED21F">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73</w:t>
            </w:r>
          </w:p>
        </w:tc>
        <w:tc>
          <w:tcPr>
            <w:tcW w:w="750" w:type="dxa"/>
            <w:tcBorders>
              <w:tl2br w:val="nil"/>
              <w:tr2bl w:val="nil"/>
            </w:tcBorders>
            <w:noWrap w:val="0"/>
            <w:vAlign w:val="center"/>
          </w:tcPr>
          <w:p w14:paraId="55D32907">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250</w:t>
            </w:r>
          </w:p>
        </w:tc>
        <w:tc>
          <w:tcPr>
            <w:tcW w:w="625" w:type="dxa"/>
            <w:vMerge w:val="continue"/>
            <w:tcBorders>
              <w:tl2br w:val="nil"/>
              <w:tr2bl w:val="nil"/>
            </w:tcBorders>
            <w:noWrap w:val="0"/>
            <w:vAlign w:val="center"/>
          </w:tcPr>
          <w:p w14:paraId="264251D8">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74EEEA65">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548F367C">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3FC7CAEC">
            <w:pPr>
              <w:jc w:val="center"/>
              <w:rPr>
                <w:rFonts w:hint="default" w:ascii="Times New Roman" w:hAnsi="Times New Roman" w:eastAsia="宋体" w:cs="Times New Roman"/>
                <w:color w:val="auto"/>
                <w:szCs w:val="22"/>
                <w:highlight w:val="none"/>
              </w:rPr>
            </w:pPr>
          </w:p>
        </w:tc>
      </w:tr>
      <w:tr w14:paraId="6248FA1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8" w:hRule="atLeast"/>
          <w:tblHeader/>
          <w:jc w:val="center"/>
        </w:trPr>
        <w:tc>
          <w:tcPr>
            <w:tcW w:w="796" w:type="dxa"/>
            <w:vMerge w:val="continue"/>
            <w:tcBorders>
              <w:tl2br w:val="nil"/>
              <w:tr2bl w:val="nil"/>
            </w:tcBorders>
            <w:noWrap w:val="0"/>
            <w:vAlign w:val="center"/>
          </w:tcPr>
          <w:p w14:paraId="4A6DA4A5">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7A1D9512">
            <w:pPr>
              <w:pStyle w:val="36"/>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765" w:type="dxa"/>
            <w:vMerge w:val="continue"/>
            <w:tcBorders>
              <w:tl2br w:val="nil"/>
              <w:tr2bl w:val="nil"/>
            </w:tcBorders>
            <w:noWrap w:val="0"/>
            <w:vAlign w:val="center"/>
          </w:tcPr>
          <w:p w14:paraId="159D9D26">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7ECE4D4C">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35.04</w:t>
            </w:r>
          </w:p>
        </w:tc>
        <w:tc>
          <w:tcPr>
            <w:tcW w:w="941" w:type="dxa"/>
            <w:tcBorders>
              <w:tl2br w:val="nil"/>
              <w:tr2bl w:val="nil"/>
            </w:tcBorders>
            <w:noWrap w:val="0"/>
            <w:vAlign w:val="center"/>
          </w:tcPr>
          <w:p w14:paraId="3890110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120</w:t>
            </w:r>
          </w:p>
        </w:tc>
        <w:tc>
          <w:tcPr>
            <w:tcW w:w="760" w:type="dxa"/>
            <w:vMerge w:val="continue"/>
            <w:tcBorders>
              <w:tl2br w:val="nil"/>
              <w:tr2bl w:val="nil"/>
            </w:tcBorders>
            <w:noWrap w:val="0"/>
            <w:vAlign w:val="center"/>
          </w:tcPr>
          <w:p w14:paraId="53A4D123">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255B23ED">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38CE39DC">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68566888">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345FBCCB">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782280CC">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0B219B9A">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29.2</w:t>
            </w:r>
          </w:p>
        </w:tc>
        <w:tc>
          <w:tcPr>
            <w:tcW w:w="750" w:type="dxa"/>
            <w:tcBorders>
              <w:tl2br w:val="nil"/>
              <w:tr2bl w:val="nil"/>
            </w:tcBorders>
            <w:noWrap w:val="0"/>
            <w:vAlign w:val="center"/>
          </w:tcPr>
          <w:p w14:paraId="72664440">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100</w:t>
            </w:r>
          </w:p>
        </w:tc>
        <w:tc>
          <w:tcPr>
            <w:tcW w:w="625" w:type="dxa"/>
            <w:vMerge w:val="continue"/>
            <w:tcBorders>
              <w:tl2br w:val="nil"/>
              <w:tr2bl w:val="nil"/>
            </w:tcBorders>
            <w:noWrap w:val="0"/>
            <w:vAlign w:val="center"/>
          </w:tcPr>
          <w:p w14:paraId="46E6FFC0">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0429A534">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6973EE77">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667A6DDA">
            <w:pPr>
              <w:jc w:val="center"/>
              <w:rPr>
                <w:rFonts w:hint="default" w:ascii="Times New Roman" w:hAnsi="Times New Roman" w:eastAsia="宋体" w:cs="Times New Roman"/>
                <w:color w:val="auto"/>
                <w:szCs w:val="22"/>
                <w:highlight w:val="none"/>
              </w:rPr>
            </w:pPr>
          </w:p>
        </w:tc>
      </w:tr>
      <w:tr w14:paraId="1915079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6" w:hRule="atLeast"/>
          <w:tblHeader/>
          <w:jc w:val="center"/>
        </w:trPr>
        <w:tc>
          <w:tcPr>
            <w:tcW w:w="796" w:type="dxa"/>
            <w:vMerge w:val="continue"/>
            <w:tcBorders>
              <w:tl2br w:val="nil"/>
              <w:tr2bl w:val="nil"/>
            </w:tcBorders>
            <w:noWrap w:val="0"/>
            <w:vAlign w:val="center"/>
          </w:tcPr>
          <w:p w14:paraId="3CEC38C6">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5417EC6F">
            <w:pPr>
              <w:pStyle w:val="36"/>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w:t>
            </w:r>
          </w:p>
        </w:tc>
        <w:tc>
          <w:tcPr>
            <w:tcW w:w="765" w:type="dxa"/>
            <w:vMerge w:val="continue"/>
            <w:tcBorders>
              <w:tl2br w:val="nil"/>
              <w:tr2bl w:val="nil"/>
            </w:tcBorders>
            <w:noWrap w:val="0"/>
            <w:vAlign w:val="center"/>
          </w:tcPr>
          <w:p w14:paraId="0185A55F">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4F89A31E">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14.60</w:t>
            </w:r>
          </w:p>
        </w:tc>
        <w:tc>
          <w:tcPr>
            <w:tcW w:w="941" w:type="dxa"/>
            <w:tcBorders>
              <w:tl2br w:val="nil"/>
              <w:tr2bl w:val="nil"/>
            </w:tcBorders>
            <w:noWrap w:val="0"/>
            <w:vAlign w:val="center"/>
          </w:tcPr>
          <w:p w14:paraId="578D45E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50</w:t>
            </w:r>
          </w:p>
        </w:tc>
        <w:tc>
          <w:tcPr>
            <w:tcW w:w="760" w:type="dxa"/>
            <w:vMerge w:val="continue"/>
            <w:tcBorders>
              <w:tl2br w:val="nil"/>
              <w:tr2bl w:val="nil"/>
            </w:tcBorders>
            <w:noWrap w:val="0"/>
            <w:vAlign w:val="center"/>
          </w:tcPr>
          <w:p w14:paraId="6CEE6D80">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38028EE2">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04837F4B">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5E0E1805">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05C72200">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0C299EF1">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0FD03D20">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7.3</w:t>
            </w:r>
          </w:p>
        </w:tc>
        <w:tc>
          <w:tcPr>
            <w:tcW w:w="750" w:type="dxa"/>
            <w:tcBorders>
              <w:tl2br w:val="nil"/>
              <w:tr2bl w:val="nil"/>
            </w:tcBorders>
            <w:noWrap w:val="0"/>
            <w:vAlign w:val="center"/>
          </w:tcPr>
          <w:p w14:paraId="1E6D6435">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25</w:t>
            </w:r>
          </w:p>
        </w:tc>
        <w:tc>
          <w:tcPr>
            <w:tcW w:w="625" w:type="dxa"/>
            <w:vMerge w:val="continue"/>
            <w:tcBorders>
              <w:tl2br w:val="nil"/>
              <w:tr2bl w:val="nil"/>
            </w:tcBorders>
            <w:noWrap w:val="0"/>
            <w:vAlign w:val="center"/>
          </w:tcPr>
          <w:p w14:paraId="05DA54A4">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0CE6DFB7">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457F7C1E">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5A5D9263">
            <w:pPr>
              <w:jc w:val="center"/>
              <w:rPr>
                <w:rFonts w:hint="default" w:ascii="Times New Roman" w:hAnsi="Times New Roman" w:eastAsia="宋体" w:cs="Times New Roman"/>
                <w:color w:val="auto"/>
                <w:szCs w:val="22"/>
                <w:highlight w:val="none"/>
              </w:rPr>
            </w:pPr>
          </w:p>
        </w:tc>
      </w:tr>
      <w:tr w14:paraId="7A39D2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6" w:hRule="atLeast"/>
          <w:tblHeader/>
          <w:jc w:val="center"/>
        </w:trPr>
        <w:tc>
          <w:tcPr>
            <w:tcW w:w="796" w:type="dxa"/>
            <w:vMerge w:val="continue"/>
            <w:tcBorders>
              <w:tl2br w:val="nil"/>
              <w:tr2bl w:val="nil"/>
            </w:tcBorders>
            <w:noWrap w:val="0"/>
            <w:vAlign w:val="center"/>
          </w:tcPr>
          <w:p w14:paraId="05441179">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7B095386">
            <w:pPr>
              <w:pStyle w:val="36"/>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TP</w:t>
            </w:r>
          </w:p>
        </w:tc>
        <w:tc>
          <w:tcPr>
            <w:tcW w:w="765" w:type="dxa"/>
            <w:vMerge w:val="continue"/>
            <w:tcBorders>
              <w:tl2br w:val="nil"/>
              <w:tr2bl w:val="nil"/>
            </w:tcBorders>
            <w:noWrap w:val="0"/>
            <w:vAlign w:val="center"/>
          </w:tcPr>
          <w:p w14:paraId="6F9B0E7A">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69CDECF7">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2.92</w:t>
            </w:r>
          </w:p>
        </w:tc>
        <w:tc>
          <w:tcPr>
            <w:tcW w:w="941" w:type="dxa"/>
            <w:tcBorders>
              <w:tl2br w:val="nil"/>
              <w:tr2bl w:val="nil"/>
            </w:tcBorders>
            <w:noWrap w:val="0"/>
            <w:vAlign w:val="center"/>
          </w:tcPr>
          <w:p w14:paraId="7EA0ABCC">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10</w:t>
            </w:r>
          </w:p>
        </w:tc>
        <w:tc>
          <w:tcPr>
            <w:tcW w:w="760" w:type="dxa"/>
            <w:vMerge w:val="continue"/>
            <w:tcBorders>
              <w:tl2br w:val="nil"/>
              <w:tr2bl w:val="nil"/>
            </w:tcBorders>
            <w:noWrap w:val="0"/>
            <w:vAlign w:val="center"/>
          </w:tcPr>
          <w:p w14:paraId="4DE44C71">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7C44B9F5">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5A57BA83">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1DA95292">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793CFAFB">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45B50111">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22591989">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1.17</w:t>
            </w:r>
          </w:p>
        </w:tc>
        <w:tc>
          <w:tcPr>
            <w:tcW w:w="750" w:type="dxa"/>
            <w:tcBorders>
              <w:tl2br w:val="nil"/>
              <w:tr2bl w:val="nil"/>
            </w:tcBorders>
            <w:noWrap w:val="0"/>
            <w:vAlign w:val="center"/>
          </w:tcPr>
          <w:p w14:paraId="29532C6E">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4</w:t>
            </w:r>
          </w:p>
        </w:tc>
        <w:tc>
          <w:tcPr>
            <w:tcW w:w="625" w:type="dxa"/>
            <w:vMerge w:val="continue"/>
            <w:tcBorders>
              <w:tl2br w:val="nil"/>
              <w:tr2bl w:val="nil"/>
            </w:tcBorders>
            <w:noWrap w:val="0"/>
            <w:vAlign w:val="center"/>
          </w:tcPr>
          <w:p w14:paraId="7B23B0E5">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4BE2AF1C">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60BF7632">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53FC686A">
            <w:pPr>
              <w:jc w:val="center"/>
              <w:rPr>
                <w:rFonts w:hint="default" w:ascii="Times New Roman" w:hAnsi="Times New Roman" w:eastAsia="宋体" w:cs="Times New Roman"/>
                <w:color w:val="auto"/>
                <w:szCs w:val="22"/>
                <w:highlight w:val="none"/>
              </w:rPr>
            </w:pPr>
          </w:p>
        </w:tc>
      </w:tr>
      <w:tr w14:paraId="680682A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7" w:hRule="atLeast"/>
          <w:tblHeader/>
          <w:jc w:val="center"/>
        </w:trPr>
        <w:tc>
          <w:tcPr>
            <w:tcW w:w="796" w:type="dxa"/>
            <w:vMerge w:val="continue"/>
            <w:tcBorders>
              <w:tl2br w:val="nil"/>
              <w:tr2bl w:val="nil"/>
            </w:tcBorders>
            <w:noWrap w:val="0"/>
            <w:vAlign w:val="center"/>
          </w:tcPr>
          <w:p w14:paraId="11CF44A8">
            <w:pPr>
              <w:jc w:val="center"/>
              <w:rPr>
                <w:rFonts w:hint="default" w:ascii="Times New Roman" w:hAnsi="Times New Roman" w:eastAsia="宋体" w:cs="Times New Roman"/>
                <w:color w:val="auto"/>
                <w:szCs w:val="21"/>
                <w:highlight w:val="none"/>
              </w:rPr>
            </w:pPr>
          </w:p>
        </w:tc>
        <w:tc>
          <w:tcPr>
            <w:tcW w:w="1182" w:type="dxa"/>
            <w:tcBorders>
              <w:tl2br w:val="nil"/>
              <w:tr2bl w:val="nil"/>
            </w:tcBorders>
            <w:noWrap w:val="0"/>
            <w:vAlign w:val="center"/>
          </w:tcPr>
          <w:p w14:paraId="0011E3AF">
            <w:pPr>
              <w:pStyle w:val="36"/>
              <w:jc w:val="center"/>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color w:val="auto"/>
                <w:kern w:val="0"/>
                <w:sz w:val="21"/>
                <w:szCs w:val="21"/>
                <w:lang w:val="en-US" w:eastAsia="zh-CN" w:bidi="ar"/>
              </w:rPr>
              <w:t>粪大肠菌群</w:t>
            </w:r>
          </w:p>
        </w:tc>
        <w:tc>
          <w:tcPr>
            <w:tcW w:w="765" w:type="dxa"/>
            <w:vMerge w:val="continue"/>
            <w:tcBorders>
              <w:tl2br w:val="nil"/>
              <w:tr2bl w:val="nil"/>
            </w:tcBorders>
            <w:noWrap w:val="0"/>
            <w:vAlign w:val="center"/>
          </w:tcPr>
          <w:p w14:paraId="260530AE">
            <w:pPr>
              <w:jc w:val="center"/>
              <w:rPr>
                <w:rFonts w:hint="default" w:ascii="Times New Roman" w:hAnsi="Times New Roman" w:eastAsia="宋体" w:cs="Times New Roman"/>
                <w:color w:val="auto"/>
                <w:highlight w:val="none"/>
              </w:rPr>
            </w:pPr>
          </w:p>
        </w:tc>
        <w:tc>
          <w:tcPr>
            <w:tcW w:w="834" w:type="dxa"/>
            <w:tcBorders>
              <w:tl2br w:val="nil"/>
              <w:tr2bl w:val="nil"/>
            </w:tcBorders>
            <w:noWrap w:val="0"/>
            <w:vAlign w:val="center"/>
          </w:tcPr>
          <w:p w14:paraId="513DC632">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4.38</w:t>
            </w:r>
            <w:r>
              <w:rPr>
                <w:rFonts w:hint="default" w:ascii="Times New Roman" w:hAnsi="Times New Roman" w:eastAsia="宋体" w:cs="Times New Roman"/>
                <w:color w:val="auto"/>
                <w:kern w:val="0"/>
                <w:sz w:val="21"/>
                <w:szCs w:val="21"/>
                <w:vertAlign w:val="baseline"/>
                <w:lang w:val="zh-CN"/>
              </w:rPr>
              <w:t>×10</w:t>
            </w:r>
            <w:r>
              <w:rPr>
                <w:rFonts w:hint="default" w:ascii="Times New Roman" w:hAnsi="Times New Roman" w:eastAsia="宋体" w:cs="Times New Roman"/>
                <w:color w:val="auto"/>
                <w:kern w:val="0"/>
                <w:sz w:val="21"/>
                <w:szCs w:val="21"/>
                <w:vertAlign w:val="superscript"/>
                <w:lang w:val="en-US" w:eastAsia="zh-CN"/>
              </w:rPr>
              <w:t>7</w:t>
            </w:r>
            <w:r>
              <w:rPr>
                <w:rFonts w:hint="default" w:ascii="Times New Roman" w:hAnsi="Times New Roman" w:eastAsia="宋体" w:cs="Times New Roman"/>
                <w:color w:val="auto"/>
                <w:kern w:val="0"/>
                <w:sz w:val="21"/>
                <w:szCs w:val="21"/>
                <w:vertAlign w:val="baseline"/>
                <w:lang w:val="en-US" w:eastAsia="zh-CN"/>
              </w:rPr>
              <w:t>个</w:t>
            </w:r>
          </w:p>
        </w:tc>
        <w:tc>
          <w:tcPr>
            <w:tcW w:w="941" w:type="dxa"/>
            <w:tcBorders>
              <w:tl2br w:val="nil"/>
              <w:tr2bl w:val="nil"/>
            </w:tcBorders>
            <w:noWrap w:val="0"/>
            <w:vAlign w:val="center"/>
          </w:tcPr>
          <w:p w14:paraId="3B21067F">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kern w:val="0"/>
                <w:sz w:val="21"/>
                <w:szCs w:val="21"/>
                <w:vertAlign w:val="baseline"/>
                <w:lang w:val="zh-CN"/>
              </w:rPr>
              <w:t>1.</w:t>
            </w:r>
            <w:r>
              <w:rPr>
                <w:rFonts w:hint="default" w:ascii="Times New Roman" w:hAnsi="Times New Roman" w:eastAsia="宋体" w:cs="Times New Roman"/>
                <w:color w:val="auto"/>
                <w:kern w:val="0"/>
                <w:sz w:val="21"/>
                <w:szCs w:val="21"/>
                <w:vertAlign w:val="baseline"/>
                <w:lang w:val="en-US" w:eastAsia="zh-CN"/>
              </w:rPr>
              <w:t>5</w:t>
            </w:r>
            <w:r>
              <w:rPr>
                <w:rFonts w:hint="default" w:ascii="Times New Roman" w:hAnsi="Times New Roman" w:eastAsia="宋体" w:cs="Times New Roman"/>
                <w:color w:val="auto"/>
                <w:kern w:val="0"/>
                <w:sz w:val="21"/>
                <w:szCs w:val="21"/>
                <w:vertAlign w:val="baseline"/>
                <w:lang w:val="zh-CN"/>
              </w:rPr>
              <w:t>×10</w:t>
            </w:r>
            <w:r>
              <w:rPr>
                <w:rFonts w:hint="default" w:ascii="Times New Roman" w:hAnsi="Times New Roman" w:eastAsia="宋体" w:cs="Times New Roman"/>
                <w:color w:val="auto"/>
                <w:kern w:val="0"/>
                <w:sz w:val="21"/>
                <w:szCs w:val="21"/>
                <w:vertAlign w:val="superscript"/>
                <w:lang w:val="en-US" w:eastAsia="zh-CN"/>
              </w:rPr>
              <w:t>8</w:t>
            </w:r>
          </w:p>
        </w:tc>
        <w:tc>
          <w:tcPr>
            <w:tcW w:w="760" w:type="dxa"/>
            <w:vMerge w:val="continue"/>
            <w:tcBorders>
              <w:tl2br w:val="nil"/>
              <w:tr2bl w:val="nil"/>
            </w:tcBorders>
            <w:noWrap w:val="0"/>
            <w:vAlign w:val="center"/>
          </w:tcPr>
          <w:p w14:paraId="639237FC">
            <w:pPr>
              <w:jc w:val="center"/>
              <w:rPr>
                <w:rFonts w:hint="default" w:ascii="Times New Roman" w:hAnsi="Times New Roman" w:eastAsia="宋体" w:cs="Times New Roman"/>
                <w:color w:val="auto"/>
                <w:szCs w:val="22"/>
                <w:highlight w:val="none"/>
              </w:rPr>
            </w:pPr>
          </w:p>
        </w:tc>
        <w:tc>
          <w:tcPr>
            <w:tcW w:w="1215" w:type="dxa"/>
            <w:vMerge w:val="continue"/>
            <w:tcBorders>
              <w:tl2br w:val="nil"/>
              <w:tr2bl w:val="nil"/>
            </w:tcBorders>
            <w:noWrap w:val="0"/>
            <w:vAlign w:val="center"/>
          </w:tcPr>
          <w:p w14:paraId="39C4203A">
            <w:pPr>
              <w:jc w:val="center"/>
              <w:rPr>
                <w:rFonts w:hint="default" w:ascii="Times New Roman" w:hAnsi="Times New Roman" w:eastAsia="宋体" w:cs="Times New Roman"/>
                <w:color w:val="auto"/>
                <w:szCs w:val="22"/>
                <w:highlight w:val="none"/>
              </w:rPr>
            </w:pPr>
          </w:p>
        </w:tc>
        <w:tc>
          <w:tcPr>
            <w:tcW w:w="504" w:type="dxa"/>
            <w:vMerge w:val="continue"/>
            <w:tcBorders>
              <w:tl2br w:val="nil"/>
              <w:tr2bl w:val="nil"/>
            </w:tcBorders>
            <w:noWrap w:val="0"/>
            <w:vAlign w:val="center"/>
          </w:tcPr>
          <w:p w14:paraId="1929BE25">
            <w:pPr>
              <w:jc w:val="center"/>
              <w:rPr>
                <w:rFonts w:hint="default" w:ascii="Times New Roman" w:hAnsi="Times New Roman" w:eastAsia="宋体" w:cs="Times New Roman"/>
                <w:color w:val="auto"/>
                <w:szCs w:val="22"/>
                <w:highlight w:val="none"/>
              </w:rPr>
            </w:pPr>
          </w:p>
        </w:tc>
        <w:tc>
          <w:tcPr>
            <w:tcW w:w="990" w:type="dxa"/>
            <w:vMerge w:val="continue"/>
            <w:tcBorders>
              <w:tl2br w:val="nil"/>
              <w:tr2bl w:val="nil"/>
            </w:tcBorders>
            <w:noWrap w:val="0"/>
            <w:vAlign w:val="center"/>
          </w:tcPr>
          <w:p w14:paraId="1B0E323A">
            <w:pPr>
              <w:jc w:val="center"/>
              <w:rPr>
                <w:rFonts w:hint="default" w:ascii="Times New Roman" w:hAnsi="Times New Roman" w:eastAsia="宋体" w:cs="Times New Roman"/>
                <w:color w:val="auto"/>
                <w:szCs w:val="22"/>
                <w:highlight w:val="none"/>
              </w:rPr>
            </w:pPr>
          </w:p>
        </w:tc>
        <w:tc>
          <w:tcPr>
            <w:tcW w:w="710" w:type="dxa"/>
            <w:vMerge w:val="continue"/>
            <w:tcBorders>
              <w:tl2br w:val="nil"/>
              <w:tr2bl w:val="nil"/>
            </w:tcBorders>
            <w:noWrap w:val="0"/>
            <w:vAlign w:val="center"/>
          </w:tcPr>
          <w:p w14:paraId="6B7294F8">
            <w:pPr>
              <w:jc w:val="center"/>
              <w:rPr>
                <w:rFonts w:hint="default" w:ascii="Times New Roman" w:hAnsi="Times New Roman" w:eastAsia="宋体" w:cs="Times New Roman"/>
                <w:color w:val="auto"/>
                <w:szCs w:val="22"/>
                <w:highlight w:val="none"/>
              </w:rPr>
            </w:pPr>
          </w:p>
        </w:tc>
        <w:tc>
          <w:tcPr>
            <w:tcW w:w="819" w:type="dxa"/>
            <w:vMerge w:val="continue"/>
            <w:tcBorders>
              <w:tl2br w:val="nil"/>
              <w:tr2bl w:val="nil"/>
            </w:tcBorders>
            <w:noWrap w:val="0"/>
            <w:vAlign w:val="center"/>
          </w:tcPr>
          <w:p w14:paraId="3236A962">
            <w:pPr>
              <w:jc w:val="center"/>
              <w:rPr>
                <w:rFonts w:hint="default" w:ascii="Times New Roman" w:hAnsi="Times New Roman" w:eastAsia="宋体" w:cs="Times New Roman"/>
                <w:color w:val="auto"/>
                <w:szCs w:val="22"/>
                <w:highlight w:val="none"/>
              </w:rPr>
            </w:pPr>
          </w:p>
        </w:tc>
        <w:tc>
          <w:tcPr>
            <w:tcW w:w="950" w:type="dxa"/>
            <w:tcBorders>
              <w:tl2br w:val="nil"/>
              <w:tr2bl w:val="nil"/>
            </w:tcBorders>
            <w:noWrap w:val="0"/>
            <w:vAlign w:val="center"/>
          </w:tcPr>
          <w:p w14:paraId="1C16BD9B">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1460</w:t>
            </w:r>
            <w:r>
              <w:rPr>
                <w:rFonts w:hint="default" w:ascii="Times New Roman" w:hAnsi="Times New Roman" w:eastAsia="宋体" w:cs="Times New Roman"/>
                <w:color w:val="auto"/>
                <w:szCs w:val="22"/>
                <w:highlight w:val="none"/>
                <w:lang w:val="en-US" w:eastAsia="zh-CN"/>
              </w:rPr>
              <w:t>个</w:t>
            </w:r>
          </w:p>
        </w:tc>
        <w:tc>
          <w:tcPr>
            <w:tcW w:w="750" w:type="dxa"/>
            <w:tcBorders>
              <w:tl2br w:val="nil"/>
              <w:tr2bl w:val="nil"/>
            </w:tcBorders>
            <w:noWrap w:val="0"/>
            <w:vAlign w:val="center"/>
          </w:tcPr>
          <w:p w14:paraId="2219AAC9">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5000</w:t>
            </w:r>
          </w:p>
        </w:tc>
        <w:tc>
          <w:tcPr>
            <w:tcW w:w="625" w:type="dxa"/>
            <w:vMerge w:val="continue"/>
            <w:tcBorders>
              <w:tl2br w:val="nil"/>
              <w:tr2bl w:val="nil"/>
            </w:tcBorders>
            <w:noWrap w:val="0"/>
            <w:vAlign w:val="center"/>
          </w:tcPr>
          <w:p w14:paraId="41D44AF3">
            <w:pPr>
              <w:jc w:val="center"/>
              <w:rPr>
                <w:rFonts w:hint="default" w:ascii="Times New Roman" w:hAnsi="Times New Roman" w:eastAsia="宋体" w:cs="Times New Roman"/>
                <w:color w:val="auto"/>
                <w:szCs w:val="22"/>
                <w:highlight w:val="none"/>
              </w:rPr>
            </w:pPr>
          </w:p>
        </w:tc>
        <w:tc>
          <w:tcPr>
            <w:tcW w:w="850" w:type="dxa"/>
            <w:vMerge w:val="continue"/>
            <w:tcBorders>
              <w:tl2br w:val="nil"/>
              <w:tr2bl w:val="nil"/>
            </w:tcBorders>
            <w:noWrap w:val="0"/>
            <w:vAlign w:val="center"/>
          </w:tcPr>
          <w:p w14:paraId="2E8F40E6">
            <w:pPr>
              <w:jc w:val="center"/>
              <w:rPr>
                <w:rFonts w:hint="default" w:ascii="Times New Roman" w:hAnsi="Times New Roman" w:eastAsia="宋体" w:cs="Times New Roman"/>
                <w:color w:val="auto"/>
                <w:szCs w:val="22"/>
                <w:highlight w:val="none"/>
              </w:rPr>
            </w:pPr>
          </w:p>
        </w:tc>
        <w:tc>
          <w:tcPr>
            <w:tcW w:w="587" w:type="dxa"/>
            <w:vMerge w:val="continue"/>
            <w:tcBorders>
              <w:tl2br w:val="nil"/>
              <w:tr2bl w:val="nil"/>
            </w:tcBorders>
            <w:noWrap w:val="0"/>
            <w:vAlign w:val="center"/>
          </w:tcPr>
          <w:p w14:paraId="20B0C563">
            <w:pPr>
              <w:jc w:val="center"/>
              <w:rPr>
                <w:rFonts w:hint="default" w:ascii="Times New Roman" w:hAnsi="Times New Roman" w:eastAsia="宋体" w:cs="Times New Roman"/>
                <w:color w:val="auto"/>
                <w:szCs w:val="22"/>
                <w:highlight w:val="none"/>
              </w:rPr>
            </w:pPr>
          </w:p>
        </w:tc>
        <w:tc>
          <w:tcPr>
            <w:tcW w:w="714" w:type="dxa"/>
            <w:vMerge w:val="continue"/>
            <w:tcBorders>
              <w:tl2br w:val="nil"/>
              <w:tr2bl w:val="nil"/>
            </w:tcBorders>
            <w:noWrap w:val="0"/>
            <w:vAlign w:val="center"/>
          </w:tcPr>
          <w:p w14:paraId="3A9B75BC">
            <w:pPr>
              <w:jc w:val="center"/>
              <w:rPr>
                <w:rFonts w:hint="default" w:ascii="Times New Roman" w:hAnsi="Times New Roman" w:eastAsia="宋体" w:cs="Times New Roman"/>
                <w:color w:val="auto"/>
                <w:szCs w:val="22"/>
                <w:highlight w:val="none"/>
              </w:rPr>
            </w:pPr>
          </w:p>
        </w:tc>
      </w:tr>
    </w:tbl>
    <w:p w14:paraId="048A352E">
      <w:pPr>
        <w:bidi w:val="0"/>
        <w:rPr>
          <w:rFonts w:hint="default" w:ascii="Times New Roman" w:hAnsi="Times New Roman" w:eastAsia="宋体" w:cs="Times New Roman"/>
          <w:color w:va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1E70238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01" w:name="_Toc6448"/>
      <w:bookmarkStart w:id="1302" w:name="_Toc21791"/>
      <w:bookmarkStart w:id="1303" w:name="_Toc26234"/>
      <w:bookmarkStart w:id="1304" w:name="_Toc5330"/>
      <w:bookmarkStart w:id="1305" w:name="_Toc2890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（2）污水处理工艺</w:t>
      </w:r>
      <w:bookmarkEnd w:id="1301"/>
      <w:bookmarkEnd w:id="1302"/>
      <w:bookmarkEnd w:id="1303"/>
      <w:bookmarkEnd w:id="1304"/>
      <w:bookmarkEnd w:id="1305"/>
    </w:p>
    <w:p w14:paraId="364ABF5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供暖期间（冬季）</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废水最大排放量约</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704.02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不供暖期间</w:t>
      </w:r>
      <w:r>
        <w:rPr>
          <w:rFonts w:hint="eastAsia" w:ascii="Times New Roman" w:hAnsi="Times New Roman" w:eastAsia="宋体" w:cs="Times New Roman"/>
          <w:bCs/>
          <w:color w:val="auto"/>
          <w:sz w:val="24"/>
          <w:szCs w:val="24"/>
          <w:highlight w:val="none"/>
          <w:lang w:val="en-US" w:eastAsia="zh-CN"/>
        </w:rPr>
        <w:t>最大废水量为695.72</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拟建污水处理站设计处理能力为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800</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采用“格栅+调节池+水解酸化池+接触氧化池+沉淀池+二氧化氯接触消毒池”。因此，污水处理站处理规模能够满足本项目废水处理要求。按《医院污水处理工程技术规范》（HJ2029-2013）要求，“1）特殊性质污水应单独收集，经预处理后与医院污水合并处理，不得将特殊性质污水随意排入下水道；2）传染病医院污水应在预消毒后采用二级处理+消毒工艺或二级处理+深度处理+消毒工艺；3）非传染病医院出水，.........；若处理出水排入终端已建有正常运行的二级污水处理厂的城市污水管网时，可采用一级强化处理+消毒工艺；4）新（改、扩）建医院，在设计医院污水处理系统时应考虑将医院病区、非病区、传染病房、非传染病房污水分别收集”。针对项目废水产生特性，结合相关规范要求，本项目污水处理</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要求如下：</w:t>
      </w:r>
    </w:p>
    <w:p w14:paraId="622DF44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①食堂废水经隔油沉淀后排入污水处理站处理。</w:t>
      </w:r>
    </w:p>
    <w:p w14:paraId="13CA87E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②感染楼和发热楼废水经预消毒处理后排入化粪池再进入污水处理站处理。</w:t>
      </w:r>
    </w:p>
    <w:p w14:paraId="4AEC43F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w:t>
      </w:r>
      <w:r>
        <w:rPr>
          <w:rFonts w:hint="eastAsia"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门急诊、住院病区、医务人员废水经化粪池发酵处理后排入污水处理站。</w:t>
      </w:r>
    </w:p>
    <w:p w14:paraId="69AEE5B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④综合污水处理站采用“格栅+调节池+水解酸化池+接触氧化池+沉淀池接触消毒池”处理工艺。</w:t>
      </w:r>
    </w:p>
    <w:p w14:paraId="3A2176F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pPr>
      <w:bookmarkStart w:id="1306" w:name="_Toc24511"/>
      <w:bookmarkStart w:id="1307" w:name="_Toc20365"/>
      <w:bookmarkStart w:id="1308" w:name="_Toc27758"/>
      <w:bookmarkStart w:id="1309" w:name="_Toc26370"/>
      <w:bookmarkStart w:id="1310" w:name="_Toc25254"/>
      <w:r>
        <w:rPr>
          <w:rFonts w:hint="eastAsia" w:ascii="Times New Roman" w:hAnsi="Times New Roman" w:eastAsia="宋体" w:cs="Times New Roman"/>
          <w:b/>
          <w:bCs/>
          <w:i w:val="0"/>
          <w:iCs w:val="0"/>
          <w:caps w:val="0"/>
          <w:color w:val="auto"/>
          <w:spacing w:val="0"/>
          <w:kern w:val="0"/>
          <w:sz w:val="24"/>
          <w:szCs w:val="24"/>
          <w:shd w:val="clear" w:fill="FFFFFF"/>
          <w:lang w:val="en-US" w:eastAsia="zh-CN" w:bidi="ar"/>
        </w:rPr>
        <w:t>污水处理流程：</w:t>
      </w:r>
    </w:p>
    <w:p w14:paraId="15C8183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1）格栅</w:t>
      </w:r>
      <w:bookmarkEnd w:id="1306"/>
      <w:bookmarkEnd w:id="1307"/>
      <w:bookmarkEnd w:id="1308"/>
      <w:bookmarkEnd w:id="1309"/>
      <w:bookmarkEnd w:id="1310"/>
    </w:p>
    <w:p w14:paraId="48368472">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在污水处理系统或提升水泵前设置格栅，格栅井可与调节池合建，格栅应按最大时污水量设计，格栅选用机械格栅，栅条规格为细间距，材料采用不锈钢，工人清除栅渣时需佩戴防护手套，必须避免人体接触。</w:t>
      </w:r>
    </w:p>
    <w:p w14:paraId="1C195E7C">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eastAsia="zh-CN"/>
        </w:rPr>
        <w:t>栅渣与污水处理产生污泥等一同集中消毒、处理、处置。</w:t>
      </w:r>
    </w:p>
    <w:p w14:paraId="79242800">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jc w:val="both"/>
        <w:textAlignment w:val="auto"/>
        <w:outlineLvl w:val="1"/>
        <w:rPr>
          <w:rFonts w:hint="default" w:ascii="Times New Roman" w:hAnsi="Times New Roman" w:eastAsia="宋体" w:cs="Times New Roman"/>
          <w:b w:val="0"/>
          <w:bCs w:val="0"/>
          <w:color w:val="auto"/>
          <w:sz w:val="24"/>
          <w:szCs w:val="24"/>
          <w:lang w:eastAsia="zh-CN"/>
        </w:rPr>
      </w:pPr>
      <w:bookmarkStart w:id="1311" w:name="_Toc1822"/>
      <w:bookmarkStart w:id="1312" w:name="_Toc2749"/>
      <w:bookmarkStart w:id="1313" w:name="_Toc25808"/>
      <w:bookmarkStart w:id="1314" w:name="_Toc17872"/>
      <w:bookmarkStart w:id="1315" w:name="_Toc4335"/>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2）</w:t>
      </w:r>
      <w:r>
        <w:rPr>
          <w:rFonts w:hint="default" w:ascii="Times New Roman" w:hAnsi="Times New Roman" w:eastAsia="宋体" w:cs="Times New Roman"/>
          <w:b w:val="0"/>
          <w:bCs w:val="0"/>
          <w:color w:val="auto"/>
          <w:sz w:val="24"/>
          <w:szCs w:val="24"/>
        </w:rPr>
        <w:t>调节池</w:t>
      </w:r>
      <w:bookmarkEnd w:id="1311"/>
      <w:bookmarkEnd w:id="1312"/>
      <w:bookmarkEnd w:id="1313"/>
      <w:bookmarkEnd w:id="1314"/>
      <w:bookmarkEnd w:id="1315"/>
    </w:p>
    <w:p w14:paraId="34F047C7">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通过的预处理后，全部进入调节池，调节池主要用于贮留废水，调整废水的水量与水质，保证后续处理设施稳定的进行，调节池内的废水通过提升泵送入水解池，提升泵的运行用液位计控制，利用调节池内水位的高低自动控制水泵运行。</w:t>
      </w:r>
    </w:p>
    <w:p w14:paraId="65176335">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outlineLvl w:val="1"/>
        <w:rPr>
          <w:rFonts w:hint="default" w:ascii="Times New Roman" w:hAnsi="Times New Roman" w:eastAsia="宋体" w:cs="Times New Roman"/>
          <w:color w:val="auto"/>
          <w:sz w:val="24"/>
          <w:szCs w:val="24"/>
          <w:lang w:val="en-US" w:eastAsia="zh-CN"/>
        </w:rPr>
      </w:pPr>
      <w:bookmarkStart w:id="1316" w:name="_Toc18473"/>
      <w:bookmarkStart w:id="1317" w:name="_Toc22679"/>
      <w:bookmarkStart w:id="1318" w:name="_Toc12006"/>
      <w:bookmarkStart w:id="1319" w:name="_Toc32101"/>
      <w:bookmarkStart w:id="1320" w:name="_Toc6910"/>
      <w:r>
        <w:rPr>
          <w:rFonts w:hint="default" w:ascii="Times New Roman" w:hAnsi="Times New Roman" w:eastAsia="宋体" w:cs="Times New Roman"/>
          <w:color w:val="auto"/>
          <w:sz w:val="24"/>
          <w:szCs w:val="24"/>
          <w:lang w:val="en-US" w:eastAsia="zh-CN"/>
        </w:rPr>
        <w:t>3）水解酸化池</w:t>
      </w:r>
      <w:bookmarkEnd w:id="1316"/>
      <w:bookmarkEnd w:id="1317"/>
      <w:bookmarkEnd w:id="1318"/>
      <w:bookmarkEnd w:id="1319"/>
      <w:bookmarkEnd w:id="1320"/>
    </w:p>
    <w:p w14:paraId="043015F8">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水解池为常温水解酸化池，温度宜为15~40℃，DO宜保持在0.2~0.5mg/L。</w:t>
      </w:r>
    </w:p>
    <w:p w14:paraId="0309C2DB">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eastAsia="zh-CN"/>
        </w:rPr>
        <w:t>水解酸化池一般采用上向流方式，最大上升流速宜为1.0m/h~1.5m/h，水力停留时间一般为2.5h~3h，污水出水解池后进入生物接触氧化池。</w:t>
      </w:r>
    </w:p>
    <w:p w14:paraId="4E919F13">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outlineLvl w:val="1"/>
        <w:rPr>
          <w:rFonts w:hint="default" w:ascii="Times New Roman" w:hAnsi="Times New Roman" w:eastAsia="宋体" w:cs="Times New Roman"/>
          <w:color w:val="auto"/>
          <w:sz w:val="24"/>
          <w:szCs w:val="24"/>
          <w:lang w:val="en-US" w:eastAsia="zh-CN"/>
        </w:rPr>
      </w:pPr>
      <w:bookmarkStart w:id="1321" w:name="_Toc270"/>
      <w:bookmarkStart w:id="1322" w:name="_Toc4176"/>
      <w:bookmarkStart w:id="1323" w:name="_Toc28279"/>
      <w:bookmarkStart w:id="1324" w:name="_Toc20309"/>
      <w:bookmarkStart w:id="1325" w:name="_Toc6676"/>
      <w:r>
        <w:rPr>
          <w:rFonts w:hint="default" w:ascii="Times New Roman" w:hAnsi="Times New Roman" w:eastAsia="宋体" w:cs="Times New Roman"/>
          <w:color w:val="auto"/>
          <w:sz w:val="24"/>
          <w:szCs w:val="24"/>
          <w:lang w:val="en-US" w:eastAsia="zh-CN"/>
        </w:rPr>
        <w:t>4）接触氧化池</w:t>
      </w:r>
      <w:bookmarkEnd w:id="1321"/>
      <w:bookmarkEnd w:id="1322"/>
      <w:bookmarkEnd w:id="1323"/>
      <w:bookmarkEnd w:id="1324"/>
      <w:bookmarkEnd w:id="1325"/>
    </w:p>
    <w:p w14:paraId="5796CA0C">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中主要为含有机物的物质，用好氧生化方法来处理。接触氧化为好氧处理的一种。接触氧化池内接种菌种后，持续供给氧气，培养出大量的好氧微生物，通过好氧微生物呼吸与繁殖消耗有机物，进行BOD降解，池内设组合填料，一方面固定生物量，减少污泥的产生，另一方面可以有效切割气泡，提高氧气的利用率。为提高生化对氨氮的去除效率，在曝气池内加入特定的药剂，通过控制pH值以达到降解氨氮的效果。接触氧化池的供气设备采用罗茨风机。风机放在专用的机房内，并对风机房进行通风降噪处理，防止噪声对环境的影响。接触氧化池出水自流到沉淀池。</w:t>
      </w:r>
    </w:p>
    <w:p w14:paraId="39D9B3B2">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outlineLvl w:val="1"/>
        <w:rPr>
          <w:rFonts w:hint="default" w:ascii="Times New Roman" w:hAnsi="Times New Roman" w:eastAsia="宋体" w:cs="Times New Roman"/>
          <w:color w:val="auto"/>
          <w:sz w:val="24"/>
          <w:szCs w:val="24"/>
          <w:lang w:val="en-US" w:eastAsia="zh-CN"/>
        </w:rPr>
      </w:pPr>
      <w:bookmarkStart w:id="1326" w:name="_Toc11188"/>
      <w:bookmarkStart w:id="1327" w:name="_Toc8866"/>
      <w:bookmarkStart w:id="1328" w:name="_Toc11436"/>
      <w:bookmarkStart w:id="1329" w:name="_Toc6705"/>
      <w:bookmarkStart w:id="1330" w:name="_Toc18569"/>
      <w:r>
        <w:rPr>
          <w:rFonts w:hint="default" w:ascii="Times New Roman" w:hAnsi="Times New Roman" w:eastAsia="宋体" w:cs="Times New Roman"/>
          <w:color w:val="auto"/>
          <w:sz w:val="24"/>
          <w:szCs w:val="24"/>
          <w:lang w:val="en-US" w:eastAsia="zh-CN"/>
        </w:rPr>
        <w:t>5）沉淀池</w:t>
      </w:r>
      <w:bookmarkEnd w:id="1326"/>
      <w:bookmarkEnd w:id="1327"/>
      <w:bookmarkEnd w:id="1328"/>
      <w:bookmarkEnd w:id="1329"/>
      <w:bookmarkEnd w:id="1330"/>
    </w:p>
    <w:p w14:paraId="1CDC3DB8">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沉淀池的功能是泥水分离，把废水中的污泥与水分离。为提高沉淀效果，污水进沉淀池之前加入絮凝剂。沉淀池内安装斜管，利用浅层原理，提高泥水分离效果，沉淀池出水自流到消毒池。</w:t>
      </w:r>
    </w:p>
    <w:p w14:paraId="3E2E0E16">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outlineLvl w:val="1"/>
        <w:rPr>
          <w:rFonts w:hint="default" w:ascii="Times New Roman" w:hAnsi="Times New Roman" w:eastAsia="宋体" w:cs="Times New Roman"/>
          <w:color w:val="auto"/>
          <w:sz w:val="24"/>
          <w:szCs w:val="24"/>
          <w:lang w:val="en-US" w:eastAsia="zh-CN"/>
        </w:rPr>
      </w:pPr>
      <w:bookmarkStart w:id="1331" w:name="_Toc22445"/>
      <w:bookmarkStart w:id="1332" w:name="_Toc5556"/>
      <w:bookmarkStart w:id="1333" w:name="_Toc2739"/>
      <w:bookmarkStart w:id="1334" w:name="_Toc24165"/>
      <w:bookmarkStart w:id="1335" w:name="_Toc9660"/>
      <w:r>
        <w:rPr>
          <w:rFonts w:hint="default" w:ascii="Times New Roman" w:hAnsi="Times New Roman" w:eastAsia="宋体" w:cs="Times New Roman"/>
          <w:color w:val="auto"/>
          <w:sz w:val="24"/>
          <w:szCs w:val="24"/>
          <w:lang w:val="en-US" w:eastAsia="zh-CN"/>
        </w:rPr>
        <w:t>6）消毒</w:t>
      </w:r>
      <w:bookmarkEnd w:id="1331"/>
      <w:bookmarkEnd w:id="1332"/>
      <w:bookmarkEnd w:id="1333"/>
      <w:bookmarkEnd w:id="1334"/>
      <w:bookmarkEnd w:id="1335"/>
    </w:p>
    <w:p w14:paraId="3CD00105">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为保证排放废水中细菌总数的达标，必须对排放水进行消毒处理。目前国内用于消毒的方法有：氯系元素消毒剂、二氧化氯</w:t>
      </w:r>
      <w:r>
        <w:rPr>
          <w:rFonts w:hint="default" w:ascii="Times New Roman" w:hAnsi="Times New Roman" w:eastAsia="宋体" w:cs="Times New Roman"/>
          <w:color w:val="auto"/>
          <w:sz w:val="24"/>
          <w:szCs w:val="24"/>
          <w:lang w:val="en-US" w:eastAsia="zh-CN"/>
        </w:rPr>
        <w:t>消毒剂</w:t>
      </w:r>
      <w:r>
        <w:rPr>
          <w:rFonts w:hint="default" w:ascii="Times New Roman" w:hAnsi="Times New Roman" w:eastAsia="宋体" w:cs="Times New Roman"/>
          <w:color w:val="auto"/>
          <w:sz w:val="24"/>
          <w:szCs w:val="24"/>
          <w:lang w:eastAsia="zh-CN"/>
        </w:rPr>
        <w:t>、臭氧消毒剂等强氧化剂消毒、紫外线消毒等。不管用什么方法一般都可以达到消毒的目的。</w:t>
      </w:r>
    </w:p>
    <w:p w14:paraId="0FF152A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t>消毒工艺选择：</w:t>
      </w:r>
    </w:p>
    <w:p w14:paraId="1C5DA21B">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医院污水消毒是医院污水处理的重要工艺过程，其目的是杀灭污水中的各种 致病菌。医院污水消毒常用的消毒工艺有氯消毒（如氯气、二氧化氯、次氯酸钠）、氧化剂消毒（如臭氧、过氧乙酸）、辐射消毒（如紫外线、γ射线）。通过对常用的氯消毒、臭氧消毒、二氧化氯消毒、次氯酸钠消毒和紫外线消毒法的优缺点进行归纳和比较，本项目采用二氧化氯消毒最为经济可行。</w:t>
      </w:r>
    </w:p>
    <w:p w14:paraId="113BDC45">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表3.2-</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常见消毒工艺比选</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414"/>
        <w:gridCol w:w="3273"/>
        <w:gridCol w:w="1429"/>
      </w:tblGrid>
      <w:tr w14:paraId="25748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06" w:type="dxa"/>
            <w:shd w:val="clear" w:color="auto" w:fill="D7D7D7" w:themeFill="background1" w:themeFillShade="D8"/>
            <w:noWrap w:val="0"/>
            <w:vAlign w:val="center"/>
          </w:tcPr>
          <w:p w14:paraId="55021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消毒剂</w:t>
            </w:r>
          </w:p>
        </w:tc>
        <w:tc>
          <w:tcPr>
            <w:tcW w:w="2414" w:type="dxa"/>
            <w:shd w:val="clear" w:color="auto" w:fill="D7D7D7" w:themeFill="background1" w:themeFillShade="D8"/>
            <w:noWrap w:val="0"/>
            <w:vAlign w:val="center"/>
          </w:tcPr>
          <w:p w14:paraId="430F5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优点</w:t>
            </w:r>
          </w:p>
        </w:tc>
        <w:tc>
          <w:tcPr>
            <w:tcW w:w="3273" w:type="dxa"/>
            <w:shd w:val="clear" w:color="auto" w:fill="D7D7D7" w:themeFill="background1" w:themeFillShade="D8"/>
            <w:noWrap w:val="0"/>
            <w:vAlign w:val="center"/>
          </w:tcPr>
          <w:p w14:paraId="796AB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缺点</w:t>
            </w:r>
          </w:p>
        </w:tc>
        <w:tc>
          <w:tcPr>
            <w:tcW w:w="1429" w:type="dxa"/>
            <w:shd w:val="clear" w:color="auto" w:fill="D7D7D7" w:themeFill="background1" w:themeFillShade="D8"/>
            <w:noWrap w:val="0"/>
            <w:vAlign w:val="center"/>
          </w:tcPr>
          <w:p w14:paraId="4B15C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消毒效果</w:t>
            </w:r>
          </w:p>
        </w:tc>
      </w:tr>
      <w:tr w14:paraId="6DB5E0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06" w:type="dxa"/>
            <w:noWrap w:val="0"/>
            <w:vAlign w:val="center"/>
          </w:tcPr>
          <w:p w14:paraId="3AF0C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w:t>
            </w:r>
          </w:p>
        </w:tc>
        <w:tc>
          <w:tcPr>
            <w:tcW w:w="2414" w:type="dxa"/>
            <w:noWrap w:val="0"/>
            <w:vAlign w:val="center"/>
          </w:tcPr>
          <w:p w14:paraId="2CD9A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具有持续消毒作用；工艺简单，技术成熟；操作简单，投量准确</w:t>
            </w:r>
          </w:p>
        </w:tc>
        <w:tc>
          <w:tcPr>
            <w:tcW w:w="3273" w:type="dxa"/>
            <w:noWrap w:val="0"/>
            <w:vAlign w:val="center"/>
          </w:tcPr>
          <w:p w14:paraId="52FDE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产生具致癌、致畸作用的有机氯化物（THMs）；处理水有氯或氯酚味；氯气腐蚀性强；管理运行有一定的危险性。</w:t>
            </w:r>
          </w:p>
        </w:tc>
        <w:tc>
          <w:tcPr>
            <w:tcW w:w="1429" w:type="dxa"/>
            <w:noWrap w:val="0"/>
            <w:vAlign w:val="center"/>
          </w:tcPr>
          <w:p w14:paraId="2160E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能有效杀菌，但杀灭病毒效果较差。</w:t>
            </w:r>
          </w:p>
        </w:tc>
      </w:tr>
      <w:tr w14:paraId="1BD16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06" w:type="dxa"/>
            <w:noWrap w:val="0"/>
            <w:vAlign w:val="center"/>
          </w:tcPr>
          <w:p w14:paraId="5EAF3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次氯酸钠</w:t>
            </w:r>
          </w:p>
        </w:tc>
        <w:tc>
          <w:tcPr>
            <w:tcW w:w="2414" w:type="dxa"/>
            <w:noWrap w:val="0"/>
            <w:vAlign w:val="center"/>
          </w:tcPr>
          <w:p w14:paraId="6E535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无毒，运行管理无危险性。</w:t>
            </w:r>
          </w:p>
        </w:tc>
        <w:tc>
          <w:tcPr>
            <w:tcW w:w="3273" w:type="dxa"/>
            <w:noWrap w:val="0"/>
            <w:vAlign w:val="center"/>
          </w:tcPr>
          <w:p w14:paraId="6B0C1C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产生具致癌、致畸作用的有机氯化物（THMs）；使水的pH值升高。</w:t>
            </w:r>
          </w:p>
        </w:tc>
        <w:tc>
          <w:tcPr>
            <w:tcW w:w="1429" w:type="dxa"/>
            <w:noWrap w:val="0"/>
            <w:vAlign w:val="center"/>
          </w:tcPr>
          <w:p w14:paraId="0DD9F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与Cl</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杀菌效果相同。</w:t>
            </w:r>
          </w:p>
        </w:tc>
      </w:tr>
      <w:tr w14:paraId="13E2A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06" w:type="dxa"/>
            <w:noWrap w:val="0"/>
            <w:vAlign w:val="center"/>
          </w:tcPr>
          <w:p w14:paraId="60D8B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二氧化氯</w:t>
            </w:r>
          </w:p>
        </w:tc>
        <w:tc>
          <w:tcPr>
            <w:tcW w:w="2414" w:type="dxa"/>
            <w:noWrap w:val="0"/>
            <w:vAlign w:val="center"/>
          </w:tcPr>
          <w:p w14:paraId="4F8BC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具有强烈的氧化作用，不产生有机氯化物（THMs）；投放简单方便；不受pH影响。</w:t>
            </w:r>
          </w:p>
        </w:tc>
        <w:tc>
          <w:tcPr>
            <w:tcW w:w="3273" w:type="dxa"/>
            <w:noWrap w:val="0"/>
            <w:vAlign w:val="center"/>
          </w:tcPr>
          <w:p w14:paraId="39F1A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ClO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运行管理有一定的危险性；只能就地生产，就地使用；制取设备复杂，操作管理要求高。</w:t>
            </w:r>
          </w:p>
        </w:tc>
        <w:tc>
          <w:tcPr>
            <w:tcW w:w="1429" w:type="dxa"/>
            <w:noWrap w:val="0"/>
            <w:vAlign w:val="center"/>
          </w:tcPr>
          <w:p w14:paraId="6C4B78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较Cl</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杀菌效果好。</w:t>
            </w:r>
          </w:p>
        </w:tc>
      </w:tr>
      <w:tr w14:paraId="0FAE2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noWrap w:val="0"/>
            <w:vAlign w:val="center"/>
          </w:tcPr>
          <w:p w14:paraId="099F7A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臭氧</w:t>
            </w:r>
          </w:p>
        </w:tc>
        <w:tc>
          <w:tcPr>
            <w:tcW w:w="2414" w:type="dxa"/>
            <w:noWrap w:val="0"/>
            <w:vAlign w:val="center"/>
          </w:tcPr>
          <w:p w14:paraId="0BAA7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有强氧化能力，接触时间短；不产生有机氯化物（THMs）；不受pH影响；能增加水中溶解氧。</w:t>
            </w:r>
          </w:p>
        </w:tc>
        <w:tc>
          <w:tcPr>
            <w:tcW w:w="3273" w:type="dxa"/>
            <w:noWrap w:val="0"/>
            <w:vAlign w:val="center"/>
          </w:tcPr>
          <w:p w14:paraId="666C1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臭氧运行管理有一定的危险性；操作复杂，制取臭氧的产率地；电能消耗大；基建投资大；运行成本高。</w:t>
            </w:r>
          </w:p>
        </w:tc>
        <w:tc>
          <w:tcPr>
            <w:tcW w:w="1429" w:type="dxa"/>
            <w:noWrap w:val="0"/>
            <w:vAlign w:val="center"/>
          </w:tcPr>
          <w:p w14:paraId="3C6EF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杀菌和杀灭病毒的效果很好。</w:t>
            </w:r>
          </w:p>
        </w:tc>
      </w:tr>
      <w:tr w14:paraId="019010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106" w:type="dxa"/>
            <w:noWrap w:val="0"/>
            <w:vAlign w:val="center"/>
          </w:tcPr>
          <w:p w14:paraId="0A933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紫外线</w:t>
            </w:r>
          </w:p>
        </w:tc>
        <w:tc>
          <w:tcPr>
            <w:tcW w:w="2414" w:type="dxa"/>
            <w:noWrap w:val="0"/>
            <w:vAlign w:val="center"/>
          </w:tcPr>
          <w:p w14:paraId="189EB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无有害的残余物质；无臭味，操作简单，易实现自动化；运行管理和维修费用低。</w:t>
            </w:r>
          </w:p>
        </w:tc>
        <w:tc>
          <w:tcPr>
            <w:tcW w:w="3273" w:type="dxa"/>
            <w:noWrap w:val="0"/>
            <w:vAlign w:val="center"/>
          </w:tcPr>
          <w:p w14:paraId="41698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电耗大；紫外灯管和石英套管需定期更换；对处理水的水质要求较高；无后续杀菌作用。</w:t>
            </w:r>
          </w:p>
        </w:tc>
        <w:tc>
          <w:tcPr>
            <w:tcW w:w="1429" w:type="dxa"/>
            <w:noWrap w:val="0"/>
            <w:vAlign w:val="center"/>
          </w:tcPr>
          <w:p w14:paraId="34689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效果好，但对悬浮物浓度有要求。</w:t>
            </w:r>
          </w:p>
        </w:tc>
      </w:tr>
    </w:tbl>
    <w:p w14:paraId="4575EF63">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4"/>
          <w:szCs w:val="24"/>
          <w:lang w:val="en-US" w:eastAsia="zh-CN"/>
        </w:rPr>
        <w:t>污水采用二氧化氯消毒工艺进行处理，其原理介绍如下：</w:t>
      </w:r>
    </w:p>
    <w:p w14:paraId="4292A08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二氧化氯消毒剂：是一种无机化合物，化学式为ClO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常温常压下是一种黄绿色到橙黄色气体。二氧化氯并不是含氯消毒剂,它在杀菌过程中更多是发挥一种过氧化物的作用。二氧化氯消毒剂是国际上公认的高效消毒灭菌剂，它可以杀灭一切微生物，包括细菌繁殖体，细菌芽孢，真菌，分枝杆菌和病毒等，并且这些细菌不会产生抗药性。二氧化氯对微生物细胞壁有较强的吸附穿透能力，可有效地氧化细胞内含巯基的酶，还可以快速地抑制微生物蛋白质的合成来破坏微生物。二氧化氯对细胞壁有较好的吸附和透过性能，Cl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与微生物接触释放出新生态的氧及次氯酸分子而产生强大的杀菌消毒作用，这种强氧化作用主要表现对负电子或供电子的原子或基团（如氨基酸内含硫基的酶或硫化物、氮化物等）进行攻击，强行掠夺电子使微生物中的氨基酸氧化分解，抑制其生长并将其杀灭，从而达到消毒灭菌的目的。在杀菌过程中蛋白质变性，对高等动物细胞基本上无影响，无氯的刺激性气味。一般情况下，二氧化氯不和烷类生成氯化烷，与绝大多数脂肪族和芳香族的烃反应，不产生致癌的有机物三氯甲烷，其残留物为水、微量氯化钠和二氧化碳等无毒物质。二氧化氯极易溶于水而不与水反应，几乎不发生水解（水溶液中的亚氯酸和氯酸只占溶质的2%）；在水中的溶解度是氯的5～8倍。其消毒不生成氯代酚和三卤甲烷，能将许多有机化合物氧化，从而降低水的毒性和诱变性质等多种特点。</w:t>
      </w:r>
    </w:p>
    <w:p w14:paraId="015121F2">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该处理工艺主要时解决消毒与病菌指标：利用ClO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的强氧化性能，解决SS指标，利用ClO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的能中和SO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出去污水中的臭气；利用ClO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的漂白作用，解决色度的问题。</w:t>
      </w:r>
    </w:p>
    <w:p w14:paraId="3CD4CD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根据《医疗机构水污染物排放标准》（GB18466-2005）中“4.1.6 采用含氯消毒剂进行消毒的医疗机构污水，若直接排入地表水体和海域，应进行脱氯处理，使总余氯小于0.5mg/L。”本项目污水经处理后排入市政管网，属间接排放，执行《医疗机构水污染物排放标准》（GB18466-2005）表2 预处理标准，未对总余氯进行要求，环评要求在后续运行工程中，应保证定比定量消毒装置的正常运行，以便控制好二氧化氯的投加量，从而控制废水中余氯的排放量。</w:t>
      </w:r>
    </w:p>
    <w:p w14:paraId="605B12DF">
      <w:pPr>
        <w:keepNext w:val="0"/>
        <w:keepLines w:val="0"/>
        <w:pageBreakBefore w:val="0"/>
        <w:widowControl w:val="0"/>
        <w:kinsoku/>
        <w:wordWrap/>
        <w:overflowPunct/>
        <w:topLinePunct w:val="0"/>
        <w:autoSpaceDE/>
        <w:autoSpaceDN/>
        <w:bidi w:val="0"/>
        <w:adjustRightInd/>
        <w:snapToGrid/>
        <w:spacing w:line="336" w:lineRule="auto"/>
        <w:ind w:firstLine="482" w:firstLineChars="200"/>
        <w:jc w:val="both"/>
        <w:textAlignment w:val="auto"/>
        <w:outlineLvl w:val="1"/>
        <w:rPr>
          <w:rFonts w:hint="default" w:ascii="Times New Roman" w:hAnsi="Times New Roman" w:eastAsia="宋体" w:cs="Times New Roman"/>
          <w:b/>
          <w:bCs/>
          <w:color w:val="auto"/>
          <w:sz w:val="24"/>
          <w:szCs w:val="24"/>
        </w:rPr>
      </w:pPr>
      <w:bookmarkStart w:id="1336" w:name="_Toc31677"/>
      <w:bookmarkStart w:id="1337" w:name="_Toc17173"/>
      <w:bookmarkStart w:id="1338" w:name="_Toc176"/>
      <w:bookmarkStart w:id="1339" w:name="_Toc20129"/>
      <w:bookmarkStart w:id="1340" w:name="_Toc22277"/>
      <w:r>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t>7）</w:t>
      </w:r>
      <w:r>
        <w:rPr>
          <w:rFonts w:hint="default" w:ascii="Times New Roman" w:hAnsi="Times New Roman" w:eastAsia="宋体" w:cs="Times New Roman"/>
          <w:b/>
          <w:bCs/>
          <w:color w:val="auto"/>
          <w:sz w:val="24"/>
          <w:szCs w:val="24"/>
        </w:rPr>
        <w:t>污泥处理</w:t>
      </w:r>
      <w:bookmarkEnd w:id="1336"/>
      <w:bookmarkEnd w:id="1337"/>
      <w:bookmarkEnd w:id="1338"/>
      <w:bookmarkEnd w:id="1339"/>
      <w:bookmarkEnd w:id="1340"/>
    </w:p>
    <w:p w14:paraId="50EE3AEA">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栅渣和污泥处理是传染病医院污水处理的重要组成部分：在医院污水处理过程中，大量悬浮在水中的有机无机污染物和致病菌、病毒、寄生虫卵等经格栅和沉淀分离出来形成污泥和栅渣，这些污泥如不妥善消毒处理，任意排放或弃置，会污染环境，根据项目资料，本项目采用石灰对栅渣和污泥进行消毒，栅渣和污泥还需要脱水，其目的是降低污泥含水率，脱水过程必须考虑密封和气体处理，污泥自然风干至</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lang w:eastAsia="zh-CN"/>
        </w:rPr>
        <w:t>%以下后密闭封装后存放于</w:t>
      </w:r>
      <w:r>
        <w:rPr>
          <w:rFonts w:hint="default" w:ascii="Times New Roman" w:hAnsi="Times New Roman" w:eastAsia="宋体" w:cs="Times New Roman"/>
          <w:color w:val="auto"/>
          <w:sz w:val="24"/>
          <w:szCs w:val="24"/>
          <w:lang w:val="en-US" w:eastAsia="zh-CN"/>
        </w:rPr>
        <w:t>医废暂存</w:t>
      </w:r>
      <w:r>
        <w:rPr>
          <w:rFonts w:hint="default" w:ascii="Times New Roman" w:hAnsi="Times New Roman" w:eastAsia="宋体" w:cs="Times New Roman"/>
          <w:color w:val="auto"/>
          <w:sz w:val="24"/>
          <w:szCs w:val="24"/>
          <w:lang w:eastAsia="zh-CN"/>
        </w:rPr>
        <w:t>间，</w:t>
      </w:r>
      <w:r>
        <w:rPr>
          <w:rFonts w:hint="eastAsia" w:ascii="Times New Roman" w:hAnsi="Times New Roman" w:eastAsia="宋体" w:cs="Times New Roman"/>
          <w:color w:val="auto"/>
          <w:sz w:val="24"/>
          <w:szCs w:val="24"/>
          <w:lang w:val="en-US" w:eastAsia="zh-CN"/>
        </w:rPr>
        <w:t>定期交由中节能（攀枝花）清洁技术发展有限公司处置。</w:t>
      </w:r>
    </w:p>
    <w:p w14:paraId="2D0A6F2C">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项目污水处理站工艺流程见下图3.2-2。</w:t>
      </w:r>
    </w:p>
    <w:p w14:paraId="1211FA9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drawing>
          <wp:inline distT="0" distB="0" distL="114300" distR="114300">
            <wp:extent cx="5193030" cy="3406140"/>
            <wp:effectExtent l="0" t="0" r="762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1"/>
                    <a:stretch>
                      <a:fillRect/>
                    </a:stretch>
                  </pic:blipFill>
                  <pic:spPr>
                    <a:xfrm>
                      <a:off x="0" y="0"/>
                      <a:ext cx="5193030" cy="3406140"/>
                    </a:xfrm>
                    <a:prstGeom prst="rect">
                      <a:avLst/>
                    </a:prstGeom>
                    <a:noFill/>
                    <a:ln>
                      <a:noFill/>
                    </a:ln>
                  </pic:spPr>
                </pic:pic>
              </a:graphicData>
            </a:graphic>
          </wp:inline>
        </w:drawing>
      </w:r>
    </w:p>
    <w:p w14:paraId="2A0448BF">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3.2-2 项目污水处理工艺流程图</w:t>
      </w:r>
    </w:p>
    <w:p w14:paraId="39222626">
      <w:pPr>
        <w:spacing w:line="360" w:lineRule="auto"/>
        <w:ind w:firstLine="480"/>
        <w:outlineLvl w:val="0"/>
        <w:rPr>
          <w:rFonts w:hint="default" w:ascii="Times New Roman" w:hAnsi="Times New Roman" w:eastAsia="宋体" w:cs="Times New Roman"/>
          <w:b w:val="0"/>
          <w:bCs w:val="0"/>
          <w:i w:val="0"/>
          <w:iCs w:val="0"/>
          <w:caps w:val="0"/>
          <w:color w:val="auto"/>
          <w:spacing w:val="0"/>
          <w:kern w:val="0"/>
          <w:sz w:val="24"/>
          <w:szCs w:val="24"/>
          <w:u w:val="none"/>
          <w:shd w:val="clear" w:fill="FFFFFF"/>
          <w:lang w:val="en-US" w:eastAsia="zh-CN" w:bidi="ar"/>
        </w:rPr>
      </w:pPr>
      <w:bookmarkStart w:id="1341" w:name="_Toc18268"/>
      <w:bookmarkStart w:id="1342" w:name="_Toc7059"/>
      <w:bookmarkStart w:id="1343" w:name="_Toc30040"/>
      <w:bookmarkStart w:id="1344" w:name="_Toc830"/>
      <w:bookmarkStart w:id="1345" w:name="_Toc6433"/>
      <w:r>
        <w:rPr>
          <w:rFonts w:hint="default" w:ascii="Times New Roman" w:hAnsi="Times New Roman" w:eastAsia="宋体" w:cs="Times New Roman"/>
          <w:b/>
          <w:bCs/>
          <w:i w:val="0"/>
          <w:iCs w:val="0"/>
          <w:caps w:val="0"/>
          <w:color w:val="auto"/>
          <w:spacing w:val="0"/>
          <w:kern w:val="0"/>
          <w:sz w:val="24"/>
          <w:szCs w:val="24"/>
          <w:u w:val="none"/>
          <w:shd w:val="clear" w:fill="FFFFFF"/>
          <w:lang w:val="en-US" w:eastAsia="zh-CN" w:bidi="ar"/>
        </w:rPr>
        <w:t>（4）</w:t>
      </w:r>
      <w:r>
        <w:rPr>
          <w:rFonts w:hint="default" w:ascii="Times New Roman" w:hAnsi="Times New Roman" w:eastAsia="宋体" w:cs="Times New Roman"/>
          <w:b/>
          <w:bCs/>
          <w:color w:val="auto"/>
          <w:sz w:val="22"/>
          <w:szCs w:val="21"/>
          <w:highlight w:val="none"/>
          <w:lang w:val="en-US" w:eastAsia="zh-CN"/>
        </w:rPr>
        <w:t>大英县城市生活污水处理厂依托可行性分析</w:t>
      </w:r>
      <w:bookmarkEnd w:id="1341"/>
      <w:bookmarkEnd w:id="1342"/>
      <w:bookmarkEnd w:id="1343"/>
      <w:bookmarkEnd w:id="1344"/>
      <w:bookmarkEnd w:id="1345"/>
    </w:p>
    <w:p w14:paraId="05ADCAFE">
      <w:p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项目污水经院内污水处理站处理达《医疗机构水污染物排放标准》（GB18466-2015）预处理标准及《污水排入城镇下水道水质标准》（GB/T31962-2015）表（1）标准后排入大英县城市生活污水处理厂。</w:t>
      </w:r>
      <w:r>
        <w:rPr>
          <w:rFonts w:hint="default" w:ascii="Times New Roman" w:hAnsi="Times New Roman" w:eastAsia="宋体" w:cs="Times New Roman"/>
          <w:b w:val="0"/>
          <w:bCs w:val="0"/>
          <w:color w:val="auto"/>
          <w:sz w:val="24"/>
          <w:szCs w:val="24"/>
          <w:highlight w:val="none"/>
          <w:lang w:val="en-US" w:eastAsia="zh-CN"/>
        </w:rPr>
        <w:t>大英县城市生活污水处理厂位于大英县工业集中发展区红花坝村，</w:t>
      </w:r>
      <w:r>
        <w:rPr>
          <w:rFonts w:hint="default" w:ascii="Times New Roman" w:hAnsi="Times New Roman" w:eastAsia="宋体" w:cs="Times New Roman"/>
          <w:color w:val="auto"/>
          <w:kern w:val="0"/>
          <w:sz w:val="24"/>
          <w:szCs w:val="24"/>
        </w:rPr>
        <w:t>服务区域主要为大英县中心城区，远期改扩建后服务区域为大英主城区、文化产业新新片区，收纳处理污水主要为城市生活污水，总服务面积约3245hm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污水处理厂</w:t>
      </w:r>
      <w:r>
        <w:rPr>
          <w:rFonts w:hint="default" w:ascii="Times New Roman" w:hAnsi="Times New Roman" w:eastAsia="宋体" w:cs="Times New Roman"/>
          <w:color w:val="auto"/>
          <w:kern w:val="0"/>
          <w:sz w:val="24"/>
          <w:szCs w:val="24"/>
        </w:rPr>
        <w:t>总规模达到3万m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采用</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/O脱氮除磷工艺+高效沉淀池+反硝化深床滤池+紫外线消毒工艺为主体的三级深度生化处理工艺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rPr>
        <w:t>出水水质执行《四川省岷江、沱江流域水污染物排放标准》中城镇污水处理厂排放标准，并对TP、粪大肠菌群数、石油类等指标进行控制使其达《地表水环境质量标准》（GB3838-2002）III类相关要求，尾水排入郪江。</w:t>
      </w:r>
    </w:p>
    <w:p w14:paraId="16518800">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本项目在污水处理厂纳污范围内，项目附近雨污管网为大英县旅游基础设施（一期）二标段医院路工程，该属于遂宁市中国死海旅游度假区建设范围，该工程预计在2023年11月完工，本项目建成后运营期污水能够接入该段市政管网。项目污水最大排放量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704.02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w:t>
      </w:r>
      <w:r>
        <w:rPr>
          <w:rFonts w:hint="default" w:ascii="Times New Roman" w:hAnsi="Times New Roman" w:eastAsia="宋体" w:cs="Times New Roman"/>
          <w:bCs/>
          <w:color w:val="auto"/>
          <w:sz w:val="24"/>
          <w:szCs w:val="24"/>
          <w:highlight w:val="none"/>
          <w:lang w:val="en-US" w:eastAsia="zh-CN"/>
        </w:rPr>
        <w:t>排水水质达到《医疗机构水污染物排放标准》（GB18466-2005）预处理标准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w:t>
      </w:r>
      <w:r>
        <w:rPr>
          <w:rFonts w:hint="default" w:ascii="Times New Roman" w:hAnsi="Times New Roman" w:eastAsia="宋体" w:cs="Times New Roman"/>
          <w:bCs/>
          <w:color w:val="auto"/>
          <w:sz w:val="24"/>
          <w:szCs w:val="24"/>
          <w:highlight w:val="none"/>
          <w:lang w:val="en-US" w:eastAsia="zh-CN"/>
        </w:rPr>
        <w:t>后排入</w:t>
      </w:r>
      <w:r>
        <w:rPr>
          <w:rFonts w:hint="default" w:ascii="Times New Roman" w:hAnsi="Times New Roman" w:eastAsia="宋体" w:cs="Times New Roman"/>
          <w:b w:val="0"/>
          <w:bCs w:val="0"/>
          <w:color w:val="auto"/>
          <w:sz w:val="24"/>
          <w:szCs w:val="24"/>
          <w:highlight w:val="none"/>
          <w:lang w:val="en-US" w:eastAsia="zh-CN"/>
        </w:rPr>
        <w:t>大英县城市生活污水处理厂</w:t>
      </w:r>
      <w:r>
        <w:rPr>
          <w:rFonts w:hint="default" w:ascii="Times New Roman" w:hAnsi="Times New Roman" w:eastAsia="宋体" w:cs="Times New Roman"/>
          <w:bCs/>
          <w:color w:val="auto"/>
          <w:sz w:val="24"/>
          <w:szCs w:val="24"/>
          <w:highlight w:val="none"/>
          <w:lang w:val="en-US" w:eastAsia="zh-CN"/>
        </w:rPr>
        <w:t>，污水处理厂剩余容量能满足本项目需求，</w:t>
      </w:r>
      <w:r>
        <w:rPr>
          <w:rFonts w:hint="default" w:ascii="Times New Roman" w:hAnsi="Times New Roman" w:eastAsia="宋体" w:cs="Times New Roman"/>
          <w:b w:val="0"/>
          <w:bCs w:val="0"/>
          <w:color w:val="auto"/>
          <w:sz w:val="24"/>
          <w:szCs w:val="24"/>
          <w:highlight w:val="none"/>
          <w:lang w:val="en-US" w:eastAsia="zh-CN"/>
        </w:rPr>
        <w:t>大英县城市生活污水处理厂</w:t>
      </w:r>
      <w:r>
        <w:rPr>
          <w:rFonts w:hint="default" w:ascii="Times New Roman" w:hAnsi="Times New Roman" w:eastAsia="宋体" w:cs="Times New Roman"/>
          <w:bCs/>
          <w:color w:val="auto"/>
          <w:sz w:val="24"/>
          <w:szCs w:val="24"/>
          <w:highlight w:val="none"/>
          <w:lang w:val="en-US" w:eastAsia="zh-CN"/>
        </w:rPr>
        <w:t>能负荷本项目污水。</w:t>
      </w:r>
    </w:p>
    <w:p w14:paraId="3996ED29">
      <w:pPr>
        <w:pStyle w:val="8"/>
        <w:bidi w:val="0"/>
        <w:outlineLvl w:val="1"/>
        <w:rPr>
          <w:rFonts w:hint="default" w:ascii="Times New Roman" w:hAnsi="Times New Roman" w:eastAsia="宋体" w:cs="Times New Roman"/>
          <w:color w:val="auto"/>
        </w:rPr>
      </w:pPr>
      <w:bookmarkStart w:id="1346" w:name="_Toc7131"/>
      <w:bookmarkStart w:id="1347" w:name="_Toc6615"/>
      <w:bookmarkStart w:id="1348" w:name="_Toc5385"/>
      <w:bookmarkStart w:id="1349" w:name="_Toc22322"/>
      <w:bookmarkStart w:id="1350" w:name="_Toc16117"/>
      <w:r>
        <w:rPr>
          <w:rFonts w:hint="default" w:ascii="Times New Roman" w:hAnsi="Times New Roman" w:eastAsia="宋体" w:cs="Times New Roman"/>
          <w:color w:val="auto"/>
          <w:lang w:val="en-US" w:eastAsia="zh-CN"/>
        </w:rPr>
        <w:t>3.2.3.3 地下水污染防治措施</w:t>
      </w:r>
      <w:bookmarkEnd w:id="1346"/>
      <w:bookmarkEnd w:id="1347"/>
      <w:bookmarkEnd w:id="1348"/>
      <w:bookmarkEnd w:id="1349"/>
      <w:bookmarkEnd w:id="1350"/>
    </w:p>
    <w:p w14:paraId="6F331425">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outlineLvl w:val="2"/>
        <w:rPr>
          <w:rFonts w:hint="default" w:ascii="Times New Roman" w:hAnsi="Times New Roman" w:eastAsia="宋体" w:cs="Times New Roman"/>
          <w:color w:val="auto"/>
        </w:rPr>
      </w:pPr>
      <w:bookmarkStart w:id="1351" w:name="_Toc24610"/>
      <w:bookmarkStart w:id="1352" w:name="_Toc11281"/>
      <w:bookmarkStart w:id="1353" w:name="_Toc6066"/>
      <w:bookmarkStart w:id="1354" w:name="_Toc31950"/>
      <w:r>
        <w:rPr>
          <w:rFonts w:hint="default" w:ascii="Times New Roman" w:hAnsi="Times New Roman" w:eastAsia="宋体" w:cs="Times New Roman"/>
          <w:b/>
          <w:bCs/>
          <w:color w:val="auto"/>
          <w:kern w:val="0"/>
          <w:sz w:val="24"/>
          <w:szCs w:val="24"/>
          <w:lang w:val="en-US" w:eastAsia="zh-CN" w:bidi="ar"/>
        </w:rPr>
        <w:t>（1） 基本要求</w:t>
      </w:r>
      <w:bookmarkEnd w:id="1351"/>
      <w:bookmarkEnd w:id="1352"/>
      <w:bookmarkEnd w:id="1353"/>
      <w:bookmarkEnd w:id="1354"/>
    </w:p>
    <w:p w14:paraId="3552E5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1）地下水保护措施与对策应符合《中华人民共和国水污染防治法》的相关规定，按照“源头控制，分区防治，污染监控，应急响应”、突出饮用水安全的原则确定。</w:t>
      </w:r>
    </w:p>
    <w:p w14:paraId="3D28C8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地下水环境环保对策措施建议应根据建设项目特点、调查评价区和场地环境水文地质条件，在建设项目可行性研究提出的污染防控措施基础上，根据换将影响预测与评价结果，提出需要增加或完善的地下水环境保护措施和对策。</w:t>
      </w:r>
    </w:p>
    <w:p w14:paraId="5127E5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3）给出各项地下水环境保护措施与对策的实施效果，列表给出初步估算各措施的投资概算，并分析其技术、经济可行性。</w:t>
      </w:r>
    </w:p>
    <w:p w14:paraId="0856CF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4）提出合理、可行、操作性强的地下水污染防控的环境管理体系，包括地下水环境跟踪监测方案和定期信息公开等。</w:t>
      </w:r>
    </w:p>
    <w:p w14:paraId="4EF40F3A">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outlineLvl w:val="2"/>
        <w:rPr>
          <w:rFonts w:hint="default" w:ascii="Times New Roman" w:hAnsi="Times New Roman" w:eastAsia="宋体" w:cs="Times New Roman"/>
          <w:color w:val="auto"/>
        </w:rPr>
      </w:pPr>
      <w:bookmarkStart w:id="1355" w:name="_Toc22864"/>
      <w:bookmarkStart w:id="1356" w:name="_Toc10847"/>
      <w:bookmarkStart w:id="1357" w:name="_Toc32485"/>
      <w:bookmarkStart w:id="1358" w:name="_Toc14987"/>
      <w:r>
        <w:rPr>
          <w:rFonts w:hint="default" w:ascii="Times New Roman" w:hAnsi="Times New Roman" w:eastAsia="宋体" w:cs="Times New Roman"/>
          <w:b/>
          <w:bCs/>
          <w:color w:val="auto"/>
          <w:kern w:val="0"/>
          <w:sz w:val="24"/>
          <w:szCs w:val="24"/>
          <w:lang w:val="en-US" w:eastAsia="zh-CN" w:bidi="ar"/>
        </w:rPr>
        <w:t>（2）防止地下水污染的主动控制措施</w:t>
      </w:r>
      <w:bookmarkEnd w:id="1355"/>
      <w:bookmarkEnd w:id="1356"/>
      <w:bookmarkEnd w:id="1357"/>
      <w:bookmarkEnd w:id="1358"/>
    </w:p>
    <w:p w14:paraId="7A125D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地下水污染防治措施坚持“源头控制、分区防治、污染监控、应急响应”相结合的原则，即采取主动控制和被动控制相结合的措施。主动控制即从源头控制措施，主要包括对上述可能造成地下水污染物的部位进行防渗处理，确保污染物不会进入到地下水，将污染物渗漏、泄漏的环境风险事故降到最低程度。</w:t>
      </w:r>
    </w:p>
    <w:p w14:paraId="3EA1354B">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outlineLvl w:val="2"/>
        <w:rPr>
          <w:rFonts w:hint="default" w:ascii="Times New Roman" w:hAnsi="Times New Roman" w:eastAsia="宋体" w:cs="Times New Roman"/>
          <w:color w:val="auto"/>
        </w:rPr>
      </w:pPr>
      <w:bookmarkStart w:id="1359" w:name="_Toc25338"/>
      <w:bookmarkStart w:id="1360" w:name="_Toc25257"/>
      <w:bookmarkStart w:id="1361" w:name="_Toc4909"/>
      <w:bookmarkStart w:id="1362" w:name="_Toc26518"/>
      <w:r>
        <w:rPr>
          <w:rFonts w:hint="default" w:ascii="Times New Roman" w:hAnsi="Times New Roman" w:eastAsia="宋体" w:cs="Times New Roman"/>
          <w:b/>
          <w:bCs/>
          <w:color w:val="auto"/>
          <w:kern w:val="0"/>
          <w:sz w:val="24"/>
          <w:szCs w:val="24"/>
          <w:lang w:val="en-US" w:eastAsia="zh-CN" w:bidi="ar"/>
        </w:rPr>
        <w:t>（3）地下水分区防治措施</w:t>
      </w:r>
      <w:bookmarkEnd w:id="1359"/>
      <w:bookmarkEnd w:id="1360"/>
      <w:bookmarkEnd w:id="1361"/>
      <w:bookmarkEnd w:id="1362"/>
      <w:r>
        <w:rPr>
          <w:rFonts w:hint="default" w:ascii="Times New Roman" w:hAnsi="Times New Roman" w:eastAsia="宋体" w:cs="Times New Roman"/>
          <w:b/>
          <w:bCs/>
          <w:color w:val="auto"/>
          <w:kern w:val="0"/>
          <w:sz w:val="24"/>
          <w:szCs w:val="24"/>
          <w:lang w:val="en-US" w:eastAsia="zh-CN" w:bidi="ar"/>
        </w:rPr>
        <w:t xml:space="preserve"> </w:t>
      </w:r>
    </w:p>
    <w:p w14:paraId="39141D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最大限度降低废水的渗漏，防止地下水污染，在总图布置上，严格区分污染防治区和非污染防治区。对重点污染防治区、一般污染防治区和简单防渗区进行相应的防渗防腐处理。项目地下水污染分区防治方案见下表3.2-1</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1</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p>
    <w:p w14:paraId="64DF10E5">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3.2-1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项目地下水分区防渗措施统计表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025"/>
        <w:gridCol w:w="1365"/>
        <w:gridCol w:w="3273"/>
        <w:gridCol w:w="1899"/>
      </w:tblGrid>
      <w:tr w14:paraId="63346F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4" w:type="dxa"/>
            <w:gridSpan w:val="3"/>
            <w:shd w:val="clear" w:color="auto" w:fill="D7D7D7" w:themeFill="background1" w:themeFillShade="D8"/>
            <w:vAlign w:val="center"/>
          </w:tcPr>
          <w:p w14:paraId="21A563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防渗分区</w:t>
            </w:r>
          </w:p>
        </w:tc>
        <w:tc>
          <w:tcPr>
            <w:tcW w:w="3273" w:type="dxa"/>
            <w:shd w:val="clear" w:color="auto" w:fill="D7D7D7" w:themeFill="background1" w:themeFillShade="D8"/>
            <w:vAlign w:val="center"/>
          </w:tcPr>
          <w:p w14:paraId="490CDD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防渗措施</w:t>
            </w:r>
          </w:p>
        </w:tc>
        <w:tc>
          <w:tcPr>
            <w:tcW w:w="1899" w:type="dxa"/>
            <w:shd w:val="clear" w:color="auto" w:fill="D7D7D7" w:themeFill="background1" w:themeFillShade="D8"/>
            <w:vAlign w:val="center"/>
          </w:tcPr>
          <w:p w14:paraId="7EC616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防渗系数</w:t>
            </w:r>
          </w:p>
        </w:tc>
      </w:tr>
      <w:tr w14:paraId="1CF07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restart"/>
            <w:vAlign w:val="center"/>
          </w:tcPr>
          <w:p w14:paraId="7CD2F0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重点防渗区</w:t>
            </w:r>
          </w:p>
        </w:tc>
        <w:tc>
          <w:tcPr>
            <w:tcW w:w="1025" w:type="dxa"/>
            <w:vMerge w:val="restart"/>
            <w:vAlign w:val="center"/>
          </w:tcPr>
          <w:p w14:paraId="74A101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环保工程</w:t>
            </w:r>
          </w:p>
        </w:tc>
        <w:tc>
          <w:tcPr>
            <w:tcW w:w="1365" w:type="dxa"/>
            <w:vAlign w:val="center"/>
          </w:tcPr>
          <w:p w14:paraId="2B786E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w:t>
            </w:r>
          </w:p>
        </w:tc>
        <w:tc>
          <w:tcPr>
            <w:tcW w:w="3273" w:type="dxa"/>
            <w:vMerge w:val="restart"/>
            <w:vAlign w:val="center"/>
          </w:tcPr>
          <w:p w14:paraId="4C232E5F">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①结构厚度不小于 250mm；②混凝土的抗渗等级不应低于 P8，且水池的内表面应涂刷水泥基渗透结晶型或喷涂聚脲等防水涂料，或在混凝土内掺加水泥基渗透结晶型防水剂；③水泥基渗透结晶型防水涂料不应小于 1.0mm，喷涂聚脲防水涂料厚度不应小于1.5mm；④当混凝土内参加水泥基渗透结晶型防水剂，掺量宜为胶凝材料总量的 1%～2%。</w:t>
            </w:r>
          </w:p>
        </w:tc>
        <w:tc>
          <w:tcPr>
            <w:tcW w:w="1899" w:type="dxa"/>
            <w:vMerge w:val="restart"/>
            <w:vAlign w:val="center"/>
          </w:tcPr>
          <w:p w14:paraId="6AA29176">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等效粘土防渗层 Mb≥6m，K≤1×10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cm/s；或参照GB18598 执行</w:t>
            </w:r>
          </w:p>
        </w:tc>
      </w:tr>
      <w:tr w14:paraId="7BCD91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14BD08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59FD99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7F43C2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预处理池</w:t>
            </w:r>
          </w:p>
        </w:tc>
        <w:tc>
          <w:tcPr>
            <w:tcW w:w="3273" w:type="dxa"/>
            <w:vMerge w:val="continue"/>
            <w:vAlign w:val="center"/>
          </w:tcPr>
          <w:p w14:paraId="3F7AC9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899" w:type="dxa"/>
            <w:vMerge w:val="continue"/>
            <w:vAlign w:val="center"/>
          </w:tcPr>
          <w:p w14:paraId="461B0F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A248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123E51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0EBA6C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6D8880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食堂隔油池</w:t>
            </w:r>
          </w:p>
        </w:tc>
        <w:tc>
          <w:tcPr>
            <w:tcW w:w="3273" w:type="dxa"/>
            <w:vMerge w:val="continue"/>
            <w:vAlign w:val="center"/>
          </w:tcPr>
          <w:p w14:paraId="56E695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899" w:type="dxa"/>
            <w:vMerge w:val="continue"/>
            <w:vAlign w:val="center"/>
          </w:tcPr>
          <w:p w14:paraId="08D7B0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0BC77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03A8FD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30126C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33F770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废水输送管线</w:t>
            </w:r>
          </w:p>
        </w:tc>
        <w:tc>
          <w:tcPr>
            <w:tcW w:w="3273" w:type="dxa"/>
            <w:vAlign w:val="center"/>
          </w:tcPr>
          <w:p w14:paraId="5FDA82ED">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①沟底、沟壁和顶板的混凝土强度等级不宜低于C30，抗渗等级不应低于P8，混凝土垫层的强度等级不宜低于C15；②沟底</w:t>
            </w:r>
          </w:p>
          <w:p w14:paraId="237F78D3">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和沟壁的厚度不宜小于200mm；③沟底、沟壁的内表面和顶板顶面应抹聚合物水泥防水砂浆。厚度不应小于10mm</w:t>
            </w:r>
          </w:p>
        </w:tc>
        <w:tc>
          <w:tcPr>
            <w:tcW w:w="1899" w:type="dxa"/>
            <w:vMerge w:val="continue"/>
            <w:vAlign w:val="center"/>
          </w:tcPr>
          <w:p w14:paraId="1719F4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2F82C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77E698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60B690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3983EB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医疗废物暂存间</w:t>
            </w:r>
          </w:p>
        </w:tc>
        <w:tc>
          <w:tcPr>
            <w:tcW w:w="3273" w:type="dxa"/>
            <w:vAlign w:val="center"/>
          </w:tcPr>
          <w:p w14:paraId="7CDA002C">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采用粘土铺底+10~15cm 的水泥进行硬化+至少 2mm 厚的HDPE 膜+防渗混凝土”进行防渗防腐处理，确保防渗要求等效黏土防渗层Mb≥6.0m，K≤1.0×10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cm/s，同时加强暂储间的密闭性</w:t>
            </w:r>
          </w:p>
        </w:tc>
        <w:tc>
          <w:tcPr>
            <w:tcW w:w="1899" w:type="dxa"/>
            <w:vMerge w:val="continue"/>
            <w:vAlign w:val="center"/>
          </w:tcPr>
          <w:p w14:paraId="18A851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3C556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3B3648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2CC3E9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3543BD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危险废物暂存间</w:t>
            </w:r>
          </w:p>
        </w:tc>
        <w:tc>
          <w:tcPr>
            <w:tcW w:w="3273" w:type="dxa"/>
            <w:vAlign w:val="center"/>
          </w:tcPr>
          <w:p w14:paraId="208C5471">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采用粘土铺底+10~15cm 的水泥进行硬化+至少 2mm 厚的HDPE 膜+防渗混凝土”进行防渗防腐处理，确保防渗要求等效黏土防渗层Mb≥6.0m，K≤1.0×10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cm/s，同时加强暂储间的密闭性</w:t>
            </w:r>
          </w:p>
        </w:tc>
        <w:tc>
          <w:tcPr>
            <w:tcW w:w="1899" w:type="dxa"/>
            <w:vMerge w:val="continue"/>
            <w:vAlign w:val="center"/>
          </w:tcPr>
          <w:p w14:paraId="709870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03CCF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restart"/>
            <w:vAlign w:val="center"/>
          </w:tcPr>
          <w:p w14:paraId="176136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一般防渗区</w:t>
            </w:r>
          </w:p>
        </w:tc>
        <w:tc>
          <w:tcPr>
            <w:tcW w:w="1025" w:type="dxa"/>
            <w:vAlign w:val="center"/>
          </w:tcPr>
          <w:p w14:paraId="3D3144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主体工程</w:t>
            </w:r>
          </w:p>
        </w:tc>
        <w:tc>
          <w:tcPr>
            <w:tcW w:w="1365" w:type="dxa"/>
            <w:vAlign w:val="center"/>
          </w:tcPr>
          <w:p w14:paraId="0E6FB72D">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rPr>
              <w:t>门急诊医技住院综合楼、后勤楼、发热楼、感染楼</w:t>
            </w:r>
          </w:p>
        </w:tc>
        <w:tc>
          <w:tcPr>
            <w:tcW w:w="3273" w:type="dxa"/>
            <w:vMerge w:val="restart"/>
            <w:vAlign w:val="center"/>
          </w:tcPr>
          <w:p w14:paraId="7A97023F">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 xml:space="preserve">混凝土防渗层抗渗等级不应小于P6，其厚度不宜小于100mm，其防渗层性能与1.5m厚粘土层(渗透系数1.0×10 </w:t>
            </w:r>
            <w:r>
              <w:rPr>
                <w:rFonts w:hint="default" w:ascii="Times New Roman" w:hAnsi="Times New Roman" w:eastAsia="宋体" w:cs="Times New Roman"/>
                <w:color w:val="auto"/>
                <w:kern w:val="0"/>
                <w:sz w:val="21"/>
                <w:szCs w:val="21"/>
                <w:vertAlign w:val="superscript"/>
                <w:lang w:val="en-US" w:eastAsia="zh-CN" w:bidi="ar"/>
              </w:rPr>
              <w:t xml:space="preserve">-7 </w:t>
            </w:r>
            <w:r>
              <w:rPr>
                <w:rFonts w:hint="default" w:ascii="Times New Roman" w:hAnsi="Times New Roman" w:eastAsia="宋体" w:cs="Times New Roman"/>
                <w:color w:val="auto"/>
                <w:kern w:val="0"/>
                <w:sz w:val="21"/>
                <w:szCs w:val="21"/>
                <w:lang w:val="en-US" w:eastAsia="zh-CN" w:bidi="ar"/>
              </w:rPr>
              <w:t>cm/s)等效。</w:t>
            </w:r>
          </w:p>
        </w:tc>
        <w:tc>
          <w:tcPr>
            <w:tcW w:w="1899" w:type="dxa"/>
            <w:vMerge w:val="restart"/>
            <w:vAlign w:val="center"/>
          </w:tcPr>
          <w:p w14:paraId="04FD2667">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等效粘土防渗层 Mb≥1.5m，K≤1×10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cm/sGB1859 执行</w:t>
            </w:r>
          </w:p>
        </w:tc>
      </w:tr>
      <w:tr w14:paraId="38BB0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1BDD85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Align w:val="center"/>
          </w:tcPr>
          <w:p w14:paraId="317A30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公用工程</w:t>
            </w:r>
          </w:p>
        </w:tc>
        <w:tc>
          <w:tcPr>
            <w:tcW w:w="1365" w:type="dxa"/>
            <w:vAlign w:val="center"/>
          </w:tcPr>
          <w:p w14:paraId="14E83B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发电机房、液氧站、锅炉房</w:t>
            </w:r>
          </w:p>
        </w:tc>
        <w:tc>
          <w:tcPr>
            <w:tcW w:w="3273" w:type="dxa"/>
            <w:vMerge w:val="continue"/>
            <w:vAlign w:val="center"/>
          </w:tcPr>
          <w:p w14:paraId="647B1A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899" w:type="dxa"/>
            <w:vMerge w:val="continue"/>
            <w:vAlign w:val="center"/>
          </w:tcPr>
          <w:p w14:paraId="23FD38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ECBF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60547C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简单防渗</w:t>
            </w:r>
          </w:p>
        </w:tc>
        <w:tc>
          <w:tcPr>
            <w:tcW w:w="1025" w:type="dxa"/>
            <w:vAlign w:val="center"/>
          </w:tcPr>
          <w:p w14:paraId="18BB43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基础工程</w:t>
            </w:r>
          </w:p>
        </w:tc>
        <w:tc>
          <w:tcPr>
            <w:tcW w:w="1365" w:type="dxa"/>
            <w:vAlign w:val="center"/>
          </w:tcPr>
          <w:p w14:paraId="476893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除重点防渗和一般防渗以外的区域</w:t>
            </w:r>
          </w:p>
        </w:tc>
        <w:tc>
          <w:tcPr>
            <w:tcW w:w="3273" w:type="dxa"/>
            <w:vAlign w:val="center"/>
          </w:tcPr>
          <w:p w14:paraId="61A9779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简单硬化</w:t>
            </w:r>
          </w:p>
        </w:tc>
        <w:tc>
          <w:tcPr>
            <w:tcW w:w="1899" w:type="dxa"/>
            <w:vAlign w:val="center"/>
          </w:tcPr>
          <w:p w14:paraId="078857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r>
    </w:tbl>
    <w:p w14:paraId="53A7E3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rPr>
      </w:pPr>
      <w:bookmarkStart w:id="1363" w:name="_Toc32325"/>
      <w:bookmarkStart w:id="1364" w:name="_Toc21926"/>
      <w:bookmarkStart w:id="1365" w:name="_Toc6710"/>
      <w:bookmarkStart w:id="1366" w:name="_Toc25204"/>
      <w:bookmarkStart w:id="1367" w:name="_Toc24096"/>
      <w:r>
        <w:rPr>
          <w:rStyle w:val="37"/>
          <w:rFonts w:hint="default" w:ascii="Times New Roman" w:hAnsi="Times New Roman" w:eastAsia="宋体" w:cs="Times New Roman"/>
          <w:color w:val="auto"/>
          <w:lang w:val="en-US" w:eastAsia="zh-CN"/>
        </w:rPr>
        <w:t>3.2.3.4 噪声产生和治理措施</w:t>
      </w:r>
      <w:bookmarkEnd w:id="1363"/>
      <w:bookmarkEnd w:id="1364"/>
      <w:bookmarkEnd w:id="1365"/>
      <w:bookmarkEnd w:id="1366"/>
      <w:bookmarkEnd w:id="1367"/>
      <w:r>
        <w:rPr>
          <w:rFonts w:hint="default" w:ascii="Times New Roman" w:hAnsi="Times New Roman" w:eastAsia="宋体" w:cs="Times New Roman"/>
          <w:b/>
          <w:bCs/>
          <w:color w:val="auto"/>
          <w:kern w:val="0"/>
          <w:sz w:val="24"/>
          <w:szCs w:val="24"/>
          <w:lang w:val="en-US" w:eastAsia="zh-CN" w:bidi="ar"/>
        </w:rPr>
        <w:t xml:space="preserve"> </w:t>
      </w:r>
    </w:p>
    <w:p w14:paraId="476CA6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噪声产生和治理措施项目建成运营后主要有以下两类噪声：一是机动车及人员活动产生的生活噪声，属低噪声源，噪声级小于55dB(A)，通过加强管理，对外界影响较小。二是公辅设施设备噪声，包括柴油发电机、各类风机、污水处理站及给水水泵等。</w:t>
      </w:r>
    </w:p>
    <w:p w14:paraId="76F0776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default" w:ascii="Times New Roman" w:hAnsi="Times New Roman" w:eastAsia="宋体" w:cs="Times New Roman"/>
          <w:b w:val="0"/>
          <w:bCs/>
          <w:color w:val="auto"/>
          <w:sz w:val="24"/>
          <w:szCs w:val="24"/>
          <w:highlight w:val="none"/>
        </w:rPr>
      </w:pPr>
      <w:bookmarkStart w:id="1368" w:name="_Toc26175"/>
      <w:bookmarkStart w:id="1369" w:name="_Toc6496"/>
      <w:bookmarkStart w:id="1370" w:name="_Toc18960"/>
      <w:bookmarkStart w:id="1371" w:name="_Toc7813"/>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源强分析与治理措施</w:t>
      </w:r>
      <w:bookmarkEnd w:id="1368"/>
      <w:bookmarkEnd w:id="1369"/>
      <w:bookmarkEnd w:id="1370"/>
      <w:bookmarkEnd w:id="1371"/>
    </w:p>
    <w:p w14:paraId="0B42BA1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i w:val="0"/>
          <w:iCs w:val="0"/>
          <w:caps w:val="0"/>
          <w:color w:val="auto"/>
          <w:spacing w:val="0"/>
          <w:kern w:val="0"/>
          <w:sz w:val="24"/>
          <w:szCs w:val="24"/>
          <w:shd w:val="clear" w:fill="FFFFFF"/>
          <w:lang w:val="en-US" w:eastAsia="zh-CN" w:bidi="ar"/>
        </w:rPr>
        <w:t>项目各种设备声源情况见下表3.2-1</w:t>
      </w:r>
      <w:r>
        <w:rPr>
          <w:rFonts w:hint="eastAsia" w:ascii="Times New Roman" w:hAnsi="Times New Roman" w:eastAsia="宋体" w:cs="Times New Roman"/>
          <w:b w:val="0"/>
          <w:bCs/>
          <w:i w:val="0"/>
          <w:iCs w:val="0"/>
          <w:caps w:val="0"/>
          <w:color w:val="auto"/>
          <w:spacing w:val="0"/>
          <w:kern w:val="0"/>
          <w:sz w:val="24"/>
          <w:szCs w:val="24"/>
          <w:shd w:val="clear" w:fill="FFFFFF"/>
          <w:lang w:val="en-US" w:eastAsia="zh-CN" w:bidi="ar"/>
        </w:rPr>
        <w:t>2</w:t>
      </w:r>
      <w:r>
        <w:rPr>
          <w:rFonts w:hint="default" w:ascii="Times New Roman" w:hAnsi="Times New Roman" w:eastAsia="宋体" w:cs="Times New Roman"/>
          <w:b w:val="0"/>
          <w:bCs/>
          <w:i w:val="0"/>
          <w:iCs w:val="0"/>
          <w:caps w:val="0"/>
          <w:color w:val="auto"/>
          <w:spacing w:val="0"/>
          <w:kern w:val="0"/>
          <w:sz w:val="24"/>
          <w:szCs w:val="24"/>
          <w:shd w:val="clear" w:fill="FFFFFF"/>
          <w:lang w:val="en-US" w:eastAsia="zh-CN" w:bidi="ar"/>
        </w:rPr>
        <w:t>。</w:t>
      </w:r>
    </w:p>
    <w:p w14:paraId="5078647B">
      <w:pPr>
        <w:keepNext w:val="0"/>
        <w:keepLines w:val="0"/>
        <w:widowControl/>
        <w:suppressLineNumbers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3.2-1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主要噪声源及治理措施统计表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25"/>
        <w:gridCol w:w="2308"/>
        <w:gridCol w:w="1370"/>
        <w:gridCol w:w="875"/>
        <w:gridCol w:w="1021"/>
        <w:gridCol w:w="935"/>
      </w:tblGrid>
      <w:tr w14:paraId="4528CD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3" w:type="dxa"/>
            <w:vMerge w:val="restart"/>
            <w:shd w:val="clear" w:color="auto" w:fill="D7D7D7" w:themeFill="background1" w:themeFillShade="D8"/>
            <w:vAlign w:val="center"/>
          </w:tcPr>
          <w:p w14:paraId="71C00E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声源位置</w:t>
            </w:r>
          </w:p>
        </w:tc>
        <w:tc>
          <w:tcPr>
            <w:tcW w:w="1125" w:type="dxa"/>
            <w:vMerge w:val="restart"/>
            <w:shd w:val="clear" w:color="auto" w:fill="D7D7D7" w:themeFill="background1" w:themeFillShade="D8"/>
            <w:vAlign w:val="center"/>
          </w:tcPr>
          <w:p w14:paraId="38114D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类型</w:t>
            </w:r>
          </w:p>
        </w:tc>
        <w:tc>
          <w:tcPr>
            <w:tcW w:w="2308" w:type="dxa"/>
            <w:vMerge w:val="restart"/>
            <w:shd w:val="clear" w:color="auto" w:fill="D7D7D7" w:themeFill="background1" w:themeFillShade="D8"/>
            <w:vAlign w:val="center"/>
          </w:tcPr>
          <w:p w14:paraId="63D923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噪声源</w:t>
            </w:r>
          </w:p>
        </w:tc>
        <w:tc>
          <w:tcPr>
            <w:tcW w:w="1370" w:type="dxa"/>
            <w:vMerge w:val="restart"/>
            <w:shd w:val="clear" w:color="auto" w:fill="D7D7D7" w:themeFill="background1" w:themeFillShade="D8"/>
            <w:vAlign w:val="center"/>
          </w:tcPr>
          <w:p w14:paraId="683283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噪声源强</w:t>
            </w:r>
          </w:p>
        </w:tc>
        <w:tc>
          <w:tcPr>
            <w:tcW w:w="2831" w:type="dxa"/>
            <w:gridSpan w:val="3"/>
            <w:shd w:val="clear" w:color="auto" w:fill="D7D7D7" w:themeFill="background1" w:themeFillShade="D8"/>
            <w:vAlign w:val="center"/>
          </w:tcPr>
          <w:p w14:paraId="5E34137C">
            <w:pPr>
              <w:jc w:val="center"/>
              <w:rPr>
                <w:rFonts w:hint="default"/>
                <w:vertAlign w:val="baseline"/>
                <w:lang w:val="en-US" w:eastAsia="zh-CN"/>
              </w:rPr>
            </w:pPr>
            <w:r>
              <w:rPr>
                <w:rFonts w:ascii="Times New Roman" w:hAnsi="Times New Roman" w:cs="Times New Roman" w:eastAsiaTheme="minorEastAsia"/>
                <w:b/>
                <w:sz w:val="21"/>
                <w:szCs w:val="21"/>
              </w:rPr>
              <w:t>空间相对位置/m</w:t>
            </w:r>
          </w:p>
        </w:tc>
      </w:tr>
      <w:tr w14:paraId="045160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3" w:type="dxa"/>
            <w:vMerge w:val="continue"/>
            <w:shd w:val="clear" w:color="auto" w:fill="D7D7D7" w:themeFill="background1" w:themeFillShade="D8"/>
            <w:vAlign w:val="center"/>
          </w:tcPr>
          <w:p w14:paraId="51610C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1125" w:type="dxa"/>
            <w:vMerge w:val="continue"/>
            <w:shd w:val="clear" w:color="auto" w:fill="D7D7D7" w:themeFill="background1" w:themeFillShade="D8"/>
            <w:vAlign w:val="center"/>
          </w:tcPr>
          <w:p w14:paraId="5A8039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Merge w:val="continue"/>
            <w:shd w:val="clear" w:color="auto" w:fill="D7D7D7" w:themeFill="background1" w:themeFillShade="D8"/>
            <w:vAlign w:val="center"/>
          </w:tcPr>
          <w:p w14:paraId="59AEB6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1370" w:type="dxa"/>
            <w:vMerge w:val="continue"/>
            <w:shd w:val="clear" w:color="auto" w:fill="D7D7D7" w:themeFill="background1" w:themeFillShade="D8"/>
            <w:vAlign w:val="center"/>
          </w:tcPr>
          <w:p w14:paraId="1C5E0C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875" w:type="dxa"/>
            <w:shd w:val="clear" w:color="auto" w:fill="D7D7D7" w:themeFill="background1" w:themeFillShade="D8"/>
            <w:vAlign w:val="center"/>
          </w:tcPr>
          <w:p w14:paraId="70DA8BEE">
            <w:pPr>
              <w:jc w:val="center"/>
              <w:rPr>
                <w:rFonts w:hint="default"/>
                <w:vertAlign w:val="baseline"/>
                <w:lang w:val="en-US" w:eastAsia="zh-CN"/>
              </w:rPr>
            </w:pPr>
            <w:r>
              <w:rPr>
                <w:rFonts w:ascii="Times New Roman" w:hAnsi="Times New Roman" w:cs="Times New Roman" w:eastAsiaTheme="minorEastAsia"/>
                <w:sz w:val="21"/>
                <w:szCs w:val="21"/>
              </w:rPr>
              <w:t>X</w:t>
            </w:r>
          </w:p>
        </w:tc>
        <w:tc>
          <w:tcPr>
            <w:tcW w:w="1021" w:type="dxa"/>
            <w:shd w:val="clear" w:color="auto" w:fill="D7D7D7" w:themeFill="background1" w:themeFillShade="D8"/>
            <w:vAlign w:val="center"/>
          </w:tcPr>
          <w:p w14:paraId="19A5ECB8">
            <w:pPr>
              <w:jc w:val="center"/>
            </w:pPr>
            <w:r>
              <w:rPr>
                <w:rFonts w:ascii="Times New Roman" w:hAnsi="Times New Roman" w:cs="Times New Roman" w:eastAsiaTheme="minorEastAsia"/>
                <w:sz w:val="21"/>
                <w:szCs w:val="21"/>
              </w:rPr>
              <w:t>Y</w:t>
            </w:r>
          </w:p>
        </w:tc>
        <w:tc>
          <w:tcPr>
            <w:tcW w:w="935" w:type="dxa"/>
            <w:shd w:val="clear" w:color="auto" w:fill="D7D7D7" w:themeFill="background1" w:themeFillShade="D8"/>
            <w:vAlign w:val="center"/>
          </w:tcPr>
          <w:p w14:paraId="31A8BCFD">
            <w:pPr>
              <w:jc w:val="center"/>
            </w:pPr>
            <w:r>
              <w:rPr>
                <w:rFonts w:ascii="Times New Roman" w:hAnsi="Times New Roman" w:cs="Times New Roman" w:eastAsiaTheme="minorEastAsia"/>
                <w:sz w:val="21"/>
                <w:szCs w:val="21"/>
              </w:rPr>
              <w:t>Z</w:t>
            </w:r>
          </w:p>
        </w:tc>
      </w:tr>
      <w:tr w14:paraId="6A6C56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52320430">
            <w:pPr>
              <w:jc w:val="center"/>
              <w:rPr>
                <w:rFonts w:hint="default"/>
                <w:vertAlign w:val="baseline"/>
                <w:lang w:val="en-US" w:eastAsia="zh-CN"/>
              </w:rPr>
            </w:pPr>
            <w:r>
              <w:rPr>
                <w:rFonts w:ascii="Arial" w:hAnsi="Arial" w:eastAsia="Arial" w:cs="Arial"/>
                <w:sz w:val="20"/>
              </w:rPr>
              <w:t>1</w:t>
            </w:r>
          </w:p>
        </w:tc>
        <w:tc>
          <w:tcPr>
            <w:tcW w:w="1125" w:type="dxa"/>
            <w:vMerge w:val="restart"/>
            <w:vAlign w:val="center"/>
          </w:tcPr>
          <w:p w14:paraId="4FBE62AA">
            <w:pPr>
              <w:jc w:val="center"/>
              <w:rPr>
                <w:rFonts w:hint="default"/>
                <w:vertAlign w:val="baseline"/>
                <w:lang w:val="en-US" w:eastAsia="zh-CN"/>
              </w:rPr>
            </w:pPr>
            <w:r>
              <w:rPr>
                <w:rFonts w:hint="eastAsia" w:ascii="Arial" w:hAnsi="Arial" w:eastAsia="宋体" w:cs="Arial"/>
                <w:sz w:val="20"/>
                <w:lang w:val="en-US" w:eastAsia="zh-CN"/>
              </w:rPr>
              <w:t>室外声源</w:t>
            </w:r>
          </w:p>
        </w:tc>
        <w:tc>
          <w:tcPr>
            <w:tcW w:w="2308" w:type="dxa"/>
            <w:vAlign w:val="center"/>
          </w:tcPr>
          <w:p w14:paraId="69033B95">
            <w:pPr>
              <w:jc w:val="center"/>
              <w:rPr>
                <w:rFonts w:hint="default"/>
                <w:vertAlign w:val="baseline"/>
                <w:lang w:val="en-US" w:eastAsia="zh-CN"/>
              </w:rPr>
            </w:pPr>
            <w:r>
              <w:rPr>
                <w:rFonts w:ascii="Arial" w:hAnsi="Arial" w:eastAsia="Arial" w:cs="Arial"/>
                <w:sz w:val="20"/>
              </w:rPr>
              <w:t>1#楼中央空调冷却机组</w:t>
            </w:r>
          </w:p>
        </w:tc>
        <w:tc>
          <w:tcPr>
            <w:tcW w:w="1370" w:type="dxa"/>
            <w:vAlign w:val="center"/>
          </w:tcPr>
          <w:p w14:paraId="4B932F2C">
            <w:pPr>
              <w:jc w:val="center"/>
              <w:rPr>
                <w:rFonts w:hint="default"/>
                <w:vertAlign w:val="baseline"/>
                <w:lang w:val="en-US" w:eastAsia="zh-CN"/>
              </w:rPr>
            </w:pPr>
            <w:r>
              <w:rPr>
                <w:rFonts w:ascii="Arial" w:hAnsi="Arial" w:eastAsia="Arial" w:cs="Arial"/>
                <w:sz w:val="20"/>
              </w:rPr>
              <w:t>85</w:t>
            </w:r>
          </w:p>
        </w:tc>
        <w:tc>
          <w:tcPr>
            <w:tcW w:w="875" w:type="dxa"/>
            <w:vAlign w:val="center"/>
          </w:tcPr>
          <w:p w14:paraId="4655C2F2">
            <w:pPr>
              <w:jc w:val="center"/>
              <w:rPr>
                <w:rFonts w:hint="default"/>
                <w:vertAlign w:val="baseline"/>
                <w:lang w:val="en-US" w:eastAsia="zh-CN"/>
              </w:rPr>
            </w:pPr>
            <w:r>
              <w:rPr>
                <w:rFonts w:ascii="Arial" w:hAnsi="Arial" w:eastAsia="Arial" w:cs="Arial"/>
                <w:sz w:val="20"/>
              </w:rPr>
              <w:t>51.7</w:t>
            </w:r>
          </w:p>
        </w:tc>
        <w:tc>
          <w:tcPr>
            <w:tcW w:w="1021" w:type="dxa"/>
            <w:vAlign w:val="center"/>
          </w:tcPr>
          <w:p w14:paraId="3552F340">
            <w:pPr>
              <w:jc w:val="center"/>
            </w:pPr>
            <w:r>
              <w:rPr>
                <w:rFonts w:ascii="Arial" w:hAnsi="Arial" w:eastAsia="Arial" w:cs="Arial"/>
                <w:sz w:val="20"/>
              </w:rPr>
              <w:t>-110.8</w:t>
            </w:r>
          </w:p>
        </w:tc>
        <w:tc>
          <w:tcPr>
            <w:tcW w:w="935" w:type="dxa"/>
            <w:vAlign w:val="center"/>
          </w:tcPr>
          <w:p w14:paraId="5044D386">
            <w:pPr>
              <w:jc w:val="center"/>
            </w:pPr>
            <w:r>
              <w:rPr>
                <w:rFonts w:ascii="Arial" w:hAnsi="Arial" w:eastAsia="Arial" w:cs="Arial"/>
                <w:sz w:val="20"/>
              </w:rPr>
              <w:t>354.8</w:t>
            </w:r>
          </w:p>
        </w:tc>
      </w:tr>
      <w:tr w14:paraId="230977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098A6AE6">
            <w:pPr>
              <w:jc w:val="center"/>
              <w:rPr>
                <w:rFonts w:hint="default"/>
                <w:vertAlign w:val="baseline"/>
                <w:lang w:val="en-US" w:eastAsia="zh-CN"/>
              </w:rPr>
            </w:pPr>
            <w:r>
              <w:rPr>
                <w:rFonts w:ascii="Arial" w:hAnsi="Arial" w:eastAsia="Arial" w:cs="Arial"/>
                <w:sz w:val="20"/>
              </w:rPr>
              <w:t>2</w:t>
            </w:r>
          </w:p>
        </w:tc>
        <w:tc>
          <w:tcPr>
            <w:tcW w:w="1125" w:type="dxa"/>
            <w:vMerge w:val="continue"/>
            <w:vAlign w:val="center"/>
          </w:tcPr>
          <w:p w14:paraId="27A8E43F">
            <w:pPr>
              <w:jc w:val="center"/>
              <w:rPr>
                <w:rFonts w:hint="default"/>
                <w:vertAlign w:val="baseline"/>
                <w:lang w:val="en-US" w:eastAsia="zh-CN"/>
              </w:rPr>
            </w:pPr>
          </w:p>
        </w:tc>
        <w:tc>
          <w:tcPr>
            <w:tcW w:w="2308" w:type="dxa"/>
            <w:vAlign w:val="center"/>
          </w:tcPr>
          <w:p w14:paraId="4ADA73EF">
            <w:pPr>
              <w:jc w:val="center"/>
              <w:rPr>
                <w:rFonts w:hint="default"/>
                <w:vertAlign w:val="baseline"/>
                <w:lang w:val="en-US" w:eastAsia="zh-CN"/>
              </w:rPr>
            </w:pPr>
            <w:r>
              <w:rPr>
                <w:rFonts w:ascii="Arial" w:hAnsi="Arial" w:eastAsia="Arial" w:cs="Arial"/>
                <w:sz w:val="20"/>
              </w:rPr>
              <w:t>2#楼中央空调冷却机组</w:t>
            </w:r>
          </w:p>
        </w:tc>
        <w:tc>
          <w:tcPr>
            <w:tcW w:w="1370" w:type="dxa"/>
            <w:vAlign w:val="center"/>
          </w:tcPr>
          <w:p w14:paraId="5AA47738">
            <w:pPr>
              <w:jc w:val="center"/>
              <w:rPr>
                <w:rFonts w:hint="default"/>
                <w:vertAlign w:val="baseline"/>
                <w:lang w:val="en-US" w:eastAsia="zh-CN"/>
              </w:rPr>
            </w:pPr>
            <w:r>
              <w:rPr>
                <w:rFonts w:ascii="Arial" w:hAnsi="Arial" w:eastAsia="Arial" w:cs="Arial"/>
                <w:sz w:val="20"/>
              </w:rPr>
              <w:t>85</w:t>
            </w:r>
          </w:p>
        </w:tc>
        <w:tc>
          <w:tcPr>
            <w:tcW w:w="875" w:type="dxa"/>
            <w:vAlign w:val="center"/>
          </w:tcPr>
          <w:p w14:paraId="69448CBA">
            <w:pPr>
              <w:jc w:val="center"/>
              <w:rPr>
                <w:rFonts w:hint="default"/>
                <w:vertAlign w:val="baseline"/>
                <w:lang w:val="en-US" w:eastAsia="zh-CN"/>
              </w:rPr>
            </w:pPr>
            <w:r>
              <w:rPr>
                <w:rFonts w:ascii="Arial" w:hAnsi="Arial" w:eastAsia="Arial" w:cs="Arial"/>
                <w:sz w:val="20"/>
              </w:rPr>
              <w:t>46.5</w:t>
            </w:r>
          </w:p>
        </w:tc>
        <w:tc>
          <w:tcPr>
            <w:tcW w:w="1021" w:type="dxa"/>
            <w:vAlign w:val="center"/>
          </w:tcPr>
          <w:p w14:paraId="4C496D63">
            <w:pPr>
              <w:jc w:val="center"/>
            </w:pPr>
            <w:r>
              <w:rPr>
                <w:rFonts w:ascii="Arial" w:hAnsi="Arial" w:eastAsia="Arial" w:cs="Arial"/>
                <w:sz w:val="20"/>
              </w:rPr>
              <w:t>57.3</w:t>
            </w:r>
          </w:p>
        </w:tc>
        <w:tc>
          <w:tcPr>
            <w:tcW w:w="935" w:type="dxa"/>
            <w:vAlign w:val="center"/>
          </w:tcPr>
          <w:p w14:paraId="12037E2D">
            <w:pPr>
              <w:jc w:val="center"/>
            </w:pPr>
            <w:r>
              <w:rPr>
                <w:rFonts w:ascii="Arial" w:hAnsi="Arial" w:eastAsia="Arial" w:cs="Arial"/>
                <w:sz w:val="20"/>
              </w:rPr>
              <w:t>343.1</w:t>
            </w:r>
          </w:p>
        </w:tc>
      </w:tr>
      <w:tr w14:paraId="749427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316F92CC">
            <w:pPr>
              <w:jc w:val="center"/>
              <w:rPr>
                <w:rFonts w:hint="default"/>
                <w:vertAlign w:val="baseline"/>
                <w:lang w:val="en-US" w:eastAsia="zh-CN"/>
              </w:rPr>
            </w:pPr>
            <w:r>
              <w:rPr>
                <w:rFonts w:ascii="Arial" w:hAnsi="Arial" w:eastAsia="Arial" w:cs="Arial"/>
                <w:sz w:val="20"/>
              </w:rPr>
              <w:t>3</w:t>
            </w:r>
          </w:p>
        </w:tc>
        <w:tc>
          <w:tcPr>
            <w:tcW w:w="1125" w:type="dxa"/>
            <w:vMerge w:val="continue"/>
            <w:vAlign w:val="center"/>
          </w:tcPr>
          <w:p w14:paraId="7FE17FE5">
            <w:pPr>
              <w:jc w:val="center"/>
              <w:rPr>
                <w:rFonts w:hint="default"/>
                <w:vertAlign w:val="baseline"/>
                <w:lang w:val="en-US" w:eastAsia="zh-CN"/>
              </w:rPr>
            </w:pPr>
          </w:p>
        </w:tc>
        <w:tc>
          <w:tcPr>
            <w:tcW w:w="2308" w:type="dxa"/>
            <w:vAlign w:val="center"/>
          </w:tcPr>
          <w:p w14:paraId="08F56304">
            <w:pPr>
              <w:jc w:val="center"/>
              <w:rPr>
                <w:rFonts w:hint="default"/>
                <w:vertAlign w:val="baseline"/>
                <w:lang w:val="en-US" w:eastAsia="zh-CN"/>
              </w:rPr>
            </w:pPr>
            <w:r>
              <w:rPr>
                <w:rFonts w:ascii="Arial" w:hAnsi="Arial" w:eastAsia="Arial" w:cs="Arial"/>
                <w:sz w:val="20"/>
              </w:rPr>
              <w:t>3#楼中央空调冷却机组</w:t>
            </w:r>
          </w:p>
        </w:tc>
        <w:tc>
          <w:tcPr>
            <w:tcW w:w="1370" w:type="dxa"/>
            <w:vAlign w:val="center"/>
          </w:tcPr>
          <w:p w14:paraId="6E2DFC5A">
            <w:pPr>
              <w:jc w:val="center"/>
              <w:rPr>
                <w:rFonts w:hint="default"/>
                <w:vertAlign w:val="baseline"/>
                <w:lang w:val="en-US" w:eastAsia="zh-CN"/>
              </w:rPr>
            </w:pPr>
            <w:r>
              <w:rPr>
                <w:rFonts w:ascii="Arial" w:hAnsi="Arial" w:eastAsia="Arial" w:cs="Arial"/>
                <w:sz w:val="20"/>
              </w:rPr>
              <w:t>85</w:t>
            </w:r>
          </w:p>
        </w:tc>
        <w:tc>
          <w:tcPr>
            <w:tcW w:w="875" w:type="dxa"/>
            <w:vAlign w:val="center"/>
          </w:tcPr>
          <w:p w14:paraId="7110F05D">
            <w:pPr>
              <w:jc w:val="center"/>
              <w:rPr>
                <w:rFonts w:hint="default"/>
                <w:vertAlign w:val="baseline"/>
                <w:lang w:val="en-US" w:eastAsia="zh-CN"/>
              </w:rPr>
            </w:pPr>
            <w:r>
              <w:rPr>
                <w:rFonts w:ascii="Arial" w:hAnsi="Arial" w:eastAsia="Arial" w:cs="Arial"/>
                <w:sz w:val="20"/>
              </w:rPr>
              <w:t>5.7</w:t>
            </w:r>
          </w:p>
        </w:tc>
        <w:tc>
          <w:tcPr>
            <w:tcW w:w="1021" w:type="dxa"/>
            <w:vAlign w:val="center"/>
          </w:tcPr>
          <w:p w14:paraId="5069566C">
            <w:pPr>
              <w:jc w:val="center"/>
            </w:pPr>
            <w:r>
              <w:rPr>
                <w:rFonts w:ascii="Arial" w:hAnsi="Arial" w:eastAsia="Arial" w:cs="Arial"/>
                <w:sz w:val="20"/>
              </w:rPr>
              <w:t>145.7</w:t>
            </w:r>
          </w:p>
        </w:tc>
        <w:tc>
          <w:tcPr>
            <w:tcW w:w="935" w:type="dxa"/>
            <w:vAlign w:val="center"/>
          </w:tcPr>
          <w:p w14:paraId="7CE6861A">
            <w:pPr>
              <w:jc w:val="center"/>
            </w:pPr>
            <w:r>
              <w:rPr>
                <w:rFonts w:ascii="Arial" w:hAnsi="Arial" w:eastAsia="Arial" w:cs="Arial"/>
                <w:sz w:val="20"/>
              </w:rPr>
              <w:t>334.9</w:t>
            </w:r>
          </w:p>
        </w:tc>
      </w:tr>
      <w:tr w14:paraId="24182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29A02832">
            <w:pPr>
              <w:jc w:val="center"/>
              <w:rPr>
                <w:rFonts w:hint="default"/>
                <w:vertAlign w:val="baseline"/>
                <w:lang w:val="en-US" w:eastAsia="zh-CN"/>
              </w:rPr>
            </w:pPr>
            <w:r>
              <w:rPr>
                <w:rFonts w:ascii="Arial" w:hAnsi="Arial" w:eastAsia="Arial" w:cs="Arial"/>
                <w:sz w:val="20"/>
              </w:rPr>
              <w:t>4</w:t>
            </w:r>
          </w:p>
        </w:tc>
        <w:tc>
          <w:tcPr>
            <w:tcW w:w="1125" w:type="dxa"/>
            <w:vMerge w:val="continue"/>
            <w:vAlign w:val="center"/>
          </w:tcPr>
          <w:p w14:paraId="170E2671">
            <w:pPr>
              <w:jc w:val="center"/>
              <w:rPr>
                <w:rFonts w:hint="default"/>
                <w:vertAlign w:val="baseline"/>
                <w:lang w:val="en-US" w:eastAsia="zh-CN"/>
              </w:rPr>
            </w:pPr>
          </w:p>
        </w:tc>
        <w:tc>
          <w:tcPr>
            <w:tcW w:w="2308" w:type="dxa"/>
            <w:vAlign w:val="center"/>
          </w:tcPr>
          <w:p w14:paraId="17A1064B">
            <w:pPr>
              <w:jc w:val="center"/>
              <w:rPr>
                <w:rFonts w:hint="default"/>
                <w:vertAlign w:val="baseline"/>
                <w:lang w:val="en-US" w:eastAsia="zh-CN"/>
              </w:rPr>
            </w:pPr>
            <w:r>
              <w:rPr>
                <w:rFonts w:ascii="Arial" w:hAnsi="Arial" w:eastAsia="Arial" w:cs="Arial"/>
                <w:sz w:val="20"/>
              </w:rPr>
              <w:t>4#楼中央空调冷却机组</w:t>
            </w:r>
          </w:p>
        </w:tc>
        <w:tc>
          <w:tcPr>
            <w:tcW w:w="1370" w:type="dxa"/>
            <w:vAlign w:val="center"/>
          </w:tcPr>
          <w:p w14:paraId="1804FDF4">
            <w:pPr>
              <w:jc w:val="center"/>
              <w:rPr>
                <w:rFonts w:hint="default"/>
                <w:vertAlign w:val="baseline"/>
                <w:lang w:val="en-US" w:eastAsia="zh-CN"/>
              </w:rPr>
            </w:pPr>
            <w:r>
              <w:rPr>
                <w:rFonts w:ascii="Arial" w:hAnsi="Arial" w:eastAsia="Arial" w:cs="Arial"/>
                <w:sz w:val="20"/>
              </w:rPr>
              <w:t>85</w:t>
            </w:r>
          </w:p>
        </w:tc>
        <w:tc>
          <w:tcPr>
            <w:tcW w:w="875" w:type="dxa"/>
            <w:vAlign w:val="center"/>
          </w:tcPr>
          <w:p w14:paraId="0E03C22C">
            <w:pPr>
              <w:jc w:val="center"/>
              <w:rPr>
                <w:rFonts w:hint="default"/>
                <w:vertAlign w:val="baseline"/>
                <w:lang w:val="en-US" w:eastAsia="zh-CN"/>
              </w:rPr>
            </w:pPr>
            <w:r>
              <w:rPr>
                <w:rFonts w:ascii="Arial" w:hAnsi="Arial" w:eastAsia="Arial" w:cs="Arial"/>
                <w:sz w:val="20"/>
              </w:rPr>
              <w:t>-43.2</w:t>
            </w:r>
          </w:p>
        </w:tc>
        <w:tc>
          <w:tcPr>
            <w:tcW w:w="1021" w:type="dxa"/>
            <w:vAlign w:val="center"/>
          </w:tcPr>
          <w:p w14:paraId="3CC347A7">
            <w:pPr>
              <w:jc w:val="center"/>
            </w:pPr>
            <w:r>
              <w:rPr>
                <w:rFonts w:ascii="Arial" w:hAnsi="Arial" w:eastAsia="Arial" w:cs="Arial"/>
                <w:sz w:val="20"/>
              </w:rPr>
              <w:t>138.8</w:t>
            </w:r>
          </w:p>
        </w:tc>
        <w:tc>
          <w:tcPr>
            <w:tcW w:w="935" w:type="dxa"/>
            <w:vAlign w:val="center"/>
          </w:tcPr>
          <w:p w14:paraId="2FC63D30">
            <w:pPr>
              <w:jc w:val="center"/>
            </w:pPr>
            <w:r>
              <w:rPr>
                <w:rFonts w:ascii="Arial" w:hAnsi="Arial" w:eastAsia="Arial" w:cs="Arial"/>
                <w:sz w:val="20"/>
              </w:rPr>
              <w:t>330.5</w:t>
            </w:r>
          </w:p>
        </w:tc>
      </w:tr>
      <w:tr w14:paraId="62225F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23" w:type="dxa"/>
            <w:vAlign w:val="center"/>
          </w:tcPr>
          <w:p w14:paraId="159A81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5</w:t>
            </w:r>
          </w:p>
        </w:tc>
        <w:tc>
          <w:tcPr>
            <w:tcW w:w="1125" w:type="dxa"/>
            <w:vMerge w:val="restart"/>
            <w:vAlign w:val="center"/>
          </w:tcPr>
          <w:p w14:paraId="64CA68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室内声源</w:t>
            </w:r>
          </w:p>
        </w:tc>
        <w:tc>
          <w:tcPr>
            <w:tcW w:w="2308" w:type="dxa"/>
            <w:vAlign w:val="center"/>
          </w:tcPr>
          <w:p w14:paraId="300AA3FC">
            <w:pPr>
              <w:jc w:val="center"/>
              <w:rPr>
                <w:rFonts w:hint="default"/>
                <w:vertAlign w:val="baseline"/>
                <w:lang w:val="en-US" w:eastAsia="zh-CN"/>
              </w:rPr>
            </w:pPr>
            <w:r>
              <w:rPr>
                <w:rFonts w:ascii="Arial" w:hAnsi="Arial" w:eastAsia="Arial" w:cs="Arial"/>
                <w:sz w:val="20"/>
              </w:rPr>
              <w:t>预处理池水泵</w:t>
            </w:r>
          </w:p>
        </w:tc>
        <w:tc>
          <w:tcPr>
            <w:tcW w:w="1370" w:type="dxa"/>
            <w:vAlign w:val="center"/>
          </w:tcPr>
          <w:p w14:paraId="3B165498">
            <w:pPr>
              <w:jc w:val="center"/>
              <w:rPr>
                <w:rFonts w:hint="default"/>
                <w:vertAlign w:val="baseline"/>
                <w:lang w:val="en-US" w:eastAsia="zh-CN"/>
              </w:rPr>
            </w:pPr>
            <w:r>
              <w:rPr>
                <w:rFonts w:ascii="Arial" w:hAnsi="Arial" w:eastAsia="Arial" w:cs="Arial"/>
                <w:sz w:val="20"/>
              </w:rPr>
              <w:t>80</w:t>
            </w:r>
          </w:p>
        </w:tc>
        <w:tc>
          <w:tcPr>
            <w:tcW w:w="875" w:type="dxa"/>
            <w:vAlign w:val="center"/>
          </w:tcPr>
          <w:p w14:paraId="72FA2B91">
            <w:pPr>
              <w:jc w:val="center"/>
              <w:rPr>
                <w:rFonts w:hint="default"/>
                <w:vertAlign w:val="baseline"/>
                <w:lang w:val="en-US" w:eastAsia="zh-CN"/>
              </w:rPr>
            </w:pPr>
            <w:r>
              <w:rPr>
                <w:rFonts w:ascii="Arial" w:hAnsi="Arial" w:eastAsia="Arial" w:cs="Arial"/>
                <w:sz w:val="20"/>
              </w:rPr>
              <w:t>-7.5</w:t>
            </w:r>
          </w:p>
        </w:tc>
        <w:tc>
          <w:tcPr>
            <w:tcW w:w="1021" w:type="dxa"/>
            <w:vAlign w:val="center"/>
          </w:tcPr>
          <w:p w14:paraId="31A7008B">
            <w:pPr>
              <w:jc w:val="center"/>
            </w:pPr>
            <w:r>
              <w:rPr>
                <w:rFonts w:ascii="Arial" w:hAnsi="Arial" w:eastAsia="Arial" w:cs="Arial"/>
                <w:sz w:val="20"/>
              </w:rPr>
              <w:t>103.1</w:t>
            </w:r>
          </w:p>
        </w:tc>
        <w:tc>
          <w:tcPr>
            <w:tcW w:w="935" w:type="dxa"/>
            <w:vAlign w:val="center"/>
          </w:tcPr>
          <w:p w14:paraId="770CD2CA">
            <w:pPr>
              <w:jc w:val="center"/>
            </w:pPr>
            <w:r>
              <w:rPr>
                <w:rFonts w:ascii="Arial" w:hAnsi="Arial" w:eastAsia="Arial" w:cs="Arial"/>
                <w:sz w:val="20"/>
              </w:rPr>
              <w:t>333.4</w:t>
            </w:r>
          </w:p>
        </w:tc>
      </w:tr>
      <w:tr w14:paraId="55F25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218" w:hRule="atLeast"/>
        </w:trPr>
        <w:tc>
          <w:tcPr>
            <w:tcW w:w="723" w:type="dxa"/>
            <w:vAlign w:val="center"/>
          </w:tcPr>
          <w:p w14:paraId="627FAD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6</w:t>
            </w:r>
          </w:p>
        </w:tc>
        <w:tc>
          <w:tcPr>
            <w:tcW w:w="1125" w:type="dxa"/>
            <w:vMerge w:val="continue"/>
            <w:vAlign w:val="center"/>
          </w:tcPr>
          <w:p w14:paraId="360232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0B424690">
            <w:pPr>
              <w:jc w:val="center"/>
              <w:rPr>
                <w:rFonts w:hint="default"/>
                <w:vertAlign w:val="baseline"/>
                <w:lang w:val="en-US" w:eastAsia="zh-CN"/>
              </w:rPr>
            </w:pPr>
            <w:r>
              <w:rPr>
                <w:rFonts w:ascii="Arial" w:hAnsi="Arial" w:eastAsia="Arial" w:cs="Arial"/>
                <w:sz w:val="20"/>
              </w:rPr>
              <w:t>1#、2#楼地下室机械排风系统</w:t>
            </w:r>
          </w:p>
        </w:tc>
        <w:tc>
          <w:tcPr>
            <w:tcW w:w="1370" w:type="dxa"/>
            <w:vAlign w:val="center"/>
          </w:tcPr>
          <w:p w14:paraId="1E3CB38E">
            <w:pPr>
              <w:jc w:val="center"/>
              <w:rPr>
                <w:rFonts w:hint="default"/>
                <w:vertAlign w:val="baseline"/>
                <w:lang w:val="en-US" w:eastAsia="zh-CN"/>
              </w:rPr>
            </w:pPr>
            <w:r>
              <w:rPr>
                <w:rFonts w:ascii="Arial" w:hAnsi="Arial" w:eastAsia="Arial" w:cs="Arial"/>
                <w:sz w:val="20"/>
              </w:rPr>
              <w:t>80</w:t>
            </w:r>
          </w:p>
        </w:tc>
        <w:tc>
          <w:tcPr>
            <w:tcW w:w="875" w:type="dxa"/>
            <w:vAlign w:val="center"/>
          </w:tcPr>
          <w:p w14:paraId="49347939">
            <w:pPr>
              <w:jc w:val="center"/>
              <w:rPr>
                <w:rFonts w:hint="default"/>
                <w:vertAlign w:val="baseline"/>
                <w:lang w:val="en-US" w:eastAsia="zh-CN"/>
              </w:rPr>
            </w:pPr>
            <w:r>
              <w:rPr>
                <w:rFonts w:ascii="Arial" w:hAnsi="Arial" w:eastAsia="Arial" w:cs="Arial"/>
                <w:sz w:val="20"/>
              </w:rPr>
              <w:t>70.9</w:t>
            </w:r>
          </w:p>
        </w:tc>
        <w:tc>
          <w:tcPr>
            <w:tcW w:w="1021" w:type="dxa"/>
            <w:vAlign w:val="center"/>
          </w:tcPr>
          <w:p w14:paraId="2A4F48C7">
            <w:pPr>
              <w:jc w:val="center"/>
            </w:pPr>
            <w:r>
              <w:rPr>
                <w:rFonts w:ascii="Arial" w:hAnsi="Arial" w:eastAsia="Arial" w:cs="Arial"/>
                <w:sz w:val="20"/>
              </w:rPr>
              <w:t>-36</w:t>
            </w:r>
          </w:p>
        </w:tc>
        <w:tc>
          <w:tcPr>
            <w:tcW w:w="935" w:type="dxa"/>
            <w:vAlign w:val="center"/>
          </w:tcPr>
          <w:p w14:paraId="32C86BEA">
            <w:pPr>
              <w:jc w:val="center"/>
            </w:pPr>
            <w:r>
              <w:rPr>
                <w:rFonts w:ascii="Arial" w:hAnsi="Arial" w:eastAsia="Arial" w:cs="Arial"/>
                <w:sz w:val="20"/>
              </w:rPr>
              <w:t>354.4</w:t>
            </w:r>
          </w:p>
        </w:tc>
      </w:tr>
      <w:tr w14:paraId="73946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19EA6A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7</w:t>
            </w:r>
          </w:p>
        </w:tc>
        <w:tc>
          <w:tcPr>
            <w:tcW w:w="1125" w:type="dxa"/>
            <w:vMerge w:val="continue"/>
            <w:vAlign w:val="center"/>
          </w:tcPr>
          <w:p w14:paraId="2A957F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2786E266">
            <w:pPr>
              <w:jc w:val="center"/>
              <w:rPr>
                <w:rFonts w:hint="default"/>
                <w:vertAlign w:val="baseline"/>
                <w:lang w:val="en-US" w:eastAsia="zh-CN"/>
              </w:rPr>
            </w:pPr>
            <w:r>
              <w:rPr>
                <w:rFonts w:ascii="Arial" w:hAnsi="Arial" w:eastAsia="Arial" w:cs="Arial"/>
                <w:sz w:val="20"/>
              </w:rPr>
              <w:t>3#、4#楼地下室机械排风系统</w:t>
            </w:r>
          </w:p>
        </w:tc>
        <w:tc>
          <w:tcPr>
            <w:tcW w:w="1370" w:type="dxa"/>
            <w:vAlign w:val="center"/>
          </w:tcPr>
          <w:p w14:paraId="0ECE93C5">
            <w:pPr>
              <w:jc w:val="center"/>
              <w:rPr>
                <w:rFonts w:hint="default"/>
                <w:vertAlign w:val="baseline"/>
                <w:lang w:val="en-US" w:eastAsia="zh-CN"/>
              </w:rPr>
            </w:pPr>
            <w:r>
              <w:rPr>
                <w:rFonts w:ascii="Arial" w:hAnsi="Arial" w:eastAsia="Arial" w:cs="Arial"/>
                <w:sz w:val="20"/>
              </w:rPr>
              <w:t>80</w:t>
            </w:r>
          </w:p>
        </w:tc>
        <w:tc>
          <w:tcPr>
            <w:tcW w:w="875" w:type="dxa"/>
            <w:vAlign w:val="center"/>
          </w:tcPr>
          <w:p w14:paraId="6C69CCF3">
            <w:pPr>
              <w:jc w:val="center"/>
              <w:rPr>
                <w:rFonts w:hint="default"/>
                <w:vertAlign w:val="baseline"/>
                <w:lang w:val="en-US" w:eastAsia="zh-CN"/>
              </w:rPr>
            </w:pPr>
            <w:r>
              <w:rPr>
                <w:rFonts w:ascii="Arial" w:hAnsi="Arial" w:eastAsia="Arial" w:cs="Arial"/>
                <w:sz w:val="20"/>
              </w:rPr>
              <w:t>-11.5</w:t>
            </w:r>
          </w:p>
        </w:tc>
        <w:tc>
          <w:tcPr>
            <w:tcW w:w="1021" w:type="dxa"/>
            <w:vAlign w:val="center"/>
          </w:tcPr>
          <w:p w14:paraId="257B66E9">
            <w:pPr>
              <w:jc w:val="center"/>
            </w:pPr>
            <w:r>
              <w:rPr>
                <w:rFonts w:ascii="Arial" w:hAnsi="Arial" w:eastAsia="Arial" w:cs="Arial"/>
                <w:sz w:val="20"/>
              </w:rPr>
              <w:t>177.8</w:t>
            </w:r>
          </w:p>
        </w:tc>
        <w:tc>
          <w:tcPr>
            <w:tcW w:w="935" w:type="dxa"/>
            <w:vAlign w:val="center"/>
          </w:tcPr>
          <w:p w14:paraId="122FE129">
            <w:pPr>
              <w:jc w:val="center"/>
            </w:pPr>
            <w:r>
              <w:rPr>
                <w:rFonts w:ascii="Arial" w:hAnsi="Arial" w:eastAsia="Arial" w:cs="Arial"/>
                <w:sz w:val="20"/>
              </w:rPr>
              <w:t>336.5</w:t>
            </w:r>
          </w:p>
        </w:tc>
      </w:tr>
      <w:tr w14:paraId="56953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11A0F3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8</w:t>
            </w:r>
          </w:p>
        </w:tc>
        <w:tc>
          <w:tcPr>
            <w:tcW w:w="1125" w:type="dxa"/>
            <w:vMerge w:val="continue"/>
            <w:vAlign w:val="center"/>
          </w:tcPr>
          <w:p w14:paraId="27E334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27434965">
            <w:pPr>
              <w:jc w:val="center"/>
              <w:rPr>
                <w:rFonts w:hint="default"/>
                <w:vertAlign w:val="baseline"/>
                <w:lang w:val="en-US" w:eastAsia="zh-CN"/>
              </w:rPr>
            </w:pPr>
            <w:r>
              <w:rPr>
                <w:rFonts w:ascii="Arial" w:hAnsi="Arial" w:eastAsia="Arial" w:cs="Arial"/>
                <w:sz w:val="20"/>
              </w:rPr>
              <w:t>污水处理站水泵、风机</w:t>
            </w:r>
          </w:p>
        </w:tc>
        <w:tc>
          <w:tcPr>
            <w:tcW w:w="1370" w:type="dxa"/>
            <w:vAlign w:val="center"/>
          </w:tcPr>
          <w:p w14:paraId="4994FB84">
            <w:pPr>
              <w:jc w:val="center"/>
              <w:rPr>
                <w:rFonts w:hint="default"/>
                <w:vertAlign w:val="baseline"/>
                <w:lang w:val="en-US" w:eastAsia="zh-CN"/>
              </w:rPr>
            </w:pPr>
            <w:r>
              <w:rPr>
                <w:rFonts w:ascii="Arial" w:hAnsi="Arial" w:eastAsia="Arial" w:cs="Arial"/>
                <w:sz w:val="20"/>
              </w:rPr>
              <w:t>85</w:t>
            </w:r>
          </w:p>
        </w:tc>
        <w:tc>
          <w:tcPr>
            <w:tcW w:w="875" w:type="dxa"/>
            <w:vAlign w:val="center"/>
          </w:tcPr>
          <w:p w14:paraId="13AB7FA4">
            <w:pPr>
              <w:jc w:val="center"/>
              <w:rPr>
                <w:rFonts w:hint="default"/>
                <w:vertAlign w:val="baseline"/>
                <w:lang w:val="en-US" w:eastAsia="zh-CN"/>
              </w:rPr>
            </w:pPr>
            <w:r>
              <w:rPr>
                <w:rFonts w:ascii="Arial" w:hAnsi="Arial" w:eastAsia="Arial" w:cs="Arial"/>
                <w:sz w:val="20"/>
              </w:rPr>
              <w:t>-68.5</w:t>
            </w:r>
          </w:p>
        </w:tc>
        <w:tc>
          <w:tcPr>
            <w:tcW w:w="1021" w:type="dxa"/>
            <w:vAlign w:val="center"/>
          </w:tcPr>
          <w:p w14:paraId="2D9C8506">
            <w:pPr>
              <w:jc w:val="center"/>
            </w:pPr>
            <w:r>
              <w:rPr>
                <w:rFonts w:ascii="Arial" w:hAnsi="Arial" w:eastAsia="Arial" w:cs="Arial"/>
                <w:sz w:val="20"/>
              </w:rPr>
              <w:t>-138.5</w:t>
            </w:r>
          </w:p>
        </w:tc>
        <w:tc>
          <w:tcPr>
            <w:tcW w:w="935" w:type="dxa"/>
            <w:vAlign w:val="center"/>
          </w:tcPr>
          <w:p w14:paraId="3A00A067">
            <w:pPr>
              <w:jc w:val="center"/>
            </w:pPr>
            <w:r>
              <w:rPr>
                <w:rFonts w:ascii="Arial" w:hAnsi="Arial" w:eastAsia="Arial" w:cs="Arial"/>
                <w:sz w:val="20"/>
              </w:rPr>
              <w:t>329.1</w:t>
            </w:r>
          </w:p>
        </w:tc>
      </w:tr>
      <w:tr w14:paraId="2DF51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3" w:type="dxa"/>
            <w:vAlign w:val="center"/>
          </w:tcPr>
          <w:p w14:paraId="7F18B9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9</w:t>
            </w:r>
          </w:p>
        </w:tc>
        <w:tc>
          <w:tcPr>
            <w:tcW w:w="1125" w:type="dxa"/>
            <w:vMerge w:val="continue"/>
            <w:vAlign w:val="center"/>
          </w:tcPr>
          <w:p w14:paraId="59401A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7E20EEAD">
            <w:pPr>
              <w:jc w:val="center"/>
              <w:rPr>
                <w:rFonts w:hint="default"/>
                <w:vertAlign w:val="baseline"/>
                <w:lang w:val="en-US" w:eastAsia="zh-CN"/>
              </w:rPr>
            </w:pPr>
            <w:r>
              <w:rPr>
                <w:rFonts w:ascii="Arial" w:hAnsi="Arial" w:eastAsia="Arial" w:cs="Arial"/>
                <w:sz w:val="20"/>
              </w:rPr>
              <w:t>锅炉</w:t>
            </w:r>
          </w:p>
        </w:tc>
        <w:tc>
          <w:tcPr>
            <w:tcW w:w="1370" w:type="dxa"/>
            <w:vAlign w:val="center"/>
          </w:tcPr>
          <w:p w14:paraId="4E3F233A">
            <w:pPr>
              <w:jc w:val="center"/>
              <w:rPr>
                <w:rFonts w:hint="default"/>
                <w:vertAlign w:val="baseline"/>
                <w:lang w:val="en-US" w:eastAsia="zh-CN"/>
              </w:rPr>
            </w:pPr>
            <w:r>
              <w:rPr>
                <w:rFonts w:ascii="Arial" w:hAnsi="Arial" w:eastAsia="Arial" w:cs="Arial"/>
                <w:sz w:val="20"/>
              </w:rPr>
              <w:t>90</w:t>
            </w:r>
          </w:p>
        </w:tc>
        <w:tc>
          <w:tcPr>
            <w:tcW w:w="875" w:type="dxa"/>
            <w:vAlign w:val="center"/>
          </w:tcPr>
          <w:p w14:paraId="20C68D9C">
            <w:pPr>
              <w:jc w:val="center"/>
              <w:rPr>
                <w:rFonts w:hint="default"/>
                <w:vertAlign w:val="baseline"/>
                <w:lang w:val="en-US" w:eastAsia="zh-CN"/>
              </w:rPr>
            </w:pPr>
            <w:r>
              <w:rPr>
                <w:rFonts w:ascii="Arial" w:hAnsi="Arial" w:eastAsia="Arial" w:cs="Arial"/>
                <w:sz w:val="20"/>
              </w:rPr>
              <w:t>77.2</w:t>
            </w:r>
          </w:p>
        </w:tc>
        <w:tc>
          <w:tcPr>
            <w:tcW w:w="1021" w:type="dxa"/>
            <w:vAlign w:val="center"/>
          </w:tcPr>
          <w:p w14:paraId="5C7A9DCC">
            <w:pPr>
              <w:jc w:val="center"/>
            </w:pPr>
            <w:r>
              <w:rPr>
                <w:rFonts w:ascii="Arial" w:hAnsi="Arial" w:eastAsia="Arial" w:cs="Arial"/>
                <w:sz w:val="20"/>
              </w:rPr>
              <w:t>33</w:t>
            </w:r>
          </w:p>
        </w:tc>
        <w:tc>
          <w:tcPr>
            <w:tcW w:w="935" w:type="dxa"/>
            <w:vAlign w:val="center"/>
          </w:tcPr>
          <w:p w14:paraId="7094A34A">
            <w:pPr>
              <w:jc w:val="center"/>
            </w:pPr>
            <w:r>
              <w:rPr>
                <w:rFonts w:ascii="Arial" w:hAnsi="Arial" w:eastAsia="Arial" w:cs="Arial"/>
                <w:sz w:val="20"/>
              </w:rPr>
              <w:t>352.2</w:t>
            </w:r>
          </w:p>
        </w:tc>
      </w:tr>
    </w:tbl>
    <w:p w14:paraId="3842B29F">
      <w:pPr>
        <w:rPr>
          <w:rFonts w:hint="default" w:ascii="Times New Roman" w:hAnsi="Times New Roman" w:cs="Times New Roman"/>
          <w:sz w:val="21"/>
          <w:szCs w:val="21"/>
          <w:lang w:val="en-US"/>
        </w:rPr>
      </w:pPr>
      <w:r>
        <w:rPr>
          <w:rFonts w:hint="default" w:ascii="Times New Roman" w:hAnsi="Times New Roman" w:cs="Times New Roman" w:eastAsiaTheme="minorEastAsia"/>
          <w:b w:val="0"/>
          <w:bCs/>
          <w:sz w:val="21"/>
          <w:szCs w:val="21"/>
          <w:lang w:val="en-US" w:eastAsia="zh-CN"/>
        </w:rPr>
        <w:t>表中坐标以</w:t>
      </w:r>
      <w:r>
        <w:rPr>
          <w:rFonts w:hint="eastAsia" w:ascii="Times New Roman" w:hAnsi="Times New Roman" w:cs="Times New Roman"/>
          <w:b w:val="0"/>
          <w:bCs/>
          <w:sz w:val="21"/>
          <w:szCs w:val="21"/>
          <w:lang w:val="en-US" w:eastAsia="zh-CN"/>
        </w:rPr>
        <w:t>场</w:t>
      </w:r>
      <w:r>
        <w:rPr>
          <w:rFonts w:hint="default" w:ascii="Times New Roman" w:hAnsi="Times New Roman" w:cs="Times New Roman" w:eastAsiaTheme="minorEastAsia"/>
          <w:b w:val="0"/>
          <w:bCs/>
          <w:sz w:val="21"/>
          <w:szCs w:val="21"/>
          <w:lang w:val="en-US" w:eastAsia="zh-CN"/>
        </w:rPr>
        <w:t>界中心（</w:t>
      </w:r>
      <w:bookmarkStart w:id="1372" w:name="PO_7"/>
      <w:r>
        <w:rPr>
          <w:rFonts w:hint="default" w:ascii="Times New Roman" w:hAnsi="Times New Roman" w:cs="Times New Roman" w:eastAsiaTheme="minorEastAsia"/>
          <w:b w:val="0"/>
          <w:bCs/>
          <w:sz w:val="21"/>
          <w:szCs w:val="21"/>
          <w:lang w:val="en-US" w:eastAsia="zh-CN"/>
        </w:rPr>
        <w:t>105.258430,30.599885</w:t>
      </w:r>
      <w:bookmarkEnd w:id="1372"/>
      <w:r>
        <w:rPr>
          <w:rFonts w:hint="default" w:ascii="Times New Roman" w:hAnsi="Times New Roman" w:cs="Times New Roman" w:eastAsiaTheme="minorEastAsia"/>
          <w:b w:val="0"/>
          <w:bCs/>
          <w:sz w:val="21"/>
          <w:szCs w:val="21"/>
          <w:lang w:val="en-US" w:eastAsia="zh-CN"/>
        </w:rPr>
        <w:t>）为坐标原点，正东向为X轴正方向，正北向为Y轴正方向</w:t>
      </w:r>
      <w:r>
        <w:rPr>
          <w:rFonts w:hint="eastAsia" w:ascii="Times New Roman" w:hAnsi="Times New Roman" w:cs="Times New Roman"/>
          <w:b w:val="0"/>
          <w:bCs/>
          <w:sz w:val="21"/>
          <w:szCs w:val="21"/>
          <w:lang w:val="en-US" w:eastAsia="zh-CN"/>
        </w:rPr>
        <w:t>。</w:t>
      </w:r>
    </w:p>
    <w:p w14:paraId="729608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73" w:name="_Toc20167"/>
      <w:bookmarkStart w:id="1374" w:name="_Toc5747"/>
      <w:bookmarkStart w:id="1375" w:name="_Toc1031"/>
      <w:bookmarkStart w:id="1376" w:name="_Toc2445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（2）本项目对设备采取的降噪措施有：</w:t>
      </w:r>
      <w:bookmarkEnd w:id="1373"/>
      <w:bookmarkEnd w:id="1374"/>
      <w:bookmarkEnd w:id="1375"/>
      <w:bookmarkEnd w:id="1376"/>
    </w:p>
    <w:p w14:paraId="333536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为确保项目厂界噪声达标排放，项目拟采取以下措施进行防护：</w:t>
      </w:r>
    </w:p>
    <w:p w14:paraId="0547EF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①采用先进的低噪声设备，从源头上削减源强；</w:t>
      </w:r>
    </w:p>
    <w:p w14:paraId="0BD680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②供配电房、生活及消防水泵房设置于</w:t>
      </w:r>
      <w:r>
        <w:rPr>
          <w:rFonts w:hint="default" w:ascii="Times New Roman" w:hAnsi="Times New Roman" w:eastAsia="宋体" w:cs="Times New Roman"/>
          <w:color w:val="auto"/>
          <w:sz w:val="24"/>
          <w:szCs w:val="24"/>
          <w:lang w:val="en-US" w:eastAsia="zh-CN"/>
        </w:rPr>
        <w:t>后勤</w:t>
      </w:r>
      <w:r>
        <w:rPr>
          <w:rFonts w:hint="default" w:ascii="Times New Roman" w:hAnsi="Times New Roman" w:eastAsia="宋体" w:cs="Times New Roman"/>
          <w:color w:val="auto"/>
          <w:sz w:val="24"/>
          <w:szCs w:val="24"/>
        </w:rPr>
        <w:t>楼地下室的设备房内，房间密闭隔声；</w:t>
      </w:r>
    </w:p>
    <w:p w14:paraId="3BE4CB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③空调机组设置于楼顶的设备间内，采取基础减振、橡胶垫减振、使用柔性连接等措施；</w:t>
      </w:r>
    </w:p>
    <w:p w14:paraId="67D832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④污水处理站采用潜水泵，并经设备房隔声；</w:t>
      </w:r>
    </w:p>
    <w:p w14:paraId="119AE6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⑤院区禁止鸣笛，合理设置明显的车流导向标志等；</w:t>
      </w:r>
    </w:p>
    <w:p w14:paraId="4E3C57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lang w:val="en-US" w:eastAsia="zh-CN"/>
        </w:rPr>
        <w:t>院</w:t>
      </w:r>
      <w:r>
        <w:rPr>
          <w:rFonts w:hint="default" w:ascii="Times New Roman" w:hAnsi="Times New Roman" w:eastAsia="宋体" w:cs="Times New Roman"/>
          <w:color w:val="auto"/>
          <w:sz w:val="24"/>
          <w:szCs w:val="24"/>
        </w:rPr>
        <w:t>区建筑物周围种植绿化。</w:t>
      </w:r>
    </w:p>
    <w:p w14:paraId="58064277">
      <w:pPr>
        <w:pStyle w:val="8"/>
        <w:pageBreakBefore w:val="0"/>
        <w:kinsoku/>
        <w:wordWrap/>
        <w:overflowPunct/>
        <w:topLinePunct w:val="0"/>
        <w:autoSpaceDE/>
        <w:autoSpaceDN/>
        <w:bidi w:val="0"/>
        <w:adjustRightInd/>
        <w:snapToGrid/>
        <w:ind w:leftChars="0" w:firstLine="480" w:firstLineChars="200"/>
        <w:textAlignment w:val="auto"/>
        <w:outlineLvl w:val="1"/>
        <w:rPr>
          <w:rFonts w:hint="default" w:ascii="Times New Roman" w:hAnsi="Times New Roman" w:eastAsia="宋体" w:cs="Times New Roman"/>
          <w:color w:val="auto"/>
          <w:lang w:val="en-US" w:eastAsia="zh-CN"/>
        </w:rPr>
      </w:pPr>
      <w:bookmarkStart w:id="1377" w:name="_Toc3840"/>
      <w:bookmarkStart w:id="1378" w:name="_Toc26220"/>
      <w:bookmarkStart w:id="1379" w:name="_Toc17433"/>
      <w:bookmarkStart w:id="1380" w:name="_Toc8348"/>
      <w:bookmarkStart w:id="1381" w:name="_Toc1741"/>
      <w:r>
        <w:rPr>
          <w:rFonts w:hint="default" w:ascii="Times New Roman" w:hAnsi="Times New Roman" w:eastAsia="宋体" w:cs="Times New Roman"/>
          <w:color w:val="auto"/>
          <w:lang w:val="en-US" w:eastAsia="zh-CN"/>
        </w:rPr>
        <w:t>3.2.3.5 固体废物排放情况</w:t>
      </w:r>
      <w:bookmarkEnd w:id="1377"/>
      <w:bookmarkEnd w:id="1378"/>
      <w:bookmarkEnd w:id="1379"/>
      <w:bookmarkEnd w:id="1380"/>
      <w:bookmarkEnd w:id="1381"/>
      <w:r>
        <w:rPr>
          <w:rFonts w:hint="default" w:ascii="Times New Roman" w:hAnsi="Times New Roman" w:eastAsia="宋体" w:cs="Times New Roman"/>
          <w:color w:val="auto"/>
          <w:lang w:val="en-US" w:eastAsia="zh-CN"/>
        </w:rPr>
        <w:t xml:space="preserve"> </w:t>
      </w:r>
    </w:p>
    <w:p w14:paraId="66416DAB">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本项目一般固废包括医院职工办公生活垃圾、餐厨垃圾、废</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离子交换树脂</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等；危险废物包括医疗废物、污水站污泥、废活性炭及废弃紫外线灯管等。</w:t>
      </w:r>
    </w:p>
    <w:p w14:paraId="4F08BF09">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82" w:name="_Toc5032"/>
      <w:bookmarkStart w:id="1383" w:name="_Toc851"/>
      <w:bookmarkStart w:id="1384" w:name="_Toc21656"/>
      <w:bookmarkStart w:id="1385" w:name="_Toc27904"/>
      <w:bookmarkStart w:id="1386" w:name="_Toc2539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（1）一般固废</w:t>
      </w:r>
      <w:bookmarkEnd w:id="1382"/>
      <w:bookmarkEnd w:id="1383"/>
      <w:bookmarkEnd w:id="1384"/>
      <w:bookmarkEnd w:id="1385"/>
      <w:bookmarkEnd w:id="1386"/>
    </w:p>
    <w:p w14:paraId="0B88FEBC">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87" w:name="_Toc2758"/>
      <w:bookmarkStart w:id="1388" w:name="_Toc10679"/>
      <w:bookmarkStart w:id="1389" w:name="_Toc18495"/>
      <w:bookmarkStart w:id="1390" w:name="_Toc10407"/>
      <w:bookmarkStart w:id="1391" w:name="_Toc1773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①生活垃圾</w:t>
      </w:r>
      <w:bookmarkEnd w:id="1387"/>
      <w:bookmarkEnd w:id="1388"/>
      <w:bookmarkEnd w:id="1389"/>
      <w:bookmarkEnd w:id="1390"/>
      <w:bookmarkEnd w:id="1391"/>
    </w:p>
    <w:p w14:paraId="0BD2F5B9">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生活垃圾主要由住院病人及陪护人员、门诊病人、医院职工产生。</w:t>
      </w:r>
    </w:p>
    <w:p w14:paraId="7C9381B3">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92" w:name="_Toc30488"/>
      <w:bookmarkStart w:id="1393" w:name="_Toc13727"/>
      <w:bookmarkStart w:id="1394" w:name="_Toc13772"/>
      <w:bookmarkStart w:id="1395" w:name="_Toc377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1）住院病人及陪护人员生活垃圾</w:t>
      </w:r>
      <w:bookmarkEnd w:id="1392"/>
      <w:bookmarkEnd w:id="1393"/>
      <w:bookmarkEnd w:id="1394"/>
      <w:bookmarkEnd w:id="1395"/>
    </w:p>
    <w:p w14:paraId="007F055F">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项目床位数为1100床，按负荷量为100%计，陪护人员按每床1人计，根据《城镇生活源产排污系数手册》，住院病人按每病床每日生活垃圾按0.5kg 计，陪护人员每日生活垃圾按0.2kg计算，则住院病人生活垃圾产生量为550kg/d，陪护人员生活垃圾产生量为220kg/d，即住院部门生活垃圾产生量为770kg/d。</w:t>
      </w:r>
    </w:p>
    <w:p w14:paraId="2193B211">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396" w:name="_Toc23082"/>
      <w:bookmarkStart w:id="1397" w:name="_Toc18360"/>
      <w:bookmarkStart w:id="1398" w:name="_Toc16281"/>
      <w:bookmarkStart w:id="1399" w:name="_Toc2842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2）门诊病人生活垃圾</w:t>
      </w:r>
      <w:bookmarkEnd w:id="1396"/>
      <w:bookmarkEnd w:id="1397"/>
      <w:bookmarkEnd w:id="1398"/>
      <w:bookmarkEnd w:id="1399"/>
    </w:p>
    <w:p w14:paraId="606506B3">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门诊垃圾按每人次产生0.2kg计，门诊人数为2830人·次/d，则门诊生活垃圾产生量为566kg/d。</w:t>
      </w:r>
    </w:p>
    <w:p w14:paraId="4DBE5CAC">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00" w:name="_Toc30866"/>
      <w:bookmarkStart w:id="1401" w:name="_Toc9709"/>
      <w:bookmarkStart w:id="1402" w:name="_Toc8626"/>
      <w:bookmarkStart w:id="1403" w:name="_Toc1450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3）医院职工生活垃圾</w:t>
      </w:r>
      <w:bookmarkEnd w:id="1400"/>
      <w:bookmarkEnd w:id="1401"/>
      <w:bookmarkEnd w:id="1402"/>
      <w:bookmarkEnd w:id="1403"/>
    </w:p>
    <w:p w14:paraId="217A8E03">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医护人员每人每日产生生活垃圾按0.5kg计，医院有1760名职工，则医院职工生活垃圾量为880kg/d。</w:t>
      </w:r>
    </w:p>
    <w:p w14:paraId="6A006C88">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根据生活垃圾产生情况计算，项目总的生活垃圾产生量2216kg/d，808.84t/a。生活垃圾统一经垃圾桶收集后，委托当地环卫部门清运处置。</w:t>
      </w:r>
    </w:p>
    <w:p w14:paraId="518CA242">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04" w:name="_Toc1972"/>
      <w:bookmarkStart w:id="1405" w:name="_Toc9489"/>
      <w:bookmarkStart w:id="1406" w:name="_Toc19271"/>
      <w:bookmarkStart w:id="1407" w:name="_Toc21521"/>
      <w:bookmarkStart w:id="1408" w:name="_Toc943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②餐厨垃圾</w:t>
      </w:r>
      <w:bookmarkEnd w:id="1404"/>
      <w:bookmarkEnd w:id="1405"/>
      <w:bookmarkEnd w:id="1406"/>
      <w:bookmarkEnd w:id="1407"/>
      <w:bookmarkEnd w:id="1408"/>
    </w:p>
    <w:p w14:paraId="203025EF">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项目设置食堂每天为部分医护人员及患者提供三餐，就餐人数约4000人，</w:t>
      </w:r>
      <w:r>
        <w:rPr>
          <w:rFonts w:hint="default" w:ascii="Times New Roman" w:hAnsi="Times New Roman" w:eastAsia="宋体" w:cs="Times New Roman"/>
          <w:color w:val="auto"/>
          <w:kern w:val="0"/>
          <w:sz w:val="24"/>
          <w:szCs w:val="24"/>
          <w:lang w:val="en-US" w:eastAsia="zh-CN" w:bidi="ar"/>
        </w:rPr>
        <w:t>泔水产生量为0.2kg/人•天，则食堂泔水产生量为</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800kg/d（292t/a）。食堂泔水经泔水收集桶收集后委托有资质单位清运处置。</w:t>
      </w:r>
    </w:p>
    <w:p w14:paraId="26927111">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环评要求：餐厨垃圾须用塑料桶单独收集，交由有</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专业</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单位进行收运、处置，做到日产日清。</w:t>
      </w:r>
    </w:p>
    <w:p w14:paraId="2609F5B8">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09" w:name="_Toc18557"/>
      <w:bookmarkStart w:id="1410" w:name="_Toc4922"/>
      <w:bookmarkStart w:id="1411" w:name="_Toc24817"/>
      <w:bookmarkStart w:id="1412" w:name="_Toc11147"/>
      <w:bookmarkStart w:id="1413" w:name="_Toc852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w:t>
      </w:r>
      <w:bookmarkEnd w:id="1409"/>
      <w:bookmarkEnd w:id="1410"/>
      <w:bookmarkEnd w:id="1411"/>
      <w:bookmarkEnd w:id="1412"/>
      <w:bookmarkEnd w:id="1413"/>
      <w:bookmarkStart w:id="1414" w:name="_Toc25426"/>
      <w:bookmarkStart w:id="1415" w:name="_Toc364"/>
      <w:bookmarkStart w:id="1416" w:name="_Toc23772"/>
      <w:bookmarkStart w:id="1417" w:name="_Toc4449"/>
      <w:bookmarkStart w:id="1418" w:name="_Toc1938"/>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废离子交换树脂</w:t>
      </w:r>
    </w:p>
    <w:p w14:paraId="22DB8126">
      <w:pPr>
        <w:spacing w:line="360" w:lineRule="auto"/>
        <w:ind w:firstLine="480" w:firstLineChars="20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bCs/>
          <w:color w:val="auto"/>
          <w:sz w:val="24"/>
          <w:szCs w:val="24"/>
          <w:highlight w:val="none"/>
          <w:lang w:val="en-US" w:eastAsia="zh-CN"/>
        </w:rPr>
        <w:t>锅炉软水采用离子交换树脂制取</w:t>
      </w:r>
      <w:r>
        <w:rPr>
          <w:rFonts w:hint="default" w:ascii="Times New Roman" w:hAnsi="Times New Roman" w:eastAsia="宋体" w:cs="Times New Roman"/>
          <w:bCs/>
          <w:color w:val="auto"/>
          <w:sz w:val="24"/>
          <w:szCs w:val="24"/>
          <w:highlight w:val="none"/>
          <w:lang w:eastAsia="zh-CN"/>
        </w:rPr>
        <w:t>，产生量约为</w:t>
      </w:r>
      <w:r>
        <w:rPr>
          <w:rFonts w:hint="default" w:ascii="Times New Roman" w:hAnsi="Times New Roman" w:eastAsia="宋体" w:cs="Times New Roman"/>
          <w:bCs/>
          <w:color w:val="auto"/>
          <w:sz w:val="24"/>
          <w:szCs w:val="24"/>
          <w:highlight w:val="none"/>
          <w:lang w:val="en-US" w:eastAsia="zh-CN"/>
        </w:rPr>
        <w:t>0.5t/a，</w:t>
      </w:r>
      <w:r>
        <w:rPr>
          <w:rFonts w:hint="default" w:ascii="Times New Roman" w:hAnsi="Times New Roman" w:eastAsia="宋体" w:cs="Times New Roman"/>
          <w:bCs/>
          <w:color w:val="auto"/>
          <w:sz w:val="24"/>
          <w:szCs w:val="24"/>
          <w:highlight w:val="none"/>
          <w:lang w:eastAsia="zh-CN"/>
        </w:rPr>
        <w:t>产生的废弃离子交换树脂属于一般固体废物，交由厂家进行回收</w:t>
      </w:r>
      <w:r>
        <w:rPr>
          <w:rFonts w:hint="default" w:ascii="Times New Roman" w:hAnsi="Times New Roman" w:eastAsia="宋体" w:cs="Times New Roman"/>
          <w:bCs/>
          <w:color w:val="auto"/>
          <w:sz w:val="24"/>
          <w:szCs w:val="24"/>
          <w:highlight w:val="none"/>
          <w:lang w:val="en-US" w:eastAsia="zh-CN"/>
        </w:rPr>
        <w:t>或环卫部门处理</w:t>
      </w:r>
      <w:r>
        <w:rPr>
          <w:rFonts w:hint="default" w:ascii="Times New Roman" w:hAnsi="Times New Roman" w:eastAsia="宋体" w:cs="Times New Roman"/>
          <w:bCs/>
          <w:color w:val="auto"/>
          <w:sz w:val="24"/>
          <w:szCs w:val="24"/>
          <w:highlight w:val="none"/>
          <w:lang w:eastAsia="zh-CN"/>
        </w:rPr>
        <w:t>。</w:t>
      </w:r>
    </w:p>
    <w:p w14:paraId="288700C3">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（2）危险废物</w:t>
      </w:r>
      <w:bookmarkEnd w:id="1414"/>
      <w:bookmarkEnd w:id="1415"/>
      <w:bookmarkEnd w:id="1416"/>
      <w:bookmarkEnd w:id="1417"/>
      <w:bookmarkEnd w:id="1418"/>
    </w:p>
    <w:p w14:paraId="055A6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19" w:name="_Toc6354"/>
      <w:bookmarkStart w:id="1420" w:name="_Toc472"/>
      <w:bookmarkStart w:id="1421" w:name="_Toc6777"/>
      <w:bookmarkStart w:id="1422" w:name="_Toc7905"/>
      <w:bookmarkStart w:id="1423" w:name="_Toc469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①医疗废物</w:t>
      </w:r>
      <w:bookmarkEnd w:id="1419"/>
      <w:bookmarkEnd w:id="1420"/>
      <w:bookmarkEnd w:id="1421"/>
      <w:bookmarkEnd w:id="1422"/>
      <w:bookmarkEnd w:id="1423"/>
    </w:p>
    <w:p w14:paraId="1A01716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据《关于明确医疗废物分类有关问题的通知》（卫办医发[2005]292号）：使用后的各种玻璃（一次性塑料）输液瓶（袋），未被病人血液、体液、排泄物污染的，不属于医疗废物，不必按照医疗废物进行管理，但这类废物回收利用时不能用于原用途，用于其他用途时应符合不危害人体健康的原则</w:t>
      </w:r>
      <w:r>
        <w:rPr>
          <w:rFonts w:hint="default" w:ascii="Times New Roman" w:hAnsi="Times New Roman" w:eastAsia="宋体" w:cs="Times New Roman"/>
          <w:color w:val="auto"/>
          <w:sz w:val="24"/>
          <w:szCs w:val="24"/>
          <w:lang w:eastAsia="zh-CN"/>
        </w:rPr>
        <w:t>。</w:t>
      </w:r>
    </w:p>
    <w:p w14:paraId="636423AC">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color w:val="auto"/>
          <w:sz w:val="24"/>
          <w:szCs w:val="24"/>
          <w:highlight w:val="yellow"/>
          <w:lang w:eastAsia="zh-CN"/>
        </w:rPr>
      </w:pPr>
      <w:r>
        <w:rPr>
          <w:rFonts w:hint="default" w:ascii="Times New Roman" w:hAnsi="Times New Roman" w:eastAsia="宋体" w:cs="Times New Roman"/>
          <w:color w:val="auto"/>
          <w:sz w:val="24"/>
          <w:szCs w:val="24"/>
        </w:rPr>
        <w:t>医疗废物是指医疗卫生机构在医疗、预防、保健以及其他相关活动中产生的具有直接的或间接感染性、毒性以及其他危害性废物。主要来源于手术、包扎残余物、生物培养残余物、废液、化验检查残余物、废弃的医疗材料及废水处理污泥，根据《国家危险废物名录》（2021版），项目医疗废物属于危险废物，编号为HW01。根据《医疗废物分类目录》，医院产生的医疗废物组成及特征见下表</w:t>
      </w:r>
      <w:r>
        <w:rPr>
          <w:rFonts w:hint="default" w:ascii="Times New Roman" w:hAnsi="Times New Roman" w:eastAsia="宋体" w:cs="Times New Roman"/>
          <w:color w:val="auto"/>
          <w:sz w:val="24"/>
          <w:szCs w:val="24"/>
          <w:lang w:val="en-US" w:eastAsia="zh-CN"/>
        </w:rPr>
        <w:t>3.2-1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14:paraId="3751B961">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3.2-1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项目医疗废物组成及特征</w:t>
      </w:r>
    </w:p>
    <w:tbl>
      <w:tblPr>
        <w:tblStyle w:val="21"/>
        <w:tblW w:w="0" w:type="auto"/>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28"/>
        <w:gridCol w:w="1689"/>
        <w:gridCol w:w="5382"/>
      </w:tblGrid>
      <w:tr w14:paraId="3359B73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3" w:hRule="atLeast"/>
          <w:jc w:val="center"/>
        </w:trPr>
        <w:tc>
          <w:tcPr>
            <w:tcW w:w="928" w:type="dxa"/>
            <w:tcBorders>
              <w:tl2br w:val="nil"/>
              <w:tr2bl w:val="nil"/>
            </w:tcBorders>
            <w:shd w:val="clear" w:color="auto" w:fill="D7D7D7" w:themeFill="background1" w:themeFillShade="D8"/>
            <w:noWrap w:val="0"/>
            <w:vAlign w:val="center"/>
          </w:tcPr>
          <w:p w14:paraId="13B98C3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689" w:type="dxa"/>
            <w:tcBorders>
              <w:tl2br w:val="nil"/>
              <w:tr2bl w:val="nil"/>
            </w:tcBorders>
            <w:shd w:val="clear" w:color="auto" w:fill="D7D7D7" w:themeFill="background1" w:themeFillShade="D8"/>
            <w:noWrap w:val="0"/>
            <w:vAlign w:val="center"/>
          </w:tcPr>
          <w:p w14:paraId="47D2D29A">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特征</w:t>
            </w:r>
          </w:p>
        </w:tc>
        <w:tc>
          <w:tcPr>
            <w:tcW w:w="5382" w:type="dxa"/>
            <w:tcBorders>
              <w:tl2br w:val="nil"/>
              <w:tr2bl w:val="nil"/>
            </w:tcBorders>
            <w:shd w:val="clear" w:color="auto" w:fill="D7D7D7" w:themeFill="background1" w:themeFillShade="D8"/>
            <w:noWrap w:val="0"/>
            <w:vAlign w:val="center"/>
          </w:tcPr>
          <w:p w14:paraId="77D2BB6F">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常见组分或者废物名称</w:t>
            </w:r>
          </w:p>
        </w:tc>
      </w:tr>
      <w:tr w14:paraId="31BAAF1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restart"/>
            <w:tcBorders>
              <w:tl2br w:val="nil"/>
              <w:tr2bl w:val="nil"/>
            </w:tcBorders>
            <w:noWrap w:val="0"/>
            <w:vAlign w:val="center"/>
          </w:tcPr>
          <w:p w14:paraId="13A1094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感染性废物</w:t>
            </w:r>
          </w:p>
        </w:tc>
        <w:tc>
          <w:tcPr>
            <w:tcW w:w="1689" w:type="dxa"/>
            <w:vMerge w:val="restart"/>
            <w:tcBorders>
              <w:tl2br w:val="nil"/>
              <w:tr2bl w:val="nil"/>
            </w:tcBorders>
            <w:noWrap w:val="0"/>
            <w:vAlign w:val="center"/>
          </w:tcPr>
          <w:p w14:paraId="6047BBB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携带病原微生物，具有引发感染性疾病传播危险的医疗废物</w:t>
            </w:r>
          </w:p>
        </w:tc>
        <w:tc>
          <w:tcPr>
            <w:tcW w:w="5382" w:type="dxa"/>
            <w:tcBorders>
              <w:tl2br w:val="nil"/>
              <w:tr2bl w:val="nil"/>
            </w:tcBorders>
            <w:noWrap w:val="0"/>
            <w:vAlign w:val="center"/>
          </w:tcPr>
          <w:p w14:paraId="52BCDB0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被病人血液、体液、排泄物污染的物品，包括：棉球、棉签、引流棉条、纱布及其他各种敷料；一次性使用卫生用品、一次性使用医疗用品及一次性医疗器械；废弃的被服；其他被病人血液、体液、排泄物污染的物品。</w:t>
            </w:r>
          </w:p>
        </w:tc>
      </w:tr>
      <w:tr w14:paraId="2BC5086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5CDD303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2591D4AB">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2EA37F4F">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病原体的培养基、标本和菌种、毒种保存液。</w:t>
            </w:r>
          </w:p>
        </w:tc>
      </w:tr>
      <w:tr w14:paraId="76CA64B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7C07A39E">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5B52D0F5">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5CFD1ED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各种废弃的医学标本。</w:t>
            </w:r>
          </w:p>
        </w:tc>
      </w:tr>
      <w:tr w14:paraId="0FA87DE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23167185">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0E3294A3">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3228F263">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废弃的血液、血清。</w:t>
            </w:r>
          </w:p>
        </w:tc>
      </w:tr>
      <w:tr w14:paraId="4BCCE11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928" w:type="dxa"/>
            <w:vMerge w:val="continue"/>
            <w:tcBorders>
              <w:tl2br w:val="nil"/>
              <w:tr2bl w:val="nil"/>
            </w:tcBorders>
            <w:noWrap w:val="0"/>
            <w:vAlign w:val="center"/>
          </w:tcPr>
          <w:p w14:paraId="6B956775">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74D2A3A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54EA27C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使用后的一次性使用医疗用品及一次性医疗器械。</w:t>
            </w:r>
          </w:p>
        </w:tc>
      </w:tr>
      <w:tr w14:paraId="38B4AE1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928" w:type="dxa"/>
            <w:vMerge w:val="restart"/>
            <w:tcBorders>
              <w:tl2br w:val="nil"/>
              <w:tr2bl w:val="nil"/>
            </w:tcBorders>
            <w:noWrap w:val="0"/>
            <w:vAlign w:val="center"/>
          </w:tcPr>
          <w:p w14:paraId="57DF7516">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病理性废物</w:t>
            </w:r>
          </w:p>
        </w:tc>
        <w:tc>
          <w:tcPr>
            <w:tcW w:w="1689" w:type="dxa"/>
            <w:vMerge w:val="restart"/>
            <w:tcBorders>
              <w:tl2br w:val="nil"/>
              <w:tr2bl w:val="nil"/>
            </w:tcBorders>
            <w:noWrap w:val="0"/>
            <w:vAlign w:val="center"/>
          </w:tcPr>
          <w:p w14:paraId="15B1FAA6">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诊疗过程中产生的人体废弃物</w:t>
            </w:r>
          </w:p>
        </w:tc>
        <w:tc>
          <w:tcPr>
            <w:tcW w:w="5382" w:type="dxa"/>
            <w:tcBorders>
              <w:tl2br w:val="nil"/>
              <w:tr2bl w:val="nil"/>
            </w:tcBorders>
            <w:noWrap w:val="0"/>
            <w:vAlign w:val="center"/>
          </w:tcPr>
          <w:p w14:paraId="6369A093">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手术及其他诊疗过程中产生的废弃的人体组织、器官等。</w:t>
            </w:r>
          </w:p>
        </w:tc>
      </w:tr>
      <w:tr w14:paraId="787FEC2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928" w:type="dxa"/>
            <w:vMerge w:val="continue"/>
            <w:tcBorders>
              <w:tl2br w:val="nil"/>
              <w:tr2bl w:val="nil"/>
            </w:tcBorders>
            <w:noWrap w:val="0"/>
            <w:vAlign w:val="center"/>
          </w:tcPr>
          <w:p w14:paraId="123ED8AA">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1B02B57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180CF686">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病理切片后废弃的人体组织、病理腊块等。</w:t>
            </w:r>
          </w:p>
        </w:tc>
      </w:tr>
      <w:tr w14:paraId="033C0F8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restart"/>
            <w:tcBorders>
              <w:tl2br w:val="nil"/>
              <w:tr2bl w:val="nil"/>
            </w:tcBorders>
            <w:noWrap w:val="0"/>
            <w:vAlign w:val="center"/>
          </w:tcPr>
          <w:p w14:paraId="15CB1E7F">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损伤性废物</w:t>
            </w:r>
          </w:p>
        </w:tc>
        <w:tc>
          <w:tcPr>
            <w:tcW w:w="1689" w:type="dxa"/>
            <w:vMerge w:val="restart"/>
            <w:tcBorders>
              <w:tl2br w:val="nil"/>
              <w:tr2bl w:val="nil"/>
            </w:tcBorders>
            <w:noWrap w:val="0"/>
            <w:vAlign w:val="center"/>
          </w:tcPr>
          <w:p w14:paraId="4C70336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能够刺伤或者割伤人体的废弃的医用锐器</w:t>
            </w:r>
          </w:p>
        </w:tc>
        <w:tc>
          <w:tcPr>
            <w:tcW w:w="5382" w:type="dxa"/>
            <w:tcBorders>
              <w:tl2br w:val="nil"/>
              <w:tr2bl w:val="nil"/>
            </w:tcBorders>
            <w:noWrap w:val="0"/>
            <w:vAlign w:val="center"/>
          </w:tcPr>
          <w:p w14:paraId="6F6B766A">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医用针头、缝合针。</w:t>
            </w:r>
          </w:p>
        </w:tc>
      </w:tr>
      <w:tr w14:paraId="4CE6B3A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63596E1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5CCD572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7A45834E">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各类医用锐器。</w:t>
            </w:r>
          </w:p>
        </w:tc>
      </w:tr>
      <w:tr w14:paraId="4154EAA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79B4F10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0FB36AE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1034EDE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载玻片、玻璃试管、玻璃安瓿等。</w:t>
            </w:r>
          </w:p>
        </w:tc>
      </w:tr>
      <w:tr w14:paraId="5D0D305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restart"/>
            <w:tcBorders>
              <w:tl2br w:val="nil"/>
              <w:tr2bl w:val="nil"/>
            </w:tcBorders>
            <w:noWrap w:val="0"/>
            <w:vAlign w:val="center"/>
          </w:tcPr>
          <w:p w14:paraId="122D1D2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药物性废物</w:t>
            </w:r>
          </w:p>
        </w:tc>
        <w:tc>
          <w:tcPr>
            <w:tcW w:w="1689" w:type="dxa"/>
            <w:vMerge w:val="restart"/>
            <w:tcBorders>
              <w:tl2br w:val="nil"/>
              <w:tr2bl w:val="nil"/>
            </w:tcBorders>
            <w:noWrap w:val="0"/>
            <w:vAlign w:val="center"/>
          </w:tcPr>
          <w:p w14:paraId="72E7123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过期、淘汰、变质或者被污染的废弃的药品</w:t>
            </w:r>
          </w:p>
        </w:tc>
        <w:tc>
          <w:tcPr>
            <w:tcW w:w="5382" w:type="dxa"/>
            <w:tcBorders>
              <w:tl2br w:val="nil"/>
              <w:tr2bl w:val="nil"/>
            </w:tcBorders>
            <w:noWrap w:val="0"/>
            <w:vAlign w:val="center"/>
          </w:tcPr>
          <w:p w14:paraId="5A23CA68">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废弃的一般性药品。</w:t>
            </w:r>
          </w:p>
        </w:tc>
      </w:tr>
      <w:tr w14:paraId="4C827C1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715B4466">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5C8558B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7CE04FF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废弃的细胞毒性药物和遗传毒性药物；可疑致癌性药物。</w:t>
            </w:r>
          </w:p>
        </w:tc>
      </w:tr>
      <w:tr w14:paraId="18792BE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368C903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3139A4A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3D4B87C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废弃的疫苗、血液制品等。</w:t>
            </w:r>
          </w:p>
        </w:tc>
      </w:tr>
      <w:tr w14:paraId="6AA97C7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restart"/>
            <w:tcBorders>
              <w:tl2br w:val="nil"/>
              <w:tr2bl w:val="nil"/>
            </w:tcBorders>
            <w:noWrap w:val="0"/>
            <w:vAlign w:val="center"/>
          </w:tcPr>
          <w:p w14:paraId="31AAB4F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化学性废物</w:t>
            </w:r>
          </w:p>
        </w:tc>
        <w:tc>
          <w:tcPr>
            <w:tcW w:w="1689" w:type="dxa"/>
            <w:vMerge w:val="restart"/>
            <w:tcBorders>
              <w:tl2br w:val="nil"/>
              <w:tr2bl w:val="nil"/>
            </w:tcBorders>
            <w:noWrap w:val="0"/>
            <w:vAlign w:val="center"/>
          </w:tcPr>
          <w:p w14:paraId="7857C59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具有毒性、腐蚀性、易燃易爆性的废弃的化学物品</w:t>
            </w:r>
          </w:p>
        </w:tc>
        <w:tc>
          <w:tcPr>
            <w:tcW w:w="5382" w:type="dxa"/>
            <w:tcBorders>
              <w:tl2br w:val="nil"/>
              <w:tr2bl w:val="nil"/>
            </w:tcBorders>
            <w:noWrap w:val="0"/>
            <w:vAlign w:val="center"/>
          </w:tcPr>
          <w:p w14:paraId="4DC8376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医学影像室、化验室废弃的化学试剂。</w:t>
            </w:r>
          </w:p>
        </w:tc>
      </w:tr>
      <w:tr w14:paraId="7D1B75B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928" w:type="dxa"/>
            <w:vMerge w:val="continue"/>
            <w:tcBorders>
              <w:tl2br w:val="nil"/>
              <w:tr2bl w:val="nil"/>
            </w:tcBorders>
            <w:noWrap w:val="0"/>
            <w:vAlign w:val="center"/>
          </w:tcPr>
          <w:p w14:paraId="63962936">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5ACF730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591BF398">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废弃的过氧乙酸、戊二醛等化学消毒剂。</w:t>
            </w:r>
          </w:p>
        </w:tc>
      </w:tr>
      <w:tr w14:paraId="43D4996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3" w:hRule="atLeast"/>
          <w:jc w:val="center"/>
        </w:trPr>
        <w:tc>
          <w:tcPr>
            <w:tcW w:w="928" w:type="dxa"/>
            <w:vMerge w:val="continue"/>
            <w:tcBorders>
              <w:tl2br w:val="nil"/>
              <w:tr2bl w:val="nil"/>
            </w:tcBorders>
            <w:noWrap w:val="0"/>
            <w:vAlign w:val="center"/>
          </w:tcPr>
          <w:p w14:paraId="7E9CD65A">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1689" w:type="dxa"/>
            <w:vMerge w:val="continue"/>
            <w:tcBorders>
              <w:tl2br w:val="nil"/>
              <w:tr2bl w:val="nil"/>
            </w:tcBorders>
            <w:noWrap w:val="0"/>
            <w:vAlign w:val="center"/>
          </w:tcPr>
          <w:p w14:paraId="6399E8D5">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p>
        </w:tc>
        <w:tc>
          <w:tcPr>
            <w:tcW w:w="5382" w:type="dxa"/>
            <w:tcBorders>
              <w:tl2br w:val="nil"/>
              <w:tr2bl w:val="nil"/>
            </w:tcBorders>
            <w:noWrap w:val="0"/>
            <w:vAlign w:val="center"/>
          </w:tcPr>
          <w:p w14:paraId="23E4A7C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废弃的汞血压计、汞温度计。</w:t>
            </w:r>
          </w:p>
        </w:tc>
      </w:tr>
    </w:tbl>
    <w:p w14:paraId="12D4C0A8">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类比同类项目，本项目产生的医疗</w:t>
      </w:r>
      <w:r>
        <w:rPr>
          <w:rFonts w:hint="default" w:ascii="Times New Roman" w:hAnsi="Times New Roman" w:eastAsia="宋体" w:cs="Times New Roman"/>
          <w:color w:val="auto"/>
          <w:sz w:val="24"/>
          <w:szCs w:val="24"/>
          <w:lang w:val="en-US" w:eastAsia="zh-CN"/>
        </w:rPr>
        <w:t>废物</w:t>
      </w:r>
      <w:r>
        <w:rPr>
          <w:rFonts w:hint="default" w:ascii="Times New Roman" w:hAnsi="Times New Roman" w:eastAsia="宋体" w:cs="Times New Roman"/>
          <w:color w:val="auto"/>
          <w:sz w:val="24"/>
          <w:szCs w:val="24"/>
        </w:rPr>
        <w:t>按0.5kg/床·d计，本项目</w:t>
      </w:r>
      <w:r>
        <w:rPr>
          <w:rFonts w:hint="default" w:ascii="Times New Roman" w:hAnsi="Times New Roman" w:eastAsia="宋体" w:cs="Times New Roman"/>
          <w:color w:val="auto"/>
          <w:sz w:val="24"/>
          <w:szCs w:val="24"/>
          <w:lang w:eastAsia="zh-CN"/>
        </w:rPr>
        <w:t>设置</w:t>
      </w:r>
      <w:r>
        <w:rPr>
          <w:rFonts w:hint="default" w:ascii="Times New Roman" w:hAnsi="Times New Roman" w:eastAsia="宋体" w:cs="Times New Roman"/>
          <w:color w:val="auto"/>
          <w:sz w:val="24"/>
          <w:szCs w:val="24"/>
          <w:lang w:val="en-US" w:eastAsia="zh-CN"/>
        </w:rPr>
        <w:t>1100</w:t>
      </w:r>
      <w:r>
        <w:rPr>
          <w:rFonts w:hint="default" w:ascii="Times New Roman" w:hAnsi="Times New Roman" w:eastAsia="宋体" w:cs="Times New Roman"/>
          <w:color w:val="auto"/>
          <w:sz w:val="24"/>
          <w:szCs w:val="24"/>
        </w:rPr>
        <w:t>张床位，则项目医疗</w:t>
      </w:r>
      <w:r>
        <w:rPr>
          <w:rFonts w:hint="default" w:ascii="Times New Roman" w:hAnsi="Times New Roman" w:eastAsia="宋体" w:cs="Times New Roman"/>
          <w:color w:val="auto"/>
          <w:sz w:val="24"/>
          <w:szCs w:val="24"/>
          <w:lang w:val="en-US" w:eastAsia="zh-CN"/>
        </w:rPr>
        <w:t>废物</w:t>
      </w:r>
      <w:r>
        <w:rPr>
          <w:rFonts w:hint="default" w:ascii="Times New Roman" w:hAnsi="Times New Roman" w:eastAsia="宋体" w:cs="Times New Roman"/>
          <w:color w:val="auto"/>
          <w:sz w:val="24"/>
          <w:szCs w:val="24"/>
        </w:rPr>
        <w:t>产生量为</w:t>
      </w:r>
      <w:r>
        <w:rPr>
          <w:rFonts w:hint="default" w:ascii="Times New Roman" w:hAnsi="Times New Roman" w:eastAsia="宋体" w:cs="Times New Roman"/>
          <w:color w:val="auto"/>
          <w:sz w:val="24"/>
          <w:szCs w:val="24"/>
          <w:lang w:val="en-US" w:eastAsia="zh-CN"/>
        </w:rPr>
        <w:t>550kg</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200.75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p>
    <w:p w14:paraId="12A2DD05">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医疗废物主要分为感染性废物、病理性废物、损伤性废物、药物性废物、化学性废物共5类。其中感染性废物和损伤性废物占医疗废物总量的93%～96%，病理性废物、药物性废物、化学性废物约占医疗废物的4%～7%，分类详见表</w:t>
      </w:r>
      <w:r>
        <w:rPr>
          <w:rFonts w:hint="default" w:ascii="Times New Roman" w:hAnsi="Times New Roman" w:eastAsia="宋体" w:cs="Times New Roman"/>
          <w:color w:val="auto"/>
          <w:sz w:val="24"/>
          <w:szCs w:val="24"/>
          <w:lang w:val="en-US" w:eastAsia="zh-CN"/>
        </w:rPr>
        <w:t>3.2-1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p>
    <w:p w14:paraId="5CD0F895">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表3.2-1</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医疗废物分类及产生情况一览表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38"/>
        <w:gridCol w:w="2839"/>
      </w:tblGrid>
      <w:tr w14:paraId="30F52D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shd w:val="clear" w:color="auto" w:fill="D7D7D7" w:themeFill="background1" w:themeFillShade="D8"/>
            <w:noWrap w:val="0"/>
            <w:vAlign w:val="top"/>
          </w:tcPr>
          <w:p w14:paraId="61B7F10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类别</w:t>
            </w:r>
          </w:p>
        </w:tc>
        <w:tc>
          <w:tcPr>
            <w:tcW w:w="1666" w:type="pct"/>
            <w:shd w:val="clear" w:color="auto" w:fill="D7D7D7" w:themeFill="background1" w:themeFillShade="D8"/>
            <w:noWrap w:val="0"/>
            <w:vAlign w:val="top"/>
          </w:tcPr>
          <w:p w14:paraId="0394090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所占比例/%</w:t>
            </w:r>
          </w:p>
        </w:tc>
        <w:tc>
          <w:tcPr>
            <w:tcW w:w="1666" w:type="pct"/>
            <w:shd w:val="clear" w:color="auto" w:fill="D7D7D7" w:themeFill="background1" w:themeFillShade="D8"/>
            <w:noWrap w:val="0"/>
            <w:vAlign w:val="top"/>
          </w:tcPr>
          <w:p w14:paraId="6E234FB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产生量t/a</w:t>
            </w:r>
          </w:p>
        </w:tc>
      </w:tr>
      <w:tr w14:paraId="2B3E2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4BC7C4D9">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感染性废物</w:t>
            </w:r>
          </w:p>
        </w:tc>
        <w:tc>
          <w:tcPr>
            <w:tcW w:w="1666" w:type="pct"/>
            <w:noWrap w:val="0"/>
            <w:vAlign w:val="top"/>
          </w:tcPr>
          <w:p w14:paraId="11DAD10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666" w:type="pct"/>
            <w:noWrap w:val="0"/>
            <w:vAlign w:val="top"/>
          </w:tcPr>
          <w:p w14:paraId="3BB059B4">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120.45</w:t>
            </w:r>
          </w:p>
        </w:tc>
      </w:tr>
      <w:tr w14:paraId="4D1DC5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2630ABC4">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病理性废物</w:t>
            </w:r>
          </w:p>
        </w:tc>
        <w:tc>
          <w:tcPr>
            <w:tcW w:w="1666" w:type="pct"/>
            <w:noWrap w:val="0"/>
            <w:vAlign w:val="top"/>
          </w:tcPr>
          <w:p w14:paraId="1182F5E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666" w:type="pct"/>
            <w:noWrap w:val="0"/>
            <w:vAlign w:val="top"/>
          </w:tcPr>
          <w:p w14:paraId="458AEE7F">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10.04</w:t>
            </w:r>
          </w:p>
        </w:tc>
      </w:tr>
      <w:tr w14:paraId="17EC9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67C5CE7B">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损伤性废物</w:t>
            </w:r>
          </w:p>
        </w:tc>
        <w:tc>
          <w:tcPr>
            <w:tcW w:w="1666" w:type="pct"/>
            <w:noWrap w:val="0"/>
            <w:vAlign w:val="top"/>
          </w:tcPr>
          <w:p w14:paraId="53DBA9D0">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w:t>
            </w:r>
          </w:p>
        </w:tc>
        <w:tc>
          <w:tcPr>
            <w:tcW w:w="1666" w:type="pct"/>
            <w:noWrap w:val="0"/>
            <w:vAlign w:val="top"/>
          </w:tcPr>
          <w:p w14:paraId="72511734">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66.25</w:t>
            </w:r>
          </w:p>
        </w:tc>
      </w:tr>
      <w:tr w14:paraId="63B9A5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32F27892">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药物性废物</w:t>
            </w:r>
          </w:p>
        </w:tc>
        <w:tc>
          <w:tcPr>
            <w:tcW w:w="1666" w:type="pct"/>
            <w:noWrap w:val="0"/>
            <w:vAlign w:val="top"/>
          </w:tcPr>
          <w:p w14:paraId="77D0056A">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666" w:type="pct"/>
            <w:noWrap w:val="0"/>
            <w:vAlign w:val="top"/>
          </w:tcPr>
          <w:p w14:paraId="5C1EE3EE">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3.011</w:t>
            </w:r>
          </w:p>
        </w:tc>
      </w:tr>
      <w:tr w14:paraId="2574F4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1D94D691">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化学性废物</w:t>
            </w:r>
          </w:p>
        </w:tc>
        <w:tc>
          <w:tcPr>
            <w:tcW w:w="1666" w:type="pct"/>
            <w:noWrap w:val="0"/>
            <w:vAlign w:val="top"/>
          </w:tcPr>
          <w:p w14:paraId="3ED857A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1666" w:type="pct"/>
            <w:noWrap w:val="0"/>
            <w:vAlign w:val="top"/>
          </w:tcPr>
          <w:p w14:paraId="41BBD0ED">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r>
      <w:tr w14:paraId="02913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top"/>
          </w:tcPr>
          <w:p w14:paraId="2FDF923C">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合计</w:t>
            </w:r>
          </w:p>
        </w:tc>
        <w:tc>
          <w:tcPr>
            <w:tcW w:w="1666" w:type="pct"/>
            <w:noWrap w:val="0"/>
            <w:vAlign w:val="top"/>
          </w:tcPr>
          <w:p w14:paraId="2F50D467">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1666" w:type="pct"/>
            <w:noWrap w:val="0"/>
            <w:vAlign w:val="top"/>
          </w:tcPr>
          <w:p w14:paraId="1869DB18">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200.75</w:t>
            </w:r>
          </w:p>
        </w:tc>
      </w:tr>
    </w:tbl>
    <w:p w14:paraId="77BB0677">
      <w:pPr>
        <w:spacing w:line="360" w:lineRule="auto"/>
        <w:ind w:firstLine="440" w:firstLineChars="200"/>
        <w:rPr>
          <w:rFonts w:hint="default" w:ascii="Times New Roman" w:hAnsi="Times New Roman" w:eastAsia="宋体" w:cs="Times New Roman"/>
          <w:bCs/>
          <w:color w:val="auto"/>
          <w:sz w:val="22"/>
          <w:szCs w:val="22"/>
          <w:highlight w:val="yellow"/>
          <w:lang w:eastAsia="zh-CN"/>
        </w:rPr>
      </w:pPr>
      <w:r>
        <w:rPr>
          <w:rFonts w:hint="default" w:ascii="Times New Roman" w:hAnsi="Times New Roman" w:eastAsia="宋体" w:cs="Times New Roman"/>
          <w:color w:val="auto"/>
          <w:sz w:val="22"/>
          <w:szCs w:val="22"/>
          <w:lang w:eastAsia="zh-CN"/>
        </w:rPr>
        <w:t>医疗废物属于《国家危险废物名录》（2021版）废物类别为：HW01 医疗废物，感染性废物代号为：831-001-01，损伤性废物代号为：831-002-01，病理性废物代号为：831-003-01，化学性废物代号为：831-004-01，药物性废物代号为：831-005-01。</w:t>
      </w:r>
    </w:p>
    <w:p w14:paraId="604A34A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lang w:val="en-US" w:eastAsia="zh-CN"/>
        </w:rPr>
        <w:t>项目医疗固废应置于专用容器收集（多采用专用医疗垃圾收集桶），暂存于医疗废物暂存间内，医疗废物暂存间应设置明显警示标识，由有资质的单位定期清运并负责处理处置，医疗废物暂时贮存的时间不得超过2天。</w:t>
      </w:r>
    </w:p>
    <w:p w14:paraId="38E5851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24" w:name="_Toc22852"/>
      <w:bookmarkStart w:id="1425" w:name="_Toc4711"/>
      <w:bookmarkStart w:id="1426" w:name="_Toc25927"/>
      <w:bookmarkStart w:id="1427" w:name="_Toc16662"/>
      <w:bookmarkStart w:id="1428" w:name="_Toc2581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②污水站污泥</w:t>
      </w:r>
      <w:bookmarkEnd w:id="1424"/>
      <w:bookmarkEnd w:id="1425"/>
      <w:bookmarkEnd w:id="1426"/>
      <w:bookmarkEnd w:id="1427"/>
      <w:bookmarkEnd w:id="1428"/>
    </w:p>
    <w:p w14:paraId="419BB972">
      <w:pPr>
        <w:spacing w:line="360" w:lineRule="auto"/>
        <w:ind w:firstLine="480" w:firstLineChars="200"/>
        <w:rPr>
          <w:rFonts w:hint="default" w:ascii="Times New Roman" w:hAnsi="Times New Roman" w:eastAsia="宋体" w:cs="Times New Roman"/>
          <w:bCs/>
          <w:color w:val="auto"/>
          <w:sz w:val="24"/>
          <w:szCs w:val="24"/>
          <w:highlight w:val="yellow"/>
          <w:lang w:val="en-US" w:eastAsia="zh-CN"/>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污水处理站进水悬浮物浓度为</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0mg/L，排放浓度为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mg/L，污泥含水率约</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0%，则污泥产生量</w:t>
      </w:r>
      <w:r>
        <w:rPr>
          <w:rFonts w:hint="eastAsia" w:ascii="Times New Roman" w:hAnsi="Times New Roman" w:eastAsia="宋体" w:cs="Times New Roman"/>
          <w:color w:val="auto"/>
          <w:sz w:val="24"/>
          <w:szCs w:val="24"/>
          <w:highlight w:val="none"/>
          <w:lang w:val="en-US" w:eastAsia="zh-CN"/>
        </w:rPr>
        <w:t>5.84</w:t>
      </w:r>
      <w:r>
        <w:rPr>
          <w:rFonts w:hint="default" w:ascii="Times New Roman" w:hAnsi="Times New Roman" w:eastAsia="宋体" w:cs="Times New Roman"/>
          <w:color w:val="auto"/>
          <w:sz w:val="24"/>
          <w:szCs w:val="24"/>
          <w:highlight w:val="none"/>
        </w:rPr>
        <w:t>t/a，根据《医疗机构水污染物排放标准》（GB18466-2005）中表4医疗机构污泥控制标准的要求处置，其属于《国家危险废物名录》（2021版）废物类别为：HW01 医疗废物，感染性废物代号为：831-001-01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暂存于医废暂存间，定期交由中节能（攀枝花）清洁技术发展有限公司处</w:t>
      </w:r>
      <w:r>
        <w:rPr>
          <w:rFonts w:hint="default" w:ascii="Times New Roman" w:hAnsi="Times New Roman" w:eastAsia="宋体" w:cs="Times New Roman"/>
          <w:color w:val="auto"/>
          <w:sz w:val="24"/>
          <w:szCs w:val="24"/>
          <w:lang w:val="en-US" w:eastAsia="zh-CN"/>
        </w:rPr>
        <w:t>置。</w:t>
      </w:r>
    </w:p>
    <w:p w14:paraId="49C88C4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29" w:name="_Toc6292"/>
      <w:bookmarkStart w:id="1430" w:name="_Toc16014"/>
      <w:bookmarkStart w:id="1431" w:name="_Toc22037"/>
      <w:bookmarkStart w:id="1432" w:name="_Toc22698"/>
      <w:bookmarkStart w:id="1433" w:name="_Toc1278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③废活性炭</w:t>
      </w:r>
      <w:bookmarkEnd w:id="1429"/>
      <w:bookmarkEnd w:id="1430"/>
      <w:bookmarkEnd w:id="1431"/>
      <w:bookmarkEnd w:id="1432"/>
      <w:bookmarkEnd w:id="1433"/>
    </w:p>
    <w:p w14:paraId="3A963D5B">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项目废活性炭主要来源于废水站和吸引设备对废气吸附处理过程。项目废水站密闭设置，臭气抽吸后经紫外线消毒系统+活性炭吸附系统处理后有组织排放。</w:t>
      </w:r>
    </w:p>
    <w:p w14:paraId="4B16936A">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废水处理系统废气处理设施中活性炭填充量约1.5t，半年更换一次；医疗废气处理系统中活性炭填充量约0.5t，半年更换一次；项目废活性炭产生量约为4t/a，废活性炭作为危废集中收集后交有资质单位处置。</w:t>
      </w:r>
    </w:p>
    <w:p w14:paraId="659D1467">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34" w:name="_Toc25887"/>
      <w:bookmarkStart w:id="1435" w:name="_Toc19795"/>
      <w:bookmarkStart w:id="1436" w:name="_Toc26980"/>
      <w:bookmarkStart w:id="1437" w:name="_Toc32344"/>
      <w:bookmarkStart w:id="1438" w:name="_Toc2215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④废弃紫外线灯管</w:t>
      </w:r>
      <w:bookmarkEnd w:id="1434"/>
      <w:bookmarkEnd w:id="1435"/>
      <w:bookmarkEnd w:id="1436"/>
      <w:bookmarkEnd w:id="1437"/>
      <w:bookmarkEnd w:id="143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 </w:t>
      </w:r>
    </w:p>
    <w:p w14:paraId="66204E8C">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本项目废气治理过程采用的紫外消毒设备灯管定期更换所产生的废UV灯管，产生量约为0.</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t/a。</w:t>
      </w:r>
      <w:r>
        <w:rPr>
          <w:rFonts w:hint="default" w:ascii="Times New Roman" w:hAnsi="Times New Roman" w:eastAsia="宋体" w:cs="Times New Roman"/>
          <w:bCs/>
          <w:color w:val="auto"/>
          <w:sz w:val="24"/>
          <w:szCs w:val="24"/>
          <w:highlight w:val="none"/>
          <w:lang w:val="en-US" w:eastAsia="zh-CN"/>
        </w:rPr>
        <w:t>属于</w:t>
      </w:r>
      <w:r>
        <w:rPr>
          <w:rFonts w:hint="default" w:ascii="Times New Roman" w:hAnsi="Times New Roman" w:eastAsia="宋体" w:cs="Times New Roman"/>
          <w:bCs/>
          <w:color w:val="auto"/>
          <w:sz w:val="24"/>
          <w:szCs w:val="24"/>
          <w:highlight w:val="none"/>
          <w:lang w:eastAsia="zh-CN"/>
        </w:rPr>
        <w:t>《国家危险废物名录》（2021年）</w:t>
      </w:r>
      <w:r>
        <w:rPr>
          <w:rFonts w:hint="default" w:ascii="Times New Roman" w:hAnsi="Times New Roman" w:eastAsia="宋体" w:cs="Times New Roman"/>
          <w:bCs/>
          <w:color w:val="auto"/>
          <w:sz w:val="24"/>
          <w:szCs w:val="24"/>
          <w:highlight w:val="none"/>
          <w:lang w:val="en-US" w:eastAsia="zh-CN"/>
        </w:rPr>
        <w:t>中</w:t>
      </w:r>
      <w:r>
        <w:rPr>
          <w:rFonts w:hint="default" w:ascii="Times New Roman" w:hAnsi="Times New Roman" w:eastAsia="宋体" w:cs="Times New Roman"/>
          <w:bCs/>
          <w:color w:val="auto"/>
          <w:sz w:val="24"/>
          <w:szCs w:val="24"/>
          <w:highlight w:val="none"/>
          <w:lang w:eastAsia="zh-CN"/>
        </w:rPr>
        <w:t>“HW29含汞废物900-023-29生产、销售及使用过程中产生的废含汞荧光灯管及其他废含汞电光源，及废弃含汞电光源处理处置过程中产生的废荧光粉、废活性炭和废水处理污泥”，产生的废UV灯管</w:t>
      </w:r>
      <w:r>
        <w:rPr>
          <w:rFonts w:hint="default" w:ascii="Times New Roman" w:hAnsi="Times New Roman" w:eastAsia="宋体" w:cs="Times New Roman"/>
          <w:bCs/>
          <w:color w:val="auto"/>
          <w:sz w:val="24"/>
          <w:szCs w:val="24"/>
          <w:highlight w:val="none"/>
          <w:lang w:val="en-US" w:eastAsia="zh-CN"/>
        </w:rPr>
        <w:t>暂存于危废暂存间，</w:t>
      </w:r>
      <w:r>
        <w:rPr>
          <w:rFonts w:hint="default" w:ascii="Times New Roman" w:hAnsi="Times New Roman" w:eastAsia="宋体" w:cs="Times New Roman"/>
          <w:bCs/>
          <w:color w:val="auto"/>
          <w:sz w:val="24"/>
          <w:szCs w:val="24"/>
          <w:highlight w:val="none"/>
          <w:lang w:eastAsia="zh-CN"/>
        </w:rPr>
        <w:t>定期交由有资质单位处置。</w:t>
      </w:r>
    </w:p>
    <w:p w14:paraId="72FA2A6D">
      <w:pPr>
        <w:spacing w:line="360" w:lineRule="auto"/>
        <w:ind w:firstLine="480" w:firstLineChars="200"/>
        <w:outlineLvl w:val="1"/>
        <w:rPr>
          <w:rFonts w:hint="default" w:ascii="Times New Roman" w:hAnsi="Times New Roman" w:eastAsia="宋体" w:cs="Times New Roman"/>
          <w:color w:val="auto"/>
          <w:sz w:val="24"/>
          <w:szCs w:val="24"/>
          <w:highlight w:val="none"/>
          <w:lang w:eastAsia="zh-CN"/>
        </w:rPr>
      </w:pPr>
      <w:bookmarkStart w:id="1439" w:name="_Toc14134"/>
      <w:bookmarkStart w:id="1440" w:name="_Toc12787"/>
      <w:bookmarkStart w:id="1441" w:name="_Toc4148"/>
      <w:bookmarkStart w:id="1442" w:name="_Toc4915"/>
      <w:bookmarkStart w:id="1443" w:name="_Toc23866"/>
      <w:r>
        <w:rPr>
          <w:rFonts w:hint="default" w:ascii="Times New Roman" w:hAnsi="Times New Roman" w:eastAsia="宋体" w:cs="Times New Roman"/>
          <w:b w:val="0"/>
          <w:bCs w:val="0"/>
          <w:color w:val="auto"/>
          <w:kern w:val="0"/>
          <w:sz w:val="24"/>
          <w:szCs w:val="24"/>
          <w:lang w:val="en-US" w:eastAsia="zh-CN" w:bidi="ar"/>
        </w:rPr>
        <w:t>⑤</w:t>
      </w:r>
      <w:r>
        <w:rPr>
          <w:rFonts w:hint="default" w:ascii="Times New Roman" w:hAnsi="Times New Roman" w:eastAsia="宋体" w:cs="Times New Roman"/>
          <w:b w:val="0"/>
          <w:bCs w:val="0"/>
          <w:color w:val="auto"/>
          <w:sz w:val="24"/>
          <w:szCs w:val="24"/>
          <w:highlight w:val="none"/>
          <w:lang w:val="en-US" w:eastAsia="zh-CN"/>
        </w:rPr>
        <w:t>排风系</w:t>
      </w:r>
      <w:r>
        <w:rPr>
          <w:rFonts w:hint="default" w:ascii="Times New Roman" w:hAnsi="Times New Roman" w:eastAsia="宋体" w:cs="Times New Roman"/>
          <w:color w:val="auto"/>
          <w:sz w:val="24"/>
          <w:szCs w:val="24"/>
          <w:highlight w:val="none"/>
          <w:lang w:val="en-US" w:eastAsia="zh-CN"/>
        </w:rPr>
        <w:t>统更换的滤芯</w:t>
      </w:r>
      <w:bookmarkEnd w:id="1439"/>
      <w:bookmarkEnd w:id="1440"/>
      <w:bookmarkEnd w:id="1441"/>
      <w:bookmarkEnd w:id="1442"/>
      <w:bookmarkEnd w:id="1443"/>
    </w:p>
    <w:p w14:paraId="1E868F8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排风系统的滤芯主要功能为过滤器滤芯属于“HW49其他废物中的900-041-49含有或沾染毒性、感染性危险废物的废弃包装物、容器、过滤吸附介质”。滤芯全年更换量约为0.1t/a，产生的排风系统更换的滤芯</w:t>
      </w:r>
      <w:r>
        <w:rPr>
          <w:rFonts w:hint="default" w:ascii="Times New Roman" w:hAnsi="Times New Roman" w:eastAsia="宋体" w:cs="Times New Roman"/>
          <w:bCs/>
          <w:color w:val="auto"/>
          <w:sz w:val="24"/>
          <w:szCs w:val="24"/>
          <w:highlight w:val="none"/>
          <w:lang w:val="en-US" w:eastAsia="zh-CN"/>
        </w:rPr>
        <w:t>暂存于危废暂存间，</w:t>
      </w:r>
      <w:r>
        <w:rPr>
          <w:rFonts w:hint="default" w:ascii="Times New Roman" w:hAnsi="Times New Roman" w:eastAsia="宋体" w:cs="Times New Roman"/>
          <w:color w:val="auto"/>
          <w:sz w:val="24"/>
          <w:szCs w:val="24"/>
          <w:highlight w:val="none"/>
          <w:lang w:val="en-US" w:eastAsia="zh-CN"/>
        </w:rPr>
        <w:t>定期交由有资质单位处置。</w:t>
      </w:r>
    </w:p>
    <w:p w14:paraId="3AE39F9E">
      <w:pPr>
        <w:rPr>
          <w:rFonts w:hint="default" w:ascii="Times New Roman" w:hAnsi="Times New Roman" w:eastAsia="宋体" w:cs="Times New Roman"/>
          <w:color w:val="auto"/>
          <w:sz w:val="24"/>
          <w:szCs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color w:val="auto"/>
          <w:sz w:val="24"/>
          <w:szCs w:val="24"/>
          <w:highlight w:val="none"/>
          <w:lang w:val="en-US" w:eastAsia="zh-CN"/>
        </w:rPr>
        <w:br w:type="page"/>
      </w:r>
    </w:p>
    <w:p w14:paraId="5A8BE193">
      <w:pPr>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表3.2-1</w:t>
      </w:r>
      <w:r>
        <w:rPr>
          <w:rFonts w:hint="eastAsia" w:ascii="Times New Roman" w:hAnsi="Times New Roman" w:eastAsia="宋体" w:cs="Times New Roman"/>
          <w:b/>
          <w:bCs/>
          <w:color w:val="auto"/>
          <w:lang w:val="en-US" w:eastAsia="zh-CN"/>
        </w:rPr>
        <w:t xml:space="preserve">5 </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项目运营期固体废物产排情况一览表</w:t>
      </w:r>
    </w:p>
    <w:tbl>
      <w:tblPr>
        <w:tblStyle w:val="20"/>
        <w:tblW w:w="138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85"/>
        <w:gridCol w:w="1897"/>
        <w:gridCol w:w="1330"/>
        <w:gridCol w:w="769"/>
        <w:gridCol w:w="1101"/>
        <w:gridCol w:w="945"/>
        <w:gridCol w:w="795"/>
        <w:gridCol w:w="1117"/>
        <w:gridCol w:w="2016"/>
        <w:gridCol w:w="1350"/>
      </w:tblGrid>
      <w:tr w14:paraId="540A57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41" w:type="dxa"/>
            <w:shd w:val="clear" w:color="auto" w:fill="D7D7D7" w:themeFill="background1" w:themeFillShade="D8"/>
            <w:noWrap w:val="0"/>
            <w:vAlign w:val="center"/>
          </w:tcPr>
          <w:p w14:paraId="7C46B8D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w:t>
            </w:r>
            <w:r>
              <w:rPr>
                <w:rFonts w:hint="default" w:ascii="Times New Roman" w:hAnsi="Times New Roman" w:eastAsia="宋体" w:cs="Times New Roman"/>
                <w:b/>
                <w:color w:val="auto"/>
                <w:szCs w:val="21"/>
                <w:highlight w:val="none"/>
                <w:lang w:eastAsia="zh-CN"/>
              </w:rPr>
              <w:t>污</w:t>
            </w:r>
            <w:r>
              <w:rPr>
                <w:rFonts w:hint="default" w:ascii="Times New Roman" w:hAnsi="Times New Roman" w:eastAsia="宋体" w:cs="Times New Roman"/>
                <w:b/>
                <w:color w:val="auto"/>
                <w:szCs w:val="21"/>
                <w:highlight w:val="none"/>
              </w:rPr>
              <w:t>环节</w:t>
            </w:r>
          </w:p>
        </w:tc>
        <w:tc>
          <w:tcPr>
            <w:tcW w:w="1285" w:type="dxa"/>
            <w:shd w:val="clear" w:color="auto" w:fill="D7D7D7" w:themeFill="background1" w:themeFillShade="D8"/>
            <w:noWrap w:val="0"/>
            <w:vAlign w:val="center"/>
          </w:tcPr>
          <w:p w14:paraId="166D32A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1897" w:type="dxa"/>
            <w:shd w:val="clear" w:color="auto" w:fill="D7D7D7" w:themeFill="background1" w:themeFillShade="D8"/>
            <w:noWrap w:val="0"/>
            <w:vAlign w:val="center"/>
          </w:tcPr>
          <w:p w14:paraId="44681E9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属性</w:t>
            </w:r>
          </w:p>
        </w:tc>
        <w:tc>
          <w:tcPr>
            <w:tcW w:w="1330" w:type="dxa"/>
            <w:shd w:val="clear" w:color="auto" w:fill="D7D7D7" w:themeFill="background1" w:themeFillShade="D8"/>
            <w:noWrap w:val="0"/>
            <w:vAlign w:val="center"/>
          </w:tcPr>
          <w:p w14:paraId="499E03C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主要有毒有害物质名称</w:t>
            </w:r>
          </w:p>
        </w:tc>
        <w:tc>
          <w:tcPr>
            <w:tcW w:w="769" w:type="dxa"/>
            <w:shd w:val="clear" w:color="auto" w:fill="D7D7D7" w:themeFill="background1" w:themeFillShade="D8"/>
            <w:noWrap w:val="0"/>
            <w:vAlign w:val="center"/>
          </w:tcPr>
          <w:p w14:paraId="2702C0F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物理</w:t>
            </w:r>
          </w:p>
          <w:p w14:paraId="6A6FF12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性状</w:t>
            </w:r>
          </w:p>
        </w:tc>
        <w:tc>
          <w:tcPr>
            <w:tcW w:w="1101" w:type="dxa"/>
            <w:shd w:val="clear" w:color="auto" w:fill="D7D7D7" w:themeFill="background1" w:themeFillShade="D8"/>
            <w:noWrap w:val="0"/>
            <w:vAlign w:val="center"/>
          </w:tcPr>
          <w:p w14:paraId="1B92C89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环境</w:t>
            </w:r>
          </w:p>
          <w:p w14:paraId="0CD7BC0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危险特性</w:t>
            </w:r>
          </w:p>
        </w:tc>
        <w:tc>
          <w:tcPr>
            <w:tcW w:w="945" w:type="dxa"/>
            <w:shd w:val="clear" w:color="auto" w:fill="D7D7D7" w:themeFill="background1" w:themeFillShade="D8"/>
            <w:noWrap w:val="0"/>
            <w:vAlign w:val="center"/>
          </w:tcPr>
          <w:p w14:paraId="64F21B6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年产生量t/a</w:t>
            </w:r>
          </w:p>
        </w:tc>
        <w:tc>
          <w:tcPr>
            <w:tcW w:w="795" w:type="dxa"/>
            <w:shd w:val="clear" w:color="auto" w:fill="D7D7D7" w:themeFill="background1" w:themeFillShade="D8"/>
            <w:noWrap w:val="0"/>
            <w:vAlign w:val="center"/>
          </w:tcPr>
          <w:p w14:paraId="2F25112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贮存</w:t>
            </w:r>
          </w:p>
          <w:p w14:paraId="15F13D4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方式</w:t>
            </w:r>
          </w:p>
        </w:tc>
        <w:tc>
          <w:tcPr>
            <w:tcW w:w="1117" w:type="dxa"/>
            <w:shd w:val="clear" w:color="auto" w:fill="D7D7D7" w:themeFill="background1" w:themeFillShade="D8"/>
            <w:noWrap w:val="0"/>
            <w:vAlign w:val="center"/>
          </w:tcPr>
          <w:p w14:paraId="6B65F21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利用处置方式</w:t>
            </w:r>
          </w:p>
        </w:tc>
        <w:tc>
          <w:tcPr>
            <w:tcW w:w="2016" w:type="dxa"/>
            <w:shd w:val="clear" w:color="auto" w:fill="D7D7D7" w:themeFill="background1" w:themeFillShade="D8"/>
            <w:noWrap w:val="0"/>
            <w:vAlign w:val="center"/>
          </w:tcPr>
          <w:p w14:paraId="39F0062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去向</w:t>
            </w:r>
          </w:p>
        </w:tc>
        <w:tc>
          <w:tcPr>
            <w:tcW w:w="1350" w:type="dxa"/>
            <w:shd w:val="clear" w:color="auto" w:fill="D7D7D7" w:themeFill="background1" w:themeFillShade="D8"/>
            <w:noWrap w:val="0"/>
            <w:vAlign w:val="center"/>
          </w:tcPr>
          <w:p w14:paraId="0B96D3C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利用或处置量t/a</w:t>
            </w:r>
          </w:p>
        </w:tc>
      </w:tr>
      <w:tr w14:paraId="51EFB1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41" w:type="dxa"/>
            <w:noWrap w:val="0"/>
            <w:vAlign w:val="center"/>
          </w:tcPr>
          <w:p w14:paraId="44DED13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生活办公</w:t>
            </w:r>
          </w:p>
        </w:tc>
        <w:tc>
          <w:tcPr>
            <w:tcW w:w="1285" w:type="dxa"/>
            <w:noWrap w:val="0"/>
            <w:vAlign w:val="center"/>
          </w:tcPr>
          <w:p w14:paraId="244A3D1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生活垃圾</w:t>
            </w:r>
          </w:p>
        </w:tc>
        <w:tc>
          <w:tcPr>
            <w:tcW w:w="1897" w:type="dxa"/>
            <w:noWrap w:val="0"/>
            <w:vAlign w:val="center"/>
          </w:tcPr>
          <w:p w14:paraId="6FD908C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生活垃圾</w:t>
            </w:r>
          </w:p>
        </w:tc>
        <w:tc>
          <w:tcPr>
            <w:tcW w:w="1330" w:type="dxa"/>
            <w:noWrap w:val="0"/>
            <w:vAlign w:val="center"/>
          </w:tcPr>
          <w:p w14:paraId="068D90B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769" w:type="dxa"/>
            <w:noWrap w:val="0"/>
            <w:vAlign w:val="center"/>
          </w:tcPr>
          <w:p w14:paraId="0092F1B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2B7EC6C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945" w:type="dxa"/>
            <w:noWrap w:val="0"/>
            <w:vAlign w:val="center"/>
          </w:tcPr>
          <w:p w14:paraId="31C56F5F">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808.84</w:t>
            </w:r>
          </w:p>
        </w:tc>
        <w:tc>
          <w:tcPr>
            <w:tcW w:w="795" w:type="dxa"/>
            <w:noWrap w:val="0"/>
            <w:vAlign w:val="center"/>
          </w:tcPr>
          <w:p w14:paraId="6D590A6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117" w:type="dxa"/>
            <w:noWrap w:val="0"/>
            <w:vAlign w:val="center"/>
          </w:tcPr>
          <w:p w14:paraId="1310DFC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委托处置</w:t>
            </w:r>
          </w:p>
        </w:tc>
        <w:tc>
          <w:tcPr>
            <w:tcW w:w="2016" w:type="dxa"/>
            <w:noWrap w:val="0"/>
            <w:vAlign w:val="center"/>
          </w:tcPr>
          <w:p w14:paraId="612929E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环卫部门</w:t>
            </w:r>
          </w:p>
        </w:tc>
        <w:tc>
          <w:tcPr>
            <w:tcW w:w="1350" w:type="dxa"/>
            <w:noWrap w:val="0"/>
            <w:vAlign w:val="center"/>
          </w:tcPr>
          <w:p w14:paraId="37010605">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color w:val="auto"/>
                <w:szCs w:val="21"/>
                <w:highlight w:val="none"/>
                <w:lang w:val="en-US" w:eastAsia="zh-CN"/>
              </w:rPr>
              <w:t>808.84</w:t>
            </w:r>
          </w:p>
        </w:tc>
      </w:tr>
      <w:tr w14:paraId="405C8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41" w:type="dxa"/>
            <w:noWrap w:val="0"/>
            <w:vAlign w:val="center"/>
          </w:tcPr>
          <w:p w14:paraId="1A5DC74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食堂</w:t>
            </w:r>
          </w:p>
        </w:tc>
        <w:tc>
          <w:tcPr>
            <w:tcW w:w="1285" w:type="dxa"/>
            <w:noWrap w:val="0"/>
            <w:vAlign w:val="center"/>
          </w:tcPr>
          <w:p w14:paraId="07A7AD0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餐厨垃圾</w:t>
            </w:r>
          </w:p>
        </w:tc>
        <w:tc>
          <w:tcPr>
            <w:tcW w:w="1897" w:type="dxa"/>
            <w:noWrap w:val="0"/>
            <w:vAlign w:val="center"/>
          </w:tcPr>
          <w:p w14:paraId="5B2AE5B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生活垃圾</w:t>
            </w:r>
          </w:p>
        </w:tc>
        <w:tc>
          <w:tcPr>
            <w:tcW w:w="1330" w:type="dxa"/>
            <w:noWrap w:val="0"/>
            <w:vAlign w:val="center"/>
          </w:tcPr>
          <w:p w14:paraId="4B5A484A">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c>
          <w:tcPr>
            <w:tcW w:w="769" w:type="dxa"/>
            <w:noWrap w:val="0"/>
            <w:vAlign w:val="center"/>
          </w:tcPr>
          <w:p w14:paraId="443D35B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0BA56EA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c>
          <w:tcPr>
            <w:tcW w:w="945" w:type="dxa"/>
            <w:noWrap w:val="0"/>
            <w:vAlign w:val="center"/>
          </w:tcPr>
          <w:p w14:paraId="3A71DABB">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292</w:t>
            </w:r>
          </w:p>
        </w:tc>
        <w:tc>
          <w:tcPr>
            <w:tcW w:w="795" w:type="dxa"/>
            <w:noWrap w:val="0"/>
            <w:vAlign w:val="center"/>
          </w:tcPr>
          <w:p w14:paraId="106AFEE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w:t>
            </w:r>
          </w:p>
        </w:tc>
        <w:tc>
          <w:tcPr>
            <w:tcW w:w="1117" w:type="dxa"/>
            <w:noWrap w:val="0"/>
            <w:vAlign w:val="center"/>
          </w:tcPr>
          <w:p w14:paraId="5CC8F38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委托处置</w:t>
            </w:r>
          </w:p>
        </w:tc>
        <w:tc>
          <w:tcPr>
            <w:tcW w:w="2016" w:type="dxa"/>
            <w:noWrap w:val="0"/>
            <w:vAlign w:val="center"/>
          </w:tcPr>
          <w:p w14:paraId="054FBF6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交由</w:t>
            </w:r>
            <w:r>
              <w:rPr>
                <w:rFonts w:hint="eastAsia" w:ascii="Times New Roman" w:hAnsi="Times New Roman" w:eastAsia="宋体" w:cs="Times New Roman"/>
                <w:bCs/>
                <w:color w:val="auto"/>
                <w:szCs w:val="21"/>
                <w:highlight w:val="none"/>
                <w:lang w:val="en-US" w:eastAsia="zh-CN"/>
              </w:rPr>
              <w:t>专业</w:t>
            </w:r>
            <w:r>
              <w:rPr>
                <w:rFonts w:hint="default" w:ascii="Times New Roman" w:hAnsi="Times New Roman" w:eastAsia="宋体" w:cs="Times New Roman"/>
                <w:bCs/>
                <w:color w:val="auto"/>
                <w:szCs w:val="21"/>
                <w:highlight w:val="none"/>
                <w:lang w:eastAsia="zh-CN"/>
              </w:rPr>
              <w:t>单位进行收运、处置</w:t>
            </w:r>
          </w:p>
        </w:tc>
        <w:tc>
          <w:tcPr>
            <w:tcW w:w="1350" w:type="dxa"/>
            <w:noWrap w:val="0"/>
            <w:vAlign w:val="center"/>
          </w:tcPr>
          <w:p w14:paraId="1E5FFA89">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292</w:t>
            </w:r>
          </w:p>
        </w:tc>
      </w:tr>
      <w:tr w14:paraId="6F251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41" w:type="dxa"/>
            <w:noWrap w:val="0"/>
            <w:vAlign w:val="center"/>
          </w:tcPr>
          <w:p w14:paraId="77C7607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软水制取</w:t>
            </w:r>
          </w:p>
        </w:tc>
        <w:tc>
          <w:tcPr>
            <w:tcW w:w="1285" w:type="dxa"/>
            <w:noWrap w:val="0"/>
            <w:vAlign w:val="center"/>
          </w:tcPr>
          <w:p w14:paraId="6C3AC564">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废弃离子交换树脂</w:t>
            </w:r>
          </w:p>
        </w:tc>
        <w:tc>
          <w:tcPr>
            <w:tcW w:w="1897" w:type="dxa"/>
            <w:noWrap w:val="0"/>
            <w:vAlign w:val="center"/>
          </w:tcPr>
          <w:p w14:paraId="1A3210B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一般工业固体废物</w:t>
            </w:r>
          </w:p>
        </w:tc>
        <w:tc>
          <w:tcPr>
            <w:tcW w:w="1330" w:type="dxa"/>
            <w:noWrap w:val="0"/>
            <w:vAlign w:val="center"/>
          </w:tcPr>
          <w:p w14:paraId="084B71D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769" w:type="dxa"/>
            <w:noWrap w:val="0"/>
            <w:vAlign w:val="center"/>
          </w:tcPr>
          <w:p w14:paraId="30791258">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2EB3F8A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945" w:type="dxa"/>
            <w:noWrap w:val="0"/>
            <w:vAlign w:val="center"/>
          </w:tcPr>
          <w:p w14:paraId="09CFF3A4">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0.5</w:t>
            </w:r>
          </w:p>
        </w:tc>
        <w:tc>
          <w:tcPr>
            <w:tcW w:w="795" w:type="dxa"/>
            <w:noWrap w:val="0"/>
            <w:vAlign w:val="center"/>
          </w:tcPr>
          <w:p w14:paraId="5275714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117" w:type="dxa"/>
            <w:noWrap w:val="0"/>
            <w:vAlign w:val="center"/>
          </w:tcPr>
          <w:p w14:paraId="6D3F9C4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委托处置</w:t>
            </w:r>
          </w:p>
        </w:tc>
        <w:tc>
          <w:tcPr>
            <w:tcW w:w="2016" w:type="dxa"/>
            <w:noWrap w:val="0"/>
            <w:vAlign w:val="center"/>
          </w:tcPr>
          <w:p w14:paraId="26B5333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厂家回收</w:t>
            </w:r>
          </w:p>
        </w:tc>
        <w:tc>
          <w:tcPr>
            <w:tcW w:w="1350" w:type="dxa"/>
            <w:noWrap w:val="0"/>
            <w:vAlign w:val="center"/>
          </w:tcPr>
          <w:p w14:paraId="3F1530AC">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0.5</w:t>
            </w:r>
          </w:p>
        </w:tc>
      </w:tr>
      <w:tr w14:paraId="061E3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241" w:type="dxa"/>
            <w:vMerge w:val="restart"/>
            <w:noWrap w:val="0"/>
            <w:vAlign w:val="center"/>
          </w:tcPr>
          <w:p w14:paraId="118A710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医疗服务</w:t>
            </w:r>
          </w:p>
        </w:tc>
        <w:tc>
          <w:tcPr>
            <w:tcW w:w="1285" w:type="dxa"/>
            <w:noWrap w:val="0"/>
            <w:vAlign w:val="center"/>
          </w:tcPr>
          <w:p w14:paraId="5D78A39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感染性废物</w:t>
            </w:r>
          </w:p>
        </w:tc>
        <w:tc>
          <w:tcPr>
            <w:tcW w:w="1897" w:type="dxa"/>
            <w:noWrap w:val="0"/>
            <w:vAlign w:val="center"/>
          </w:tcPr>
          <w:p w14:paraId="602FF2E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318C706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831-001-01</w:t>
            </w:r>
          </w:p>
        </w:tc>
        <w:tc>
          <w:tcPr>
            <w:tcW w:w="1330" w:type="dxa"/>
            <w:noWrap w:val="0"/>
            <w:vAlign w:val="center"/>
          </w:tcPr>
          <w:p w14:paraId="355EF1E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3C9D865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3F42180A">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In</w:t>
            </w:r>
          </w:p>
        </w:tc>
        <w:tc>
          <w:tcPr>
            <w:tcW w:w="945" w:type="dxa"/>
            <w:noWrap w:val="0"/>
            <w:vAlign w:val="center"/>
          </w:tcPr>
          <w:p w14:paraId="04142359">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120.45</w:t>
            </w:r>
          </w:p>
        </w:tc>
        <w:tc>
          <w:tcPr>
            <w:tcW w:w="795" w:type="dxa"/>
            <w:noWrap w:val="0"/>
            <w:vAlign w:val="center"/>
          </w:tcPr>
          <w:p w14:paraId="7BC61A3A">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桶装</w:t>
            </w:r>
          </w:p>
        </w:tc>
        <w:tc>
          <w:tcPr>
            <w:tcW w:w="1117" w:type="dxa"/>
            <w:vMerge w:val="restart"/>
            <w:noWrap w:val="0"/>
            <w:vAlign w:val="center"/>
          </w:tcPr>
          <w:p w14:paraId="7CA4A27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eastAsia="zh-CN"/>
              </w:rPr>
              <w:t>委托处置</w:t>
            </w:r>
          </w:p>
        </w:tc>
        <w:tc>
          <w:tcPr>
            <w:tcW w:w="2016" w:type="dxa"/>
            <w:vMerge w:val="restart"/>
            <w:noWrap w:val="0"/>
            <w:vAlign w:val="center"/>
          </w:tcPr>
          <w:p w14:paraId="28F8220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交由具有相应处理资质的单位处置</w:t>
            </w:r>
          </w:p>
        </w:tc>
        <w:tc>
          <w:tcPr>
            <w:tcW w:w="1350" w:type="dxa"/>
            <w:noWrap w:val="0"/>
            <w:vAlign w:val="center"/>
          </w:tcPr>
          <w:p w14:paraId="7AF3A28A">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120.45</w:t>
            </w:r>
          </w:p>
        </w:tc>
      </w:tr>
      <w:tr w14:paraId="00ACA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41" w:type="dxa"/>
            <w:vMerge w:val="continue"/>
            <w:noWrap w:val="0"/>
            <w:vAlign w:val="center"/>
          </w:tcPr>
          <w:p w14:paraId="0DFA953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p>
        </w:tc>
        <w:tc>
          <w:tcPr>
            <w:tcW w:w="1285" w:type="dxa"/>
            <w:noWrap w:val="0"/>
            <w:vAlign w:val="center"/>
          </w:tcPr>
          <w:p w14:paraId="76B2679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损伤性废物</w:t>
            </w:r>
          </w:p>
        </w:tc>
        <w:tc>
          <w:tcPr>
            <w:tcW w:w="1897" w:type="dxa"/>
            <w:noWrap w:val="0"/>
            <w:vAlign w:val="center"/>
          </w:tcPr>
          <w:p w14:paraId="1A8A9B5A">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164857A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eastAsia="zh-CN"/>
              </w:rPr>
              <w:t>01</w:t>
            </w:r>
          </w:p>
        </w:tc>
        <w:tc>
          <w:tcPr>
            <w:tcW w:w="1330" w:type="dxa"/>
            <w:noWrap w:val="0"/>
            <w:vAlign w:val="center"/>
          </w:tcPr>
          <w:p w14:paraId="624C4A0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3A5CC2C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11B51A8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In</w:t>
            </w:r>
          </w:p>
        </w:tc>
        <w:tc>
          <w:tcPr>
            <w:tcW w:w="945" w:type="dxa"/>
            <w:noWrap w:val="0"/>
            <w:vAlign w:val="center"/>
          </w:tcPr>
          <w:p w14:paraId="77687CBC">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66.25</w:t>
            </w:r>
          </w:p>
        </w:tc>
        <w:tc>
          <w:tcPr>
            <w:tcW w:w="795" w:type="dxa"/>
            <w:noWrap w:val="0"/>
            <w:vAlign w:val="center"/>
          </w:tcPr>
          <w:p w14:paraId="0001818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186BCA24">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75A559E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403A08FF">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66.25</w:t>
            </w:r>
          </w:p>
        </w:tc>
      </w:tr>
      <w:tr w14:paraId="26565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41" w:type="dxa"/>
            <w:vMerge w:val="continue"/>
            <w:noWrap w:val="0"/>
            <w:vAlign w:val="center"/>
          </w:tcPr>
          <w:p w14:paraId="4142914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p>
        </w:tc>
        <w:tc>
          <w:tcPr>
            <w:tcW w:w="1285" w:type="dxa"/>
            <w:noWrap w:val="0"/>
            <w:vAlign w:val="center"/>
          </w:tcPr>
          <w:p w14:paraId="64BBCF2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病理性废物</w:t>
            </w:r>
          </w:p>
        </w:tc>
        <w:tc>
          <w:tcPr>
            <w:tcW w:w="1897" w:type="dxa"/>
            <w:noWrap w:val="0"/>
            <w:vAlign w:val="center"/>
          </w:tcPr>
          <w:p w14:paraId="6FD33D2A">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3BFA2E3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eastAsia="zh-CN"/>
              </w:rPr>
              <w:t>-01</w:t>
            </w:r>
          </w:p>
        </w:tc>
        <w:tc>
          <w:tcPr>
            <w:tcW w:w="1330" w:type="dxa"/>
            <w:noWrap w:val="0"/>
            <w:vAlign w:val="center"/>
          </w:tcPr>
          <w:p w14:paraId="56EB598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7B6C465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5FBAAC0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In</w:t>
            </w:r>
          </w:p>
        </w:tc>
        <w:tc>
          <w:tcPr>
            <w:tcW w:w="945" w:type="dxa"/>
            <w:noWrap w:val="0"/>
            <w:vAlign w:val="center"/>
          </w:tcPr>
          <w:p w14:paraId="1B483642">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10.04</w:t>
            </w:r>
          </w:p>
        </w:tc>
        <w:tc>
          <w:tcPr>
            <w:tcW w:w="795" w:type="dxa"/>
            <w:noWrap w:val="0"/>
            <w:vAlign w:val="center"/>
          </w:tcPr>
          <w:p w14:paraId="3F7DAD7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572964F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0C116FA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2452F03D">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10.04</w:t>
            </w:r>
          </w:p>
        </w:tc>
      </w:tr>
      <w:tr w14:paraId="49F16B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41" w:type="dxa"/>
            <w:vMerge w:val="continue"/>
            <w:noWrap w:val="0"/>
            <w:vAlign w:val="center"/>
          </w:tcPr>
          <w:p w14:paraId="630C955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p>
        </w:tc>
        <w:tc>
          <w:tcPr>
            <w:tcW w:w="1285" w:type="dxa"/>
            <w:noWrap w:val="0"/>
            <w:vAlign w:val="center"/>
          </w:tcPr>
          <w:p w14:paraId="7916EAD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化学性废物</w:t>
            </w:r>
          </w:p>
        </w:tc>
        <w:tc>
          <w:tcPr>
            <w:tcW w:w="1897" w:type="dxa"/>
            <w:noWrap w:val="0"/>
            <w:vAlign w:val="center"/>
          </w:tcPr>
          <w:p w14:paraId="255F257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05AD3078">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eastAsia="zh-CN"/>
              </w:rPr>
              <w:t>-01</w:t>
            </w:r>
          </w:p>
        </w:tc>
        <w:tc>
          <w:tcPr>
            <w:tcW w:w="1330" w:type="dxa"/>
            <w:noWrap w:val="0"/>
            <w:vAlign w:val="center"/>
          </w:tcPr>
          <w:p w14:paraId="6E26B8D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1A16CEE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70BE186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T/C/I/R/</w:t>
            </w:r>
          </w:p>
        </w:tc>
        <w:tc>
          <w:tcPr>
            <w:tcW w:w="945" w:type="dxa"/>
            <w:noWrap w:val="0"/>
            <w:vAlign w:val="center"/>
          </w:tcPr>
          <w:p w14:paraId="1FEEE0A2">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795" w:type="dxa"/>
            <w:noWrap w:val="0"/>
            <w:vAlign w:val="center"/>
          </w:tcPr>
          <w:p w14:paraId="2F4B2DC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181DF89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649BB4D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3C5E7458">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1.00</w:t>
            </w:r>
          </w:p>
        </w:tc>
      </w:tr>
      <w:tr w14:paraId="7BD68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41" w:type="dxa"/>
            <w:vMerge w:val="continue"/>
            <w:noWrap w:val="0"/>
            <w:vAlign w:val="center"/>
          </w:tcPr>
          <w:p w14:paraId="4831BFA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p>
        </w:tc>
        <w:tc>
          <w:tcPr>
            <w:tcW w:w="1285" w:type="dxa"/>
            <w:noWrap w:val="0"/>
            <w:vAlign w:val="center"/>
          </w:tcPr>
          <w:p w14:paraId="411A89F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药物性废物</w:t>
            </w:r>
          </w:p>
        </w:tc>
        <w:tc>
          <w:tcPr>
            <w:tcW w:w="1897" w:type="dxa"/>
            <w:noWrap w:val="0"/>
            <w:vAlign w:val="center"/>
          </w:tcPr>
          <w:p w14:paraId="678F851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0B43265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eastAsia="zh-CN"/>
              </w:rPr>
              <w:t>-01</w:t>
            </w:r>
          </w:p>
        </w:tc>
        <w:tc>
          <w:tcPr>
            <w:tcW w:w="1330" w:type="dxa"/>
            <w:noWrap w:val="0"/>
            <w:vAlign w:val="center"/>
          </w:tcPr>
          <w:p w14:paraId="7501FFE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34F241F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4AEB40F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w:t>
            </w:r>
          </w:p>
        </w:tc>
        <w:tc>
          <w:tcPr>
            <w:tcW w:w="945" w:type="dxa"/>
            <w:noWrap w:val="0"/>
            <w:vAlign w:val="center"/>
          </w:tcPr>
          <w:p w14:paraId="3E1DC6CA">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3.011</w:t>
            </w:r>
          </w:p>
        </w:tc>
        <w:tc>
          <w:tcPr>
            <w:tcW w:w="795" w:type="dxa"/>
            <w:noWrap w:val="0"/>
            <w:vAlign w:val="center"/>
          </w:tcPr>
          <w:p w14:paraId="739A8694">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1305744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7B1B7EA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5C2C47B4">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3.011</w:t>
            </w:r>
          </w:p>
        </w:tc>
      </w:tr>
      <w:tr w14:paraId="6D0DE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41" w:type="dxa"/>
            <w:noWrap w:val="0"/>
            <w:vAlign w:val="center"/>
          </w:tcPr>
          <w:p w14:paraId="68E3660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污水处理</w:t>
            </w:r>
          </w:p>
        </w:tc>
        <w:tc>
          <w:tcPr>
            <w:tcW w:w="1285" w:type="dxa"/>
            <w:noWrap w:val="0"/>
            <w:vAlign w:val="center"/>
          </w:tcPr>
          <w:p w14:paraId="2642F24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污泥</w:t>
            </w:r>
          </w:p>
        </w:tc>
        <w:tc>
          <w:tcPr>
            <w:tcW w:w="1897" w:type="dxa"/>
            <w:noWrap w:val="0"/>
            <w:vAlign w:val="center"/>
          </w:tcPr>
          <w:p w14:paraId="453AC3F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p w14:paraId="0E9B799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831-001-01</w:t>
            </w:r>
          </w:p>
        </w:tc>
        <w:tc>
          <w:tcPr>
            <w:tcW w:w="1330" w:type="dxa"/>
            <w:noWrap w:val="0"/>
            <w:vAlign w:val="center"/>
          </w:tcPr>
          <w:p w14:paraId="286F505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1B49B564">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00BD4EB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In</w:t>
            </w:r>
          </w:p>
        </w:tc>
        <w:tc>
          <w:tcPr>
            <w:tcW w:w="945" w:type="dxa"/>
            <w:noWrap w:val="0"/>
            <w:vAlign w:val="center"/>
          </w:tcPr>
          <w:p w14:paraId="0035DDB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5.84</w:t>
            </w:r>
          </w:p>
        </w:tc>
        <w:tc>
          <w:tcPr>
            <w:tcW w:w="795" w:type="dxa"/>
            <w:noWrap w:val="0"/>
            <w:vAlign w:val="center"/>
          </w:tcPr>
          <w:p w14:paraId="240E345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1F7A2B5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7016819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64957FA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5.84</w:t>
            </w:r>
          </w:p>
        </w:tc>
      </w:tr>
      <w:tr w14:paraId="71380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41" w:type="dxa"/>
            <w:vMerge w:val="restart"/>
            <w:noWrap w:val="0"/>
            <w:vAlign w:val="center"/>
          </w:tcPr>
          <w:p w14:paraId="2CEF8C38">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废气治理</w:t>
            </w:r>
          </w:p>
        </w:tc>
        <w:tc>
          <w:tcPr>
            <w:tcW w:w="1285" w:type="dxa"/>
            <w:noWrap w:val="0"/>
            <w:vAlign w:val="center"/>
          </w:tcPr>
          <w:p w14:paraId="4264D14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废UV灯管</w:t>
            </w:r>
          </w:p>
        </w:tc>
        <w:tc>
          <w:tcPr>
            <w:tcW w:w="1897" w:type="dxa"/>
            <w:noWrap w:val="0"/>
            <w:vAlign w:val="center"/>
          </w:tcPr>
          <w:p w14:paraId="6F11DDC0">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危险废物</w:t>
            </w:r>
          </w:p>
          <w:p w14:paraId="3EA41A0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49</w:t>
            </w:r>
            <w:r>
              <w:rPr>
                <w:rFonts w:hint="default" w:ascii="Times New Roman" w:hAnsi="Times New Roman" w:eastAsia="宋体" w:cs="Times New Roman"/>
                <w:color w:val="auto"/>
                <w:szCs w:val="21"/>
                <w:highlight w:val="none"/>
              </w:rPr>
              <w:t xml:space="preserve"> 900-041-49</w:t>
            </w:r>
          </w:p>
        </w:tc>
        <w:tc>
          <w:tcPr>
            <w:tcW w:w="1330" w:type="dxa"/>
            <w:noWrap w:val="0"/>
            <w:vAlign w:val="center"/>
          </w:tcPr>
          <w:p w14:paraId="1500BCE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汞</w:t>
            </w:r>
          </w:p>
        </w:tc>
        <w:tc>
          <w:tcPr>
            <w:tcW w:w="769" w:type="dxa"/>
            <w:noWrap w:val="0"/>
            <w:vAlign w:val="center"/>
          </w:tcPr>
          <w:p w14:paraId="62C3B21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5F5275C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w:t>
            </w:r>
          </w:p>
        </w:tc>
        <w:tc>
          <w:tcPr>
            <w:tcW w:w="945" w:type="dxa"/>
            <w:noWrap w:val="0"/>
            <w:vAlign w:val="center"/>
          </w:tcPr>
          <w:p w14:paraId="0DAA564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w:t>
            </w:r>
          </w:p>
        </w:tc>
        <w:tc>
          <w:tcPr>
            <w:tcW w:w="795" w:type="dxa"/>
            <w:noWrap w:val="0"/>
            <w:vAlign w:val="center"/>
          </w:tcPr>
          <w:p w14:paraId="2A752F6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45761F7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35C3B01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1222E2E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0.2</w:t>
            </w:r>
          </w:p>
        </w:tc>
      </w:tr>
      <w:tr w14:paraId="777897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41" w:type="dxa"/>
            <w:vMerge w:val="continue"/>
            <w:noWrap w:val="0"/>
            <w:vAlign w:val="center"/>
          </w:tcPr>
          <w:p w14:paraId="150ADD7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p>
        </w:tc>
        <w:tc>
          <w:tcPr>
            <w:tcW w:w="1285" w:type="dxa"/>
            <w:noWrap w:val="0"/>
            <w:vAlign w:val="center"/>
          </w:tcPr>
          <w:p w14:paraId="700B0DE3">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废活性炭</w:t>
            </w:r>
          </w:p>
        </w:tc>
        <w:tc>
          <w:tcPr>
            <w:tcW w:w="1897" w:type="dxa"/>
            <w:noWrap w:val="0"/>
            <w:vAlign w:val="center"/>
          </w:tcPr>
          <w:p w14:paraId="05293A3D">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危险废物</w:t>
            </w:r>
          </w:p>
          <w:p w14:paraId="1128D1C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49</w:t>
            </w:r>
            <w:r>
              <w:rPr>
                <w:rFonts w:hint="default" w:ascii="Times New Roman" w:hAnsi="Times New Roman" w:eastAsia="宋体" w:cs="Times New Roman"/>
                <w:color w:val="auto"/>
                <w:szCs w:val="21"/>
                <w:highlight w:val="none"/>
              </w:rPr>
              <w:t xml:space="preserve"> 900-041-49</w:t>
            </w:r>
          </w:p>
        </w:tc>
        <w:tc>
          <w:tcPr>
            <w:tcW w:w="1330" w:type="dxa"/>
            <w:noWrap w:val="0"/>
            <w:vAlign w:val="center"/>
          </w:tcPr>
          <w:p w14:paraId="1D06DF35">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1E2534E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6C15FAF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w:t>
            </w:r>
          </w:p>
        </w:tc>
        <w:tc>
          <w:tcPr>
            <w:tcW w:w="945" w:type="dxa"/>
            <w:noWrap w:val="0"/>
            <w:vAlign w:val="center"/>
          </w:tcPr>
          <w:p w14:paraId="1C6127A1">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w:t>
            </w:r>
          </w:p>
        </w:tc>
        <w:tc>
          <w:tcPr>
            <w:tcW w:w="795" w:type="dxa"/>
            <w:noWrap w:val="0"/>
            <w:vAlign w:val="center"/>
          </w:tcPr>
          <w:p w14:paraId="4BD85E5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00662BA6">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2016" w:type="dxa"/>
            <w:vMerge w:val="continue"/>
            <w:noWrap w:val="0"/>
            <w:vAlign w:val="center"/>
          </w:tcPr>
          <w:p w14:paraId="7FFD7F28">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446FFE9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w:t>
            </w:r>
          </w:p>
        </w:tc>
      </w:tr>
      <w:tr w14:paraId="2D6F26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noWrap w:val="0"/>
            <w:vAlign w:val="center"/>
          </w:tcPr>
          <w:p w14:paraId="7C6D645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通风系统</w:t>
            </w:r>
          </w:p>
        </w:tc>
        <w:tc>
          <w:tcPr>
            <w:tcW w:w="1285" w:type="dxa"/>
            <w:noWrap w:val="0"/>
            <w:vAlign w:val="center"/>
          </w:tcPr>
          <w:p w14:paraId="5D4C5F72">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更换的滤芯</w:t>
            </w:r>
          </w:p>
        </w:tc>
        <w:tc>
          <w:tcPr>
            <w:tcW w:w="1897" w:type="dxa"/>
            <w:noWrap w:val="0"/>
            <w:vAlign w:val="center"/>
          </w:tcPr>
          <w:p w14:paraId="654BE8C4">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危险废物</w:t>
            </w:r>
          </w:p>
          <w:p w14:paraId="2D61F489">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49</w:t>
            </w:r>
            <w:r>
              <w:rPr>
                <w:rFonts w:hint="default" w:ascii="Times New Roman" w:hAnsi="Times New Roman" w:eastAsia="宋体" w:cs="Times New Roman"/>
                <w:color w:val="auto"/>
                <w:szCs w:val="21"/>
                <w:highlight w:val="none"/>
              </w:rPr>
              <w:t xml:space="preserve"> 900-041-49</w:t>
            </w:r>
          </w:p>
        </w:tc>
        <w:tc>
          <w:tcPr>
            <w:tcW w:w="1330" w:type="dxa"/>
            <w:noWrap w:val="0"/>
            <w:vAlign w:val="center"/>
          </w:tcPr>
          <w:p w14:paraId="2B582657">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病菌等</w:t>
            </w:r>
          </w:p>
        </w:tc>
        <w:tc>
          <w:tcPr>
            <w:tcW w:w="769" w:type="dxa"/>
            <w:noWrap w:val="0"/>
            <w:vAlign w:val="center"/>
          </w:tcPr>
          <w:p w14:paraId="05B34B4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固态</w:t>
            </w:r>
          </w:p>
        </w:tc>
        <w:tc>
          <w:tcPr>
            <w:tcW w:w="1101" w:type="dxa"/>
            <w:noWrap w:val="0"/>
            <w:vAlign w:val="center"/>
          </w:tcPr>
          <w:p w14:paraId="4EFC700E">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T</w:t>
            </w:r>
          </w:p>
        </w:tc>
        <w:tc>
          <w:tcPr>
            <w:tcW w:w="945" w:type="dxa"/>
            <w:noWrap w:val="0"/>
            <w:vAlign w:val="center"/>
          </w:tcPr>
          <w:p w14:paraId="6ADAAA2F">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0.1</w:t>
            </w:r>
          </w:p>
        </w:tc>
        <w:tc>
          <w:tcPr>
            <w:tcW w:w="795" w:type="dxa"/>
            <w:noWrap w:val="0"/>
            <w:vAlign w:val="center"/>
          </w:tcPr>
          <w:p w14:paraId="02DD9F6B">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桶装</w:t>
            </w:r>
          </w:p>
        </w:tc>
        <w:tc>
          <w:tcPr>
            <w:tcW w:w="1117" w:type="dxa"/>
            <w:vMerge w:val="continue"/>
            <w:noWrap w:val="0"/>
            <w:vAlign w:val="center"/>
          </w:tcPr>
          <w:p w14:paraId="726C463C">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rPr>
            </w:pPr>
          </w:p>
        </w:tc>
        <w:tc>
          <w:tcPr>
            <w:tcW w:w="2016" w:type="dxa"/>
            <w:vMerge w:val="continue"/>
            <w:noWrap w:val="0"/>
            <w:vAlign w:val="center"/>
          </w:tcPr>
          <w:p w14:paraId="388CE8CF">
            <w:pPr>
              <w:keepNext w:val="0"/>
              <w:keepLines w:val="0"/>
              <w:pageBreakBefore w:val="0"/>
              <w:widowControl w:val="0"/>
              <w:kinsoku/>
              <w:wordWrap/>
              <w:overflowPunct/>
              <w:topLinePunct w:val="0"/>
              <w:autoSpaceDE/>
              <w:autoSpaceDN/>
              <w:bidi w:val="0"/>
              <w:adjustRightInd w:val="0"/>
              <w:snapToGrid/>
              <w:spacing w:line="192" w:lineRule="auto"/>
              <w:jc w:val="center"/>
              <w:textAlignment w:val="baseline"/>
              <w:rPr>
                <w:rFonts w:hint="default" w:ascii="Times New Roman" w:hAnsi="Times New Roman" w:eastAsia="宋体" w:cs="Times New Roman"/>
                <w:bCs/>
                <w:color w:val="auto"/>
                <w:szCs w:val="21"/>
                <w:highlight w:val="none"/>
                <w:lang w:eastAsia="zh-CN"/>
              </w:rPr>
            </w:pPr>
          </w:p>
        </w:tc>
        <w:tc>
          <w:tcPr>
            <w:tcW w:w="1350" w:type="dxa"/>
            <w:noWrap w:val="0"/>
            <w:vAlign w:val="center"/>
          </w:tcPr>
          <w:p w14:paraId="7FADFE0D">
            <w:pPr>
              <w:keepNext w:val="0"/>
              <w:keepLines w:val="0"/>
              <w:pageBreakBefore w:val="0"/>
              <w:widowControl w:val="0"/>
              <w:kinsoku/>
              <w:wordWrap/>
              <w:overflowPunct/>
              <w:topLinePunct w:val="0"/>
              <w:autoSpaceDE/>
              <w:autoSpaceDN/>
              <w:bidi w:val="0"/>
              <w:snapToGrid/>
              <w:spacing w:line="192"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0.1</w:t>
            </w:r>
          </w:p>
        </w:tc>
      </w:tr>
    </w:tbl>
    <w:p w14:paraId="240B9FE9">
      <w:pPr>
        <w:rPr>
          <w:rFonts w:hint="default" w:ascii="Times New Roman" w:hAnsi="Times New Roman" w:eastAsia="宋体" w:cs="Times New Roman"/>
          <w:color w:val="auto"/>
          <w:lang w:val="en-US" w:eastAsia="zh-CN"/>
        </w:rPr>
        <w:sectPr>
          <w:pgSz w:w="16838" w:h="11906" w:orient="landscape"/>
          <w:pgMar w:top="1689" w:right="1440" w:bottom="1689"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A4874DC">
      <w:pPr>
        <w:pStyle w:val="19"/>
        <w:keepNext w:val="0"/>
        <w:keepLines w:val="0"/>
        <w:pageBreakBefore w:val="0"/>
        <w:numPr>
          <w:ilvl w:val="0"/>
          <w:numId w:val="0"/>
        </w:numPr>
        <w:kinsoku/>
        <w:wordWrap/>
        <w:overflowPunct/>
        <w:topLinePunct w:val="0"/>
        <w:autoSpaceDE/>
        <w:autoSpaceDN/>
        <w:bidi w:val="0"/>
        <w:adjustRightInd/>
        <w:snapToGrid/>
        <w:spacing w:before="0" w:after="0" w:line="360" w:lineRule="auto"/>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444" w:name="_Toc463"/>
      <w:bookmarkStart w:id="1445" w:name="_Toc14696"/>
      <w:bookmarkStart w:id="1446" w:name="_Toc22321"/>
      <w:r>
        <w:rPr>
          <w:rFonts w:hint="default" w:ascii="Times New Roman" w:hAnsi="Times New Roman" w:eastAsia="宋体" w:cs="Times New Roman"/>
          <w:color w:val="auto"/>
          <w:lang w:val="en-US" w:eastAsia="zh-CN"/>
        </w:rPr>
        <w:t>3.2.3.6 固废处置措施及环保要求</w:t>
      </w:r>
      <w:bookmarkEnd w:id="1444"/>
      <w:bookmarkEnd w:id="1445"/>
      <w:bookmarkEnd w:id="1446"/>
    </w:p>
    <w:p w14:paraId="4D31EE8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本项目设置</w:t>
      </w:r>
      <w:r>
        <w:rPr>
          <w:rFonts w:hint="default" w:ascii="Times New Roman" w:hAnsi="Times New Roman" w:eastAsia="宋体" w:cs="Times New Roman"/>
          <w:color w:val="auto"/>
          <w:sz w:val="24"/>
          <w:szCs w:val="24"/>
          <w:highlight w:val="none"/>
          <w:lang w:val="en-US" w:eastAsia="zh-CN"/>
        </w:rPr>
        <w:t>医疗废物暂存间、</w:t>
      </w:r>
      <w:r>
        <w:rPr>
          <w:rFonts w:hint="default" w:ascii="Times New Roman" w:hAnsi="Times New Roman" w:eastAsia="宋体" w:cs="Times New Roman"/>
          <w:color w:val="auto"/>
          <w:sz w:val="24"/>
          <w:szCs w:val="24"/>
          <w:highlight w:val="none"/>
          <w:lang w:eastAsia="zh-CN"/>
        </w:rPr>
        <w:t>危废暂存间，</w:t>
      </w:r>
      <w:r>
        <w:rPr>
          <w:rFonts w:hint="default" w:ascii="Times New Roman" w:hAnsi="Times New Roman" w:eastAsia="宋体" w:cs="Times New Roman"/>
          <w:color w:val="auto"/>
          <w:sz w:val="24"/>
          <w:szCs w:val="24"/>
          <w:highlight w:val="none"/>
        </w:rPr>
        <w:t>危险废物在收集、暂存、转运过程中，需严格按照下列要求进行：</w:t>
      </w:r>
    </w:p>
    <w:p w14:paraId="07FD90FE">
      <w:pPr>
        <w:spacing w:line="360" w:lineRule="auto"/>
        <w:ind w:firstLine="480" w:firstLineChars="200"/>
        <w:outlineLvl w:val="1"/>
        <w:rPr>
          <w:rFonts w:hint="default" w:ascii="Times New Roman" w:hAnsi="Times New Roman" w:eastAsia="宋体" w:cs="Times New Roman"/>
          <w:color w:val="auto"/>
          <w:sz w:val="24"/>
          <w:szCs w:val="24"/>
          <w:highlight w:val="none"/>
          <w:lang w:val="en-US" w:eastAsia="zh-CN"/>
        </w:rPr>
      </w:pPr>
      <w:bookmarkStart w:id="1447" w:name="_Toc8870"/>
      <w:bookmarkStart w:id="1448" w:name="_Toc10030"/>
      <w:bookmarkStart w:id="1449" w:name="_Toc4777"/>
      <w:bookmarkStart w:id="1450" w:name="_Toc28547"/>
      <w:bookmarkStart w:id="1451" w:name="_Toc19252"/>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危废暂存间要求</w:t>
      </w:r>
      <w:bookmarkEnd w:id="1447"/>
      <w:bookmarkEnd w:id="1448"/>
      <w:bookmarkEnd w:id="1449"/>
      <w:bookmarkEnd w:id="1450"/>
      <w:bookmarkEnd w:id="1451"/>
    </w:p>
    <w:p w14:paraId="26596C3B">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①暂存间作重点防渗，</w:t>
      </w:r>
      <w:r>
        <w:rPr>
          <w:rFonts w:hint="default" w:ascii="Times New Roman" w:hAnsi="Times New Roman" w:eastAsia="宋体" w:cs="Times New Roman"/>
          <w:bCs/>
          <w:color w:val="auto"/>
          <w:sz w:val="24"/>
          <w:szCs w:val="24"/>
          <w:highlight w:val="none"/>
          <w:lang w:eastAsia="zh-CN"/>
        </w:rPr>
        <w:t>按照《危险废物贮存污染控制标准》（GB18597-2001）及2013年修改清单进行建设：防渗层为至少1米厚粘土层，或2毫米厚高密度聚乙烯，或至少2毫米厚的其它人工材料，渗透系数≤10</w:t>
      </w:r>
      <w:r>
        <w:rPr>
          <w:rFonts w:hint="default" w:ascii="Times New Roman" w:hAnsi="Times New Roman" w:eastAsia="宋体" w:cs="Times New Roman"/>
          <w:bCs/>
          <w:color w:val="auto"/>
          <w:sz w:val="24"/>
          <w:szCs w:val="24"/>
          <w:highlight w:val="none"/>
          <w:vertAlign w:val="superscript"/>
          <w:lang w:eastAsia="zh-CN"/>
        </w:rPr>
        <w:t>-10</w:t>
      </w:r>
      <w:r>
        <w:rPr>
          <w:rFonts w:hint="default" w:ascii="Times New Roman" w:hAnsi="Times New Roman" w:eastAsia="宋体" w:cs="Times New Roman"/>
          <w:bCs/>
          <w:color w:val="auto"/>
          <w:sz w:val="24"/>
          <w:szCs w:val="24"/>
          <w:highlight w:val="none"/>
          <w:lang w:eastAsia="zh-CN"/>
        </w:rPr>
        <w:t>厘米/秒。</w:t>
      </w:r>
    </w:p>
    <w:p w14:paraId="49EDE01E">
      <w:pPr>
        <w:spacing w:line="360" w:lineRule="auto"/>
        <w:ind w:firstLine="480" w:firstLineChars="200"/>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危险废物应分类收集储存在危废暂存间，危废暂存间应设置液体导流和收集装置，地面无液体积聚，采取防风、防雨、防晒、防渗漏的“四防”措施（其中铅蓄电池暂存区做好防酸、防腐、防渗和硬化处理），按照《环境保护图形标志—固体废物贮存（处置）场》（GB15562.2-1995）设置警示标识，由专人负责管理。</w:t>
      </w:r>
      <w:r>
        <w:rPr>
          <w:rFonts w:hint="default" w:ascii="Times New Roman" w:hAnsi="Times New Roman" w:eastAsia="宋体" w:cs="Times New Roman"/>
          <w:color w:val="auto"/>
          <w:sz w:val="24"/>
          <w:szCs w:val="24"/>
          <w:highlight w:val="none"/>
        </w:rPr>
        <w:t>危险废物的收集必须按照相关危险废物贮存必须严格按照《危险废物贮存污染控制标准》（GB12897-2001）</w:t>
      </w:r>
      <w:r>
        <w:rPr>
          <w:rFonts w:hint="default" w:ascii="Times New Roman" w:hAnsi="Times New Roman" w:eastAsia="宋体" w:cs="Times New Roman"/>
          <w:color w:val="auto"/>
          <w:sz w:val="24"/>
          <w:szCs w:val="24"/>
          <w:highlight w:val="none"/>
          <w:lang w:eastAsia="zh-CN"/>
        </w:rPr>
        <w:t>及</w:t>
      </w:r>
      <w:r>
        <w:rPr>
          <w:rFonts w:hint="default" w:ascii="Times New Roman" w:hAnsi="Times New Roman" w:eastAsia="宋体" w:cs="Times New Roman"/>
          <w:color w:val="auto"/>
          <w:sz w:val="24"/>
          <w:szCs w:val="24"/>
          <w:highlight w:val="none"/>
          <w:lang w:val="en-US" w:eastAsia="zh-CN"/>
        </w:rPr>
        <w:t>2013年修改清单</w:t>
      </w:r>
      <w:r>
        <w:rPr>
          <w:rFonts w:hint="default" w:ascii="Times New Roman" w:hAnsi="Times New Roman" w:eastAsia="宋体" w:cs="Times New Roman"/>
          <w:color w:val="auto"/>
          <w:sz w:val="24"/>
          <w:szCs w:val="24"/>
          <w:highlight w:val="none"/>
        </w:rPr>
        <w:t>要求执行，禁止在非贮存地点（容器）倾倒、堆放危险废物或者将危险废物混入其他一般工业固体废物和生活垃圾，各废物贮存需按照国家和相应要求处置</w:t>
      </w:r>
      <w:r>
        <w:rPr>
          <w:rFonts w:hint="default" w:ascii="Times New Roman" w:hAnsi="Times New Roman" w:eastAsia="宋体" w:cs="Times New Roman"/>
          <w:color w:val="auto"/>
          <w:sz w:val="24"/>
          <w:szCs w:val="24"/>
          <w:highlight w:val="none"/>
          <w:lang w:eastAsia="zh-CN"/>
        </w:rPr>
        <w:t>。</w:t>
      </w:r>
    </w:p>
    <w:p w14:paraId="5389F88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lang w:val="en-US" w:eastAsia="zh-CN"/>
        </w:rPr>
      </w:pPr>
      <w:bookmarkStart w:id="1452" w:name="_Toc29620"/>
      <w:bookmarkStart w:id="1453" w:name="_Toc17282"/>
      <w:bookmarkStart w:id="1454" w:name="_Toc26413"/>
      <w:bookmarkStart w:id="1455" w:name="_Toc1720"/>
      <w:bookmarkStart w:id="1456" w:name="_Toc9467"/>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医废暂存间要求</w:t>
      </w:r>
      <w:bookmarkEnd w:id="1452"/>
      <w:bookmarkEnd w:id="1453"/>
      <w:bookmarkEnd w:id="1454"/>
      <w:bookmarkEnd w:id="1455"/>
      <w:bookmarkEnd w:id="1456"/>
    </w:p>
    <w:p w14:paraId="1F0ECA2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参考《医疗废物管理条例》、《医疗卫生机构医疗废物管理办法》以及《医疗废物集中处理处置技术规范（试行）》等，提出以下污染防治措施：</w:t>
      </w:r>
    </w:p>
    <w:p w14:paraId="3766B6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left"/>
        <w:textAlignment w:val="auto"/>
        <w:outlineLvl w:val="2"/>
        <w:rPr>
          <w:rFonts w:hint="default" w:ascii="Times New Roman" w:hAnsi="Times New Roman" w:eastAsia="宋体" w:cs="Times New Roman"/>
          <w:b/>
          <w:bCs/>
          <w:color w:val="auto"/>
          <w:sz w:val="24"/>
          <w:szCs w:val="24"/>
        </w:rPr>
      </w:pPr>
      <w:bookmarkStart w:id="1457" w:name="_Toc27664"/>
      <w:bookmarkStart w:id="1458" w:name="_Toc21280"/>
      <w:bookmarkStart w:id="1459" w:name="_Toc10665"/>
      <w:bookmarkStart w:id="1460" w:name="_Toc32516"/>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rPr>
        <w:t>分类收集</w:t>
      </w:r>
      <w:bookmarkEnd w:id="1457"/>
      <w:bookmarkEnd w:id="1458"/>
      <w:bookmarkEnd w:id="1459"/>
      <w:bookmarkEnd w:id="1460"/>
    </w:p>
    <w:p w14:paraId="2A47BD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结合处理处置措施的不同，根据《医疗废物分类目录》（卫医发[2003]287号）的分类</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医院医疗废物进行收集</w:t>
      </w:r>
      <w:r>
        <w:rPr>
          <w:rFonts w:hint="default" w:ascii="Times New Roman" w:hAnsi="Times New Roman" w:eastAsia="宋体" w:cs="Times New Roman"/>
          <w:color w:val="auto"/>
          <w:sz w:val="24"/>
          <w:szCs w:val="24"/>
          <w:lang w:eastAsia="zh-CN"/>
        </w:rPr>
        <w:t>。</w:t>
      </w:r>
    </w:p>
    <w:p w14:paraId="0D4CC9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收集容器规定</w:t>
      </w:r>
    </w:p>
    <w:p w14:paraId="116F87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收集容器应符合《医疗废物专用包装物、容器的标准和警示标识的规定》（环发</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2003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188号）要求。</w:t>
      </w:r>
    </w:p>
    <w:p w14:paraId="234326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盛装医疗废物的每个包装物、容器外表面应当有警示标识，在每个包装物、容器上应当系中文标签，中文标签的内容应当包括：医疗废物产生单位、产生日期、类别及需要的特别说明等。</w:t>
      </w:r>
    </w:p>
    <w:p w14:paraId="25CF45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包装袋不得使用聚氯乙烯（PVC）塑料为制造原料，聚乙烯（PE）包装袋正常使用时不得渗漏、破裂、穿孔；最大容积为0.1m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大小和形状适中，便于搬运和配合周转箱（桶）盛状；如果使用线型低密度聚乙烯（LLDPE）或低密度聚乙烯与线型低密度聚乙烯共混（LLDPE+LDPE）为原料，其最小公称厚度应为150μm；如果使用中密度或高密度聚乙烯（MDPE，HDPE），其最小公称厚度应为80μm；包装袋的颜色为黄色，并有盛装医疗废物类型的文字说明，如盛装感染性废物，应在包装袋上加注“感染性废物”字样；包装袋上医疗废物警示标识。</w:t>
      </w:r>
    </w:p>
    <w:p w14:paraId="77E7E40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PVC）塑料作为制造原材料；利器盒整体颜色为黄色，在盒体侧面注明“损伤性废物”；利器盒上应印制本规定第五条确定的医疗废物警示标识。</w:t>
      </w:r>
    </w:p>
    <w:p w14:paraId="76C8445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周转箱整体为硬制材料，防液体渗漏，可一次性或多次重复使用；多次重复使用的周转箱（桶）应能被快速消毒或清洗；周转箱（桶）整体为黄色，外表面应印（喷）制医疗废物警示标识和文字说明。应选用高密度聚乙烯（HDPE）为原料采用注射工艺生产；箱体盖选用高密度聚乙烯与聚丙烯（PP）共混或专用料采用注射工艺生产。箱体箱盖设密封槽，整体装配密闭。箱体与箱盖能牢固扣紧，扣紧后不分离。表面光滑平整，无裂损，不允许明显凹陷，边缘及端手无毛刺。浇口处不影响箱子平置。不允许≥2mm 杂质存在；箱底、顶部有配合牙槽，具有防滑功能。</w:t>
      </w:r>
    </w:p>
    <w:p w14:paraId="1C9047D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收集</w:t>
      </w:r>
    </w:p>
    <w:p w14:paraId="14505F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医疗废物的类别，将医疗废物分置于符合《医疗废物专用包装物、容器的标准和警示标识的规定》的包装物或者容器内；在盛装医疗废物前，应当对医疗废物包装物或者容器进行认真检查，确保无破损、渗漏和其它缺陷。</w:t>
      </w:r>
    </w:p>
    <w:p w14:paraId="46A3B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感染性废物、病理性废物、损伤性废物、药物性废物及化学性废物不能混合收集。废弃的麻醉、精神、放射性、毒性等药品及其相关的废物的管理，依照有关法律、行政法规和国家有关规定、标准执行。</w:t>
      </w:r>
    </w:p>
    <w:p w14:paraId="0F35E8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盛装的医疗废物达到包装物或者容器的3/4时，应当使用有效的封口方式，使包装物或者容器的封口紧实、严密。包装物或者容器的外表面被感染性废物污染时，应当对被污染处进行消毒处理或者增加一层包装。</w:t>
      </w:r>
    </w:p>
    <w:p w14:paraId="4C91FF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本项目医疗废物分类收集后，定期交由具有医疗废物处置资质的单位进行安全处置。</w:t>
      </w:r>
    </w:p>
    <w:p w14:paraId="1E8E8E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left"/>
        <w:textAlignment w:val="auto"/>
        <w:outlineLvl w:val="2"/>
        <w:rPr>
          <w:rFonts w:hint="default" w:ascii="Times New Roman" w:hAnsi="Times New Roman" w:eastAsia="宋体" w:cs="Times New Roman"/>
          <w:b/>
          <w:bCs/>
          <w:color w:val="auto"/>
          <w:sz w:val="24"/>
          <w:szCs w:val="24"/>
          <w:lang w:eastAsia="zh-CN"/>
        </w:rPr>
      </w:pPr>
      <w:bookmarkStart w:id="1461" w:name="_Toc6305"/>
      <w:bookmarkStart w:id="1462" w:name="_Toc16870"/>
      <w:bookmarkStart w:id="1463" w:name="_Toc20593"/>
      <w:bookmarkStart w:id="1464" w:name="_Toc26383"/>
      <w:r>
        <w:rPr>
          <w:rFonts w:hint="default"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lang w:eastAsia="zh-CN"/>
        </w:rPr>
        <w:t>医疗废物的暂时贮存要求</w:t>
      </w:r>
      <w:bookmarkEnd w:id="1461"/>
      <w:bookmarkEnd w:id="1462"/>
      <w:bookmarkEnd w:id="1463"/>
      <w:bookmarkEnd w:id="1464"/>
    </w:p>
    <w:p w14:paraId="381BDE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rPr>
        <w:t>《医疗废物管理条例》和《医疗废物集中处置技术规范》中的规定</w:t>
      </w:r>
      <w:r>
        <w:rPr>
          <w:rFonts w:hint="default" w:ascii="Times New Roman" w:hAnsi="Times New Roman" w:eastAsia="宋体" w:cs="Times New Roman"/>
          <w:color w:val="auto"/>
          <w:sz w:val="24"/>
          <w:szCs w:val="24"/>
          <w:lang w:eastAsia="zh-CN"/>
        </w:rPr>
        <w:t>，具有住院病床的医疗机构应建立专门的</w:t>
      </w:r>
      <w:r>
        <w:rPr>
          <w:rFonts w:hint="default" w:ascii="Times New Roman" w:hAnsi="Times New Roman" w:eastAsia="宋体" w:cs="Times New Roman"/>
          <w:color w:val="auto"/>
          <w:sz w:val="24"/>
          <w:szCs w:val="24"/>
        </w:rPr>
        <w:t>医疗废物暂存间</w:t>
      </w:r>
      <w:r>
        <w:rPr>
          <w:rFonts w:hint="default" w:ascii="Times New Roman" w:hAnsi="Times New Roman" w:eastAsia="宋体" w:cs="Times New Roman"/>
          <w:color w:val="auto"/>
          <w:sz w:val="24"/>
          <w:szCs w:val="24"/>
          <w:lang w:eastAsia="zh-CN"/>
        </w:rPr>
        <w:t>，并应满足下述要求：</w:t>
      </w:r>
    </w:p>
    <w:p w14:paraId="2AA21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必须与生活垃圾存放地分开，有防雨淋的装置，地基高度应确保设施内不受雨洪冲击或浸泡；</w:t>
      </w:r>
    </w:p>
    <w:p w14:paraId="0CBFD13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必须与医疗区和人员活动密集区隔开，方便医疗废物的装卸、装卸人员及运送车辆的出入；</w:t>
      </w:r>
    </w:p>
    <w:p w14:paraId="33AF627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应有严密的封闭措施，设专人管理，避免非工作人员进出，以及防鼠、防蚊蝇、防蟑螂、防盗以及预防儿童接触等安全措施；</w:t>
      </w:r>
    </w:p>
    <w:p w14:paraId="34A9C0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地面和1.0米高的墙裙须进行防渗处理，地面有良好的排水性能，易于清洁和消毒；医疗废物暂存间内应设置收集边沟等积液设施，将地坪冲洗水收集排入院区污水处理设施进行处理，禁止将产生的废水直接排入外环境；</w:t>
      </w:r>
    </w:p>
    <w:p w14:paraId="799FA8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库房外宜设有供水龙头，以供暂时贮存库房的清洗用；</w:t>
      </w:r>
    </w:p>
    <w:p w14:paraId="0767EEB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避免阳光直射库内，应有良好的照明设备和通风条件；</w:t>
      </w:r>
    </w:p>
    <w:p w14:paraId="4969D9E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库房内应张贴“禁止吸烟、饮食”的警示标识；</w:t>
      </w:r>
    </w:p>
    <w:p w14:paraId="38B4EB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医疗废物在医疗废物暂存间内应分隔进行存放；</w:t>
      </w:r>
    </w:p>
    <w:p w14:paraId="76B384D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应按GB15562.2和卫生、环保部门制定的专用医疗废物警示标识要求，在库房外的明显处同时设置危险废物和医疗废物的警示标识。</w:t>
      </w:r>
    </w:p>
    <w:p w14:paraId="4E81B0E9">
      <w:pPr>
        <w:adjustRightInd w:val="0"/>
        <w:jc w:val="center"/>
        <w:textAlignment w:val="baseline"/>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3.2-</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eastAsia="zh-CN"/>
        </w:rPr>
        <w:t>警告图形标志</w:t>
      </w:r>
    </w:p>
    <w:tbl>
      <w:tblPr>
        <w:tblStyle w:val="21"/>
        <w:tblW w:w="0" w:type="auto"/>
        <w:tblInd w:w="26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8"/>
        <w:gridCol w:w="2839"/>
        <w:gridCol w:w="2839"/>
      </w:tblGrid>
      <w:tr w14:paraId="25F0B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8" w:type="dxa"/>
            <w:shd w:val="clear" w:color="auto" w:fill="D7D7D7" w:themeFill="background1" w:themeFillShade="D8"/>
            <w:vAlign w:val="center"/>
          </w:tcPr>
          <w:p w14:paraId="110AFAA5">
            <w:pPr>
              <w:adjustRightInd w:val="0"/>
              <w:snapToGrid w:val="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Cs w:val="21"/>
                <w:highlight w:val="none"/>
                <w:lang w:val="en-US" w:eastAsia="zh-CN"/>
              </w:rPr>
              <w:t>警告图形符号</w:t>
            </w:r>
          </w:p>
        </w:tc>
        <w:tc>
          <w:tcPr>
            <w:tcW w:w="2839" w:type="dxa"/>
            <w:shd w:val="clear" w:color="auto" w:fill="D7D7D7" w:themeFill="background1" w:themeFillShade="D8"/>
            <w:vAlign w:val="center"/>
          </w:tcPr>
          <w:p w14:paraId="7F580007">
            <w:pPr>
              <w:adjustRightInd w:val="0"/>
              <w:snapToGrid w:val="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Cs w:val="21"/>
                <w:highlight w:val="none"/>
                <w:lang w:val="en-US" w:eastAsia="zh-CN"/>
              </w:rPr>
              <w:t>名称</w:t>
            </w:r>
          </w:p>
        </w:tc>
        <w:tc>
          <w:tcPr>
            <w:tcW w:w="2839" w:type="dxa"/>
            <w:shd w:val="clear" w:color="auto" w:fill="D7D7D7" w:themeFill="background1" w:themeFillShade="D8"/>
            <w:vAlign w:val="center"/>
          </w:tcPr>
          <w:p w14:paraId="5D5498C6">
            <w:pPr>
              <w:adjustRightInd w:val="0"/>
              <w:snapToGrid w:val="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Cs w:val="21"/>
                <w:highlight w:val="none"/>
                <w:lang w:val="en-US" w:eastAsia="zh-CN"/>
              </w:rPr>
              <w:t>功能</w:t>
            </w:r>
          </w:p>
        </w:tc>
      </w:tr>
      <w:tr w14:paraId="41C79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8" w:type="dxa"/>
          </w:tcPr>
          <w:p w14:paraId="495B436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jc w:val="left"/>
              <w:textAlignment w:val="auto"/>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Cs w:val="21"/>
                <w:highlight w:val="none"/>
                <w:lang w:val="en-US" w:eastAsia="zh-CN"/>
              </w:rPr>
              <w:drawing>
                <wp:inline distT="0" distB="0" distL="114300" distR="114300">
                  <wp:extent cx="1479550" cy="1342390"/>
                  <wp:effectExtent l="0" t="0" r="6350" b="10160"/>
                  <wp:docPr id="6" name="图片 2" descr="警告-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警告-一般固废"/>
                          <pic:cNvPicPr>
                            <a:picLocks noChangeAspect="1"/>
                          </pic:cNvPicPr>
                        </pic:nvPicPr>
                        <pic:blipFill>
                          <a:blip r:embed="rId22"/>
                          <a:stretch>
                            <a:fillRect/>
                          </a:stretch>
                        </pic:blipFill>
                        <pic:spPr>
                          <a:xfrm>
                            <a:off x="0" y="0"/>
                            <a:ext cx="1479550" cy="1342390"/>
                          </a:xfrm>
                          <a:prstGeom prst="rect">
                            <a:avLst/>
                          </a:prstGeom>
                          <a:noFill/>
                          <a:ln>
                            <a:noFill/>
                          </a:ln>
                        </pic:spPr>
                      </pic:pic>
                    </a:graphicData>
                  </a:graphic>
                </wp:inline>
              </w:drawing>
            </w:r>
          </w:p>
        </w:tc>
        <w:tc>
          <w:tcPr>
            <w:tcW w:w="2839" w:type="dxa"/>
            <w:vAlign w:val="center"/>
          </w:tcPr>
          <w:p w14:paraId="72328172">
            <w:pPr>
              <w:adjustRightInd w:val="0"/>
              <w:snapToGrid w:val="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Cs w:val="21"/>
                <w:highlight w:val="none"/>
                <w:lang w:val="en-US" w:eastAsia="zh-CN"/>
              </w:rPr>
              <w:t>一般固体废物</w:t>
            </w:r>
          </w:p>
        </w:tc>
        <w:tc>
          <w:tcPr>
            <w:tcW w:w="2839" w:type="dxa"/>
            <w:vAlign w:val="center"/>
          </w:tcPr>
          <w:p w14:paraId="302AC1E3">
            <w:pPr>
              <w:adjustRightInd w:val="0"/>
              <w:snapToGrid w:val="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Cs w:val="21"/>
                <w:highlight w:val="none"/>
                <w:lang w:val="en-US" w:eastAsia="zh-CN"/>
              </w:rPr>
              <w:t>表示一般固体废物贮存、迟滞处置场</w:t>
            </w:r>
          </w:p>
        </w:tc>
      </w:tr>
      <w:tr w14:paraId="7CCA7A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8" w:type="dxa"/>
          </w:tcPr>
          <w:p w14:paraId="1D986F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jc w:val="left"/>
              <w:textAlignment w:val="auto"/>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drawing>
                <wp:inline distT="0" distB="0" distL="114300" distR="114300">
                  <wp:extent cx="1459230" cy="1400810"/>
                  <wp:effectExtent l="0" t="0" r="7620" b="8890"/>
                  <wp:docPr id="9" name="图片 9" descr="QQ截图2022112917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21129170704"/>
                          <pic:cNvPicPr>
                            <a:picLocks noChangeAspect="1"/>
                          </pic:cNvPicPr>
                        </pic:nvPicPr>
                        <pic:blipFill>
                          <a:blip r:embed="rId23"/>
                          <a:stretch>
                            <a:fillRect/>
                          </a:stretch>
                        </pic:blipFill>
                        <pic:spPr>
                          <a:xfrm>
                            <a:off x="0" y="0"/>
                            <a:ext cx="1459230" cy="1400810"/>
                          </a:xfrm>
                          <a:prstGeom prst="rect">
                            <a:avLst/>
                          </a:prstGeom>
                        </pic:spPr>
                      </pic:pic>
                    </a:graphicData>
                  </a:graphic>
                </wp:inline>
              </w:drawing>
            </w:r>
          </w:p>
        </w:tc>
        <w:tc>
          <w:tcPr>
            <w:tcW w:w="2839" w:type="dxa"/>
            <w:vAlign w:val="center"/>
          </w:tcPr>
          <w:p w14:paraId="19F7ECDC">
            <w:pPr>
              <w:adjustRightInd w:val="0"/>
              <w:snapToGrid w:val="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Cs w:val="21"/>
                <w:highlight w:val="none"/>
                <w:lang w:val="en-US" w:eastAsia="zh-CN"/>
              </w:rPr>
              <w:t>危险废物</w:t>
            </w:r>
          </w:p>
        </w:tc>
        <w:tc>
          <w:tcPr>
            <w:tcW w:w="2839" w:type="dxa"/>
            <w:vAlign w:val="center"/>
          </w:tcPr>
          <w:p w14:paraId="4216949C">
            <w:pPr>
              <w:adjustRightInd w:val="0"/>
              <w:snapToGrid w:val="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Cs w:val="21"/>
                <w:highlight w:val="none"/>
                <w:lang w:val="en-US" w:eastAsia="zh-CN"/>
              </w:rPr>
              <w:t>表示危险废物贮存、处置场</w:t>
            </w:r>
          </w:p>
        </w:tc>
      </w:tr>
      <w:tr w14:paraId="045EC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8" w:type="dxa"/>
          </w:tcPr>
          <w:p w14:paraId="3E7DC9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eastAsia="zh-CN"/>
              </w:rPr>
            </w:pPr>
            <w:r>
              <w:drawing>
                <wp:inline distT="0" distB="0" distL="114300" distR="114300">
                  <wp:extent cx="1276350" cy="1233805"/>
                  <wp:effectExtent l="0" t="0" r="0"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4"/>
                          <a:stretch>
                            <a:fillRect/>
                          </a:stretch>
                        </pic:blipFill>
                        <pic:spPr>
                          <a:xfrm>
                            <a:off x="0" y="0"/>
                            <a:ext cx="1276350" cy="1233805"/>
                          </a:xfrm>
                          <a:prstGeom prst="rect">
                            <a:avLst/>
                          </a:prstGeom>
                          <a:noFill/>
                          <a:ln>
                            <a:noFill/>
                          </a:ln>
                        </pic:spPr>
                      </pic:pic>
                    </a:graphicData>
                  </a:graphic>
                </wp:inline>
              </w:drawing>
            </w:r>
          </w:p>
        </w:tc>
        <w:tc>
          <w:tcPr>
            <w:tcW w:w="2839" w:type="dxa"/>
            <w:vAlign w:val="center"/>
          </w:tcPr>
          <w:p w14:paraId="07DA869F">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医疗废物</w:t>
            </w:r>
          </w:p>
        </w:tc>
        <w:tc>
          <w:tcPr>
            <w:tcW w:w="2839" w:type="dxa"/>
            <w:vAlign w:val="center"/>
          </w:tcPr>
          <w:p w14:paraId="44B278BE">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表示医疗废物贮存、处置场</w:t>
            </w:r>
          </w:p>
        </w:tc>
      </w:tr>
    </w:tbl>
    <w:p w14:paraId="373F43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卫生要求：</w:t>
      </w:r>
    </w:p>
    <w:p w14:paraId="5215EE5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①医疗废物暂时贮存库房每天应在废物清运之后消毒冲洗，冲洗液应排入医疗卫生机构内的医疗废水消毒、处理系统；</w:t>
      </w:r>
    </w:p>
    <w:p w14:paraId="7F717A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②医疗废物暂时贮存柜（箱）应每天消毒一次。</w:t>
      </w:r>
    </w:p>
    <w:p w14:paraId="2DF3F4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暂时贮存时间：</w:t>
      </w:r>
    </w:p>
    <w:p w14:paraId="58D720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①应防止医疗废物在暂时贮存库房和专用暂时贮存柜（箱）中腐败散发恶臭，尽量做到日产日清；</w:t>
      </w:r>
    </w:p>
    <w:p w14:paraId="5B4711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②确实不能做到日产日清，且当地最高气温高于25℃时，应将医疗废物低温暂时贮存，暂时贮存温度应低于20℃，时间最长</w:t>
      </w:r>
      <w:r>
        <w:rPr>
          <w:rFonts w:hint="default" w:ascii="Times New Roman" w:hAnsi="Times New Roman" w:eastAsia="宋体" w:cs="Times New Roman"/>
          <w:b/>
          <w:bCs/>
          <w:color w:val="auto"/>
          <w:sz w:val="24"/>
          <w:szCs w:val="24"/>
          <w:lang w:eastAsia="zh-CN"/>
        </w:rPr>
        <w:t>不超过48小时</w:t>
      </w:r>
      <w:r>
        <w:rPr>
          <w:rFonts w:hint="default" w:ascii="Times New Roman" w:hAnsi="Times New Roman" w:eastAsia="宋体" w:cs="Times New Roman"/>
          <w:color w:val="auto"/>
          <w:sz w:val="24"/>
          <w:szCs w:val="24"/>
          <w:lang w:eastAsia="zh-CN"/>
        </w:rPr>
        <w:t>。</w:t>
      </w:r>
    </w:p>
    <w:p w14:paraId="6215C2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管理制度：</w:t>
      </w:r>
    </w:p>
    <w:p w14:paraId="7FBC040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①医疗卫生机构应制定医疗废物暂时贮存管理的有关规章制度、工作程序及应急处理措施；</w:t>
      </w:r>
    </w:p>
    <w:p w14:paraId="290DCE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②医疗卫生机构的暂时贮存库房和医疗废物专用暂时贮存柜（箱）存放地，应当接受当地环保和卫生主管部门的监督检查。</w:t>
      </w:r>
    </w:p>
    <w:p w14:paraId="06796061">
      <w:pPr>
        <w:spacing w:line="360" w:lineRule="auto"/>
        <w:ind w:firstLine="480" w:firstLineChars="200"/>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lang w:eastAsia="zh-CN"/>
        </w:rPr>
        <w:t>通过采取以上措施，项目固废均得到合理处置，对环境影响较小。</w:t>
      </w:r>
    </w:p>
    <w:p w14:paraId="7782C0A1">
      <w:pPr>
        <w:spacing w:line="360" w:lineRule="auto"/>
        <w:ind w:firstLine="480" w:firstLineChars="200"/>
        <w:outlineLvl w:val="1"/>
        <w:rPr>
          <w:rFonts w:hint="default" w:ascii="Times New Roman" w:hAnsi="Times New Roman" w:eastAsia="宋体" w:cs="Times New Roman"/>
          <w:color w:val="auto"/>
          <w:sz w:val="24"/>
          <w:szCs w:val="24"/>
          <w:lang w:val="en-US" w:eastAsia="zh-CN"/>
        </w:rPr>
      </w:pPr>
      <w:bookmarkStart w:id="1465" w:name="_Toc25979"/>
      <w:bookmarkStart w:id="1466" w:name="_Toc14941"/>
      <w:bookmarkStart w:id="1467" w:name="_Toc15232"/>
      <w:bookmarkStart w:id="1468" w:name="_Toc3623"/>
      <w:bookmarkStart w:id="1469" w:name="_Toc19172"/>
      <w:r>
        <w:rPr>
          <w:rFonts w:hint="default" w:ascii="Times New Roman" w:hAnsi="Times New Roman" w:eastAsia="宋体" w:cs="Times New Roman"/>
          <w:color w:val="auto"/>
          <w:sz w:val="24"/>
          <w:szCs w:val="24"/>
          <w:lang w:val="en-US" w:eastAsia="zh-CN"/>
        </w:rPr>
        <w:t>③转运要求</w:t>
      </w:r>
      <w:bookmarkEnd w:id="1465"/>
      <w:bookmarkEnd w:id="1466"/>
      <w:bookmarkEnd w:id="1467"/>
      <w:bookmarkEnd w:id="1468"/>
      <w:bookmarkEnd w:id="1469"/>
    </w:p>
    <w:p w14:paraId="64FF4D8F">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eastAsia="zh-CN"/>
        </w:rPr>
        <w:t>危险废物的处置需严格按照《危险废物转移管理办法》规定办理危险废物转移手续，并严格执行《危险废物转移管理办法》规定，防止二次污染。</w:t>
      </w:r>
      <w:r>
        <w:rPr>
          <w:rFonts w:hint="default" w:ascii="Times New Roman" w:hAnsi="Times New Roman" w:eastAsia="宋体" w:cs="Times New Roman"/>
          <w:color w:val="auto"/>
          <w:sz w:val="24"/>
          <w:szCs w:val="24"/>
          <w:lang w:val="en-US" w:eastAsia="zh-CN"/>
        </w:rPr>
        <w:t>危险废物每次外运处置均需做好运输登记，认真填写危险废</w:t>
      </w:r>
      <w:r>
        <w:rPr>
          <w:rFonts w:hint="default" w:ascii="Times New Roman" w:hAnsi="Times New Roman" w:eastAsia="宋体" w:cs="Times New Roman"/>
          <w:color w:val="auto"/>
          <w:sz w:val="24"/>
          <w:szCs w:val="24"/>
          <w:highlight w:val="none"/>
          <w:lang w:val="en-US" w:eastAsia="zh-CN"/>
        </w:rPr>
        <w:t>物转移联单和危险废物管理台账，台账记录需真实填写废物运出的日期、时间、数量、交接的人员等相关信息。</w:t>
      </w:r>
    </w:p>
    <w:p w14:paraId="42DEBED3">
      <w:pPr>
        <w:pStyle w:val="7"/>
        <w:tabs>
          <w:tab w:val="left" w:pos="389"/>
        </w:tabs>
        <w:bidi w:val="0"/>
        <w:rPr>
          <w:rFonts w:hint="default" w:ascii="Times New Roman" w:hAnsi="Times New Roman" w:eastAsia="宋体" w:cs="Times New Roman"/>
          <w:color w:val="auto"/>
        </w:rPr>
      </w:pPr>
      <w:bookmarkStart w:id="1470" w:name="_Toc8886"/>
      <w:bookmarkStart w:id="1471" w:name="_Toc81"/>
      <w:r>
        <w:rPr>
          <w:rFonts w:hint="default" w:ascii="Times New Roman" w:hAnsi="Times New Roman" w:eastAsia="宋体" w:cs="Times New Roman"/>
          <w:color w:val="auto"/>
          <w:lang w:val="en-US" w:eastAsia="zh-CN"/>
        </w:rPr>
        <w:t>3.2.</w:t>
      </w:r>
      <w:r>
        <w:rPr>
          <w:rFonts w:hint="default" w:ascii="Times New Roman" w:hAnsi="Times New Roman" w:eastAsia="宋体" w:cs="Times New Roman"/>
          <w:color w:val="auto"/>
          <w:lang w:val="en-US" w:eastAsia="zh-CN"/>
        </w:rPr>
        <w:tab/>
      </w:r>
      <w:r>
        <w:rPr>
          <w:rFonts w:hint="default" w:ascii="Times New Roman" w:hAnsi="Times New Roman" w:eastAsia="宋体" w:cs="Times New Roman"/>
          <w:color w:val="auto"/>
          <w:lang w:val="en-US" w:eastAsia="zh-CN"/>
        </w:rPr>
        <w:t>4运营期污染物产生及排放情况统计</w:t>
      </w:r>
      <w:bookmarkEnd w:id="1470"/>
    </w:p>
    <w:bookmarkEnd w:id="1471"/>
    <w:p w14:paraId="37F74D4B">
      <w:pPr>
        <w:spacing w:line="360" w:lineRule="auto"/>
        <w:ind w:firstLine="480" w:firstLineChars="200"/>
        <w:rPr>
          <w:rFonts w:hint="default" w:ascii="Times New Roman" w:hAnsi="Times New Roman" w:eastAsia="宋体" w:cs="Times New Roman"/>
          <w:i w:val="0"/>
          <w:iCs w:val="0"/>
          <w:caps w:val="0"/>
          <w:color w:val="auto"/>
          <w:spacing w:val="0"/>
          <w:kern w:val="0"/>
          <w:sz w:val="24"/>
          <w:szCs w:val="24"/>
          <w:shd w:val="clear" w:fill="FFFFFF"/>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据以上情况，项目废水、废气、噪声及各类固废均采取有效的治理措施，其污染物产生及排放情况见下表。</w:t>
      </w:r>
    </w:p>
    <w:p w14:paraId="32D1FDF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表3.2-1</w:t>
      </w:r>
      <w:r>
        <w:rPr>
          <w:rFonts w:hint="eastAsia" w:cs="Times New Roman"/>
          <w:b/>
          <w:bCs/>
          <w:i w:val="0"/>
          <w:iCs w:val="0"/>
          <w:caps w:val="0"/>
          <w:color w:val="auto"/>
          <w:spacing w:val="0"/>
          <w:kern w:val="0"/>
          <w:sz w:val="21"/>
          <w:szCs w:val="21"/>
          <w:shd w:val="clear" w:fill="FFFFFF"/>
          <w:lang w:val="en-US" w:eastAsia="zh-CN" w:bidi="ar"/>
        </w:rPr>
        <w:t>7</w:t>
      </w: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 xml:space="preserve"> 本项目污染物产排情况汇总表</w:t>
      </w:r>
    </w:p>
    <w:tbl>
      <w:tblPr>
        <w:tblStyle w:val="21"/>
        <w:tblW w:w="1389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56"/>
        <w:gridCol w:w="1461"/>
        <w:gridCol w:w="1984"/>
        <w:gridCol w:w="2250"/>
        <w:gridCol w:w="1777"/>
        <w:gridCol w:w="4581"/>
      </w:tblGrid>
      <w:tr w14:paraId="6A1E1E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shd w:val="clear" w:color="auto" w:fill="D7D7D7" w:themeFill="background1" w:themeFillShade="D8"/>
            <w:vAlign w:val="center"/>
          </w:tcPr>
          <w:p w14:paraId="5E34552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类别</w:t>
            </w:r>
          </w:p>
        </w:tc>
        <w:tc>
          <w:tcPr>
            <w:tcW w:w="2517" w:type="dxa"/>
            <w:gridSpan w:val="2"/>
            <w:shd w:val="clear" w:color="auto" w:fill="D7D7D7" w:themeFill="background1" w:themeFillShade="D8"/>
            <w:vAlign w:val="center"/>
          </w:tcPr>
          <w:p w14:paraId="6EA7726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污染物</w:t>
            </w:r>
          </w:p>
        </w:tc>
        <w:tc>
          <w:tcPr>
            <w:tcW w:w="1984" w:type="dxa"/>
            <w:shd w:val="clear" w:color="auto" w:fill="D7D7D7" w:themeFill="background1" w:themeFillShade="D8"/>
            <w:vAlign w:val="center"/>
          </w:tcPr>
          <w:p w14:paraId="22C2353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产生量</w:t>
            </w:r>
          </w:p>
        </w:tc>
        <w:tc>
          <w:tcPr>
            <w:tcW w:w="2250" w:type="dxa"/>
            <w:shd w:val="clear" w:color="auto" w:fill="D7D7D7" w:themeFill="background1" w:themeFillShade="D8"/>
            <w:vAlign w:val="center"/>
          </w:tcPr>
          <w:p w14:paraId="0D6D811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排放量</w:t>
            </w:r>
          </w:p>
        </w:tc>
        <w:tc>
          <w:tcPr>
            <w:tcW w:w="1777" w:type="dxa"/>
            <w:shd w:val="clear" w:color="auto" w:fill="D7D7D7" w:themeFill="background1" w:themeFillShade="D8"/>
            <w:vAlign w:val="center"/>
          </w:tcPr>
          <w:p w14:paraId="603C472E">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排放浓度</w:t>
            </w:r>
          </w:p>
        </w:tc>
        <w:tc>
          <w:tcPr>
            <w:tcW w:w="4581" w:type="dxa"/>
            <w:shd w:val="clear" w:color="auto" w:fill="D7D7D7" w:themeFill="background1" w:themeFillShade="D8"/>
            <w:vAlign w:val="center"/>
          </w:tcPr>
          <w:p w14:paraId="121207B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处理方式</w:t>
            </w:r>
          </w:p>
        </w:tc>
      </w:tr>
      <w:tr w14:paraId="3EDC81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restart"/>
            <w:vAlign w:val="center"/>
          </w:tcPr>
          <w:p w14:paraId="3719B88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废气</w:t>
            </w:r>
          </w:p>
        </w:tc>
        <w:tc>
          <w:tcPr>
            <w:tcW w:w="1056" w:type="dxa"/>
            <w:vMerge w:val="restart"/>
            <w:vAlign w:val="center"/>
          </w:tcPr>
          <w:p w14:paraId="58A84CE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w:t>
            </w:r>
          </w:p>
        </w:tc>
        <w:tc>
          <w:tcPr>
            <w:tcW w:w="1461" w:type="dxa"/>
            <w:vAlign w:val="center"/>
          </w:tcPr>
          <w:p w14:paraId="40A37D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p>
        </w:tc>
        <w:tc>
          <w:tcPr>
            <w:tcW w:w="1984" w:type="dxa"/>
            <w:vAlign w:val="center"/>
          </w:tcPr>
          <w:p w14:paraId="7617FB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18</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2250" w:type="dxa"/>
            <w:vAlign w:val="center"/>
          </w:tcPr>
          <w:p w14:paraId="63CE58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0.00</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34</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32CB4D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08</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mg/m</w:t>
            </w:r>
            <w:r>
              <w:rPr>
                <w:rFonts w:hint="default" w:ascii="Times New Roman" w:hAnsi="Times New Roman" w:eastAsia="宋体" w:cs="Times New Roman"/>
                <w:i w:val="0"/>
                <w:iCs w:val="0"/>
                <w:caps w:val="0"/>
                <w:color w:val="auto"/>
                <w:spacing w:val="0"/>
                <w:kern w:val="0"/>
                <w:sz w:val="21"/>
                <w:szCs w:val="21"/>
                <w:shd w:val="clear" w:fill="FFFFFF"/>
                <w:vertAlign w:val="superscript"/>
                <w:lang w:val="en-US" w:eastAsia="zh-CN" w:bidi="ar"/>
              </w:rPr>
              <w:t>3</w:t>
            </w:r>
          </w:p>
        </w:tc>
        <w:tc>
          <w:tcPr>
            <w:tcW w:w="4581" w:type="dxa"/>
            <w:vMerge w:val="restart"/>
            <w:vAlign w:val="center"/>
          </w:tcPr>
          <w:p w14:paraId="6EF13D5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紫外消毒+活性炭吸附+25m排气筒（DA001）</w:t>
            </w:r>
          </w:p>
        </w:tc>
      </w:tr>
      <w:tr w14:paraId="7A27A0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7AE48AA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0CF24F1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461" w:type="dxa"/>
            <w:vAlign w:val="center"/>
          </w:tcPr>
          <w:p w14:paraId="3DA1C9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S</w:t>
            </w:r>
          </w:p>
        </w:tc>
        <w:tc>
          <w:tcPr>
            <w:tcW w:w="1984" w:type="dxa"/>
            <w:vAlign w:val="center"/>
          </w:tcPr>
          <w:p w14:paraId="1668EA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lang w:val="en-US" w:eastAsia="zh-CN"/>
              </w:rPr>
              <w:t>0.000</w:t>
            </w:r>
            <w:r>
              <w:rPr>
                <w:rFonts w:hint="eastAsia"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2250" w:type="dxa"/>
            <w:vAlign w:val="center"/>
          </w:tcPr>
          <w:p w14:paraId="5F1E8E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0.0001</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59BCFE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0.004</w:t>
            </w:r>
            <w:r>
              <w:rPr>
                <w:rFonts w:hint="eastAsia"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mg/m</w:t>
            </w:r>
            <w:r>
              <w:rPr>
                <w:rFonts w:hint="default" w:ascii="Times New Roman" w:hAnsi="Times New Roman" w:eastAsia="宋体" w:cs="Times New Roman"/>
                <w:i w:val="0"/>
                <w:iCs w:val="0"/>
                <w:caps w:val="0"/>
                <w:color w:val="auto"/>
                <w:spacing w:val="0"/>
                <w:kern w:val="0"/>
                <w:sz w:val="21"/>
                <w:szCs w:val="21"/>
                <w:shd w:val="clear" w:fill="FFFFFF"/>
                <w:vertAlign w:val="superscript"/>
                <w:lang w:val="en-US" w:eastAsia="zh-CN" w:bidi="ar"/>
              </w:rPr>
              <w:t>3</w:t>
            </w:r>
          </w:p>
        </w:tc>
        <w:tc>
          <w:tcPr>
            <w:tcW w:w="4581" w:type="dxa"/>
            <w:vMerge w:val="continue"/>
            <w:vAlign w:val="center"/>
          </w:tcPr>
          <w:p w14:paraId="4EC76A2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D581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1E762C4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44B850A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固废暂存间恶臭</w:t>
            </w:r>
          </w:p>
        </w:tc>
        <w:tc>
          <w:tcPr>
            <w:tcW w:w="1984" w:type="dxa"/>
            <w:vAlign w:val="center"/>
          </w:tcPr>
          <w:p w14:paraId="476A861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少量</w:t>
            </w:r>
          </w:p>
        </w:tc>
        <w:tc>
          <w:tcPr>
            <w:tcW w:w="2250" w:type="dxa"/>
            <w:vAlign w:val="center"/>
          </w:tcPr>
          <w:p w14:paraId="6F821E2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少量</w:t>
            </w:r>
          </w:p>
        </w:tc>
        <w:tc>
          <w:tcPr>
            <w:tcW w:w="1777" w:type="dxa"/>
            <w:vAlign w:val="center"/>
          </w:tcPr>
          <w:p w14:paraId="0C6CB73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Align w:val="center"/>
          </w:tcPr>
          <w:p w14:paraId="6EE9C66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加强通风、及时处理、定期消毒</w:t>
            </w:r>
          </w:p>
        </w:tc>
      </w:tr>
      <w:tr w14:paraId="6C9F5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6AC6DB0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Align w:val="center"/>
          </w:tcPr>
          <w:p w14:paraId="5EC1DFD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食堂</w:t>
            </w:r>
          </w:p>
        </w:tc>
        <w:tc>
          <w:tcPr>
            <w:tcW w:w="1461" w:type="dxa"/>
            <w:vAlign w:val="center"/>
          </w:tcPr>
          <w:p w14:paraId="4410BB8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油烟</w:t>
            </w:r>
          </w:p>
        </w:tc>
        <w:tc>
          <w:tcPr>
            <w:tcW w:w="1984" w:type="dxa"/>
            <w:vAlign w:val="center"/>
          </w:tcPr>
          <w:p w14:paraId="2CEA8D1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1.2264t/a</w:t>
            </w:r>
          </w:p>
        </w:tc>
        <w:tc>
          <w:tcPr>
            <w:tcW w:w="2250" w:type="dxa"/>
            <w:vAlign w:val="center"/>
          </w:tcPr>
          <w:p w14:paraId="5DFCCEF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0.31</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341B323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1.77mg/m</w:t>
            </w:r>
            <w:r>
              <w:rPr>
                <w:rFonts w:hint="default" w:ascii="Times New Roman" w:hAnsi="Times New Roman" w:eastAsia="宋体" w:cs="Times New Roman"/>
                <w:i w:val="0"/>
                <w:iCs w:val="0"/>
                <w:caps w:val="0"/>
                <w:color w:val="auto"/>
                <w:spacing w:val="0"/>
                <w:kern w:val="0"/>
                <w:sz w:val="21"/>
                <w:szCs w:val="21"/>
                <w:shd w:val="clear" w:fill="FFFFFF"/>
                <w:vertAlign w:val="superscript"/>
                <w:lang w:val="en-US" w:eastAsia="zh-CN" w:bidi="ar"/>
              </w:rPr>
              <w:t>3</w:t>
            </w:r>
          </w:p>
        </w:tc>
        <w:tc>
          <w:tcPr>
            <w:tcW w:w="4581" w:type="dxa"/>
            <w:vAlign w:val="center"/>
          </w:tcPr>
          <w:p w14:paraId="78C5CA8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油烟净化器</w:t>
            </w:r>
          </w:p>
        </w:tc>
      </w:tr>
      <w:tr w14:paraId="26978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461834D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restart"/>
            <w:vAlign w:val="center"/>
          </w:tcPr>
          <w:p w14:paraId="5D4B4DC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汽车尾气</w:t>
            </w:r>
          </w:p>
        </w:tc>
        <w:tc>
          <w:tcPr>
            <w:tcW w:w="1461" w:type="dxa"/>
            <w:vAlign w:val="center"/>
          </w:tcPr>
          <w:p w14:paraId="5DD1C9D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CO</w:t>
            </w:r>
          </w:p>
        </w:tc>
        <w:tc>
          <w:tcPr>
            <w:tcW w:w="1984" w:type="dxa"/>
            <w:vAlign w:val="center"/>
          </w:tcPr>
          <w:p w14:paraId="24030EA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15.84</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2250" w:type="dxa"/>
            <w:vAlign w:val="center"/>
          </w:tcPr>
          <w:p w14:paraId="4A94513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15.84</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1A5ED4A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restart"/>
            <w:vAlign w:val="center"/>
          </w:tcPr>
          <w:p w14:paraId="37E105D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经机械排放系统排出地下停车场</w:t>
            </w:r>
          </w:p>
        </w:tc>
      </w:tr>
      <w:tr w14:paraId="12C3A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7080075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12C6520E">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461" w:type="dxa"/>
            <w:vAlign w:val="center"/>
          </w:tcPr>
          <w:p w14:paraId="60D545F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NOx</w:t>
            </w:r>
          </w:p>
        </w:tc>
        <w:tc>
          <w:tcPr>
            <w:tcW w:w="1984" w:type="dxa"/>
            <w:vAlign w:val="center"/>
          </w:tcPr>
          <w:p w14:paraId="1BAA05A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6.67</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2250" w:type="dxa"/>
            <w:vAlign w:val="center"/>
          </w:tcPr>
          <w:p w14:paraId="771B4BD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6.67</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5ED0A0F0">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continue"/>
            <w:vAlign w:val="center"/>
          </w:tcPr>
          <w:p w14:paraId="42D3D9C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353E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4EE1BC3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46DC9E4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461" w:type="dxa"/>
            <w:vAlign w:val="center"/>
          </w:tcPr>
          <w:p w14:paraId="6A66D38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THC</w:t>
            </w:r>
          </w:p>
        </w:tc>
        <w:tc>
          <w:tcPr>
            <w:tcW w:w="1984" w:type="dxa"/>
            <w:vAlign w:val="center"/>
          </w:tcPr>
          <w:p w14:paraId="329CF97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1.04</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2250" w:type="dxa"/>
            <w:vAlign w:val="center"/>
          </w:tcPr>
          <w:p w14:paraId="2BBCDAC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1.04</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t/a</w:t>
            </w:r>
          </w:p>
        </w:tc>
        <w:tc>
          <w:tcPr>
            <w:tcW w:w="1777" w:type="dxa"/>
            <w:vAlign w:val="center"/>
          </w:tcPr>
          <w:p w14:paraId="653BC218">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continue"/>
            <w:vAlign w:val="center"/>
          </w:tcPr>
          <w:p w14:paraId="41C48D8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52403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10BF868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restart"/>
            <w:vAlign w:val="center"/>
          </w:tcPr>
          <w:p w14:paraId="1B4529C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备用柴油发电机废气</w:t>
            </w:r>
          </w:p>
        </w:tc>
        <w:tc>
          <w:tcPr>
            <w:tcW w:w="1461" w:type="dxa"/>
            <w:vAlign w:val="center"/>
          </w:tcPr>
          <w:p w14:paraId="6ACA137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二氧化硫</w:t>
            </w:r>
          </w:p>
        </w:tc>
        <w:tc>
          <w:tcPr>
            <w:tcW w:w="1984" w:type="dxa"/>
            <w:vAlign w:val="center"/>
          </w:tcPr>
          <w:p w14:paraId="3673873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59.62kg/a</w:t>
            </w:r>
          </w:p>
        </w:tc>
        <w:tc>
          <w:tcPr>
            <w:tcW w:w="2250" w:type="dxa"/>
            <w:vAlign w:val="center"/>
          </w:tcPr>
          <w:p w14:paraId="0383D14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59.62kg/a</w:t>
            </w:r>
          </w:p>
        </w:tc>
        <w:tc>
          <w:tcPr>
            <w:tcW w:w="1777" w:type="dxa"/>
            <w:vAlign w:val="center"/>
          </w:tcPr>
          <w:p w14:paraId="7189C27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restart"/>
            <w:vAlign w:val="center"/>
          </w:tcPr>
          <w:p w14:paraId="1A9D923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自带消烟除尘系统</w:t>
            </w:r>
          </w:p>
        </w:tc>
      </w:tr>
      <w:tr w14:paraId="3A6E5C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6F11B8F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3295E88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461" w:type="dxa"/>
            <w:vAlign w:val="center"/>
          </w:tcPr>
          <w:p w14:paraId="3C6B394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氮氧化物</w:t>
            </w:r>
          </w:p>
        </w:tc>
        <w:tc>
          <w:tcPr>
            <w:tcW w:w="1984" w:type="dxa"/>
            <w:vAlign w:val="center"/>
          </w:tcPr>
          <w:p w14:paraId="74C3F29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38.16kg/a</w:t>
            </w:r>
          </w:p>
        </w:tc>
        <w:tc>
          <w:tcPr>
            <w:tcW w:w="2250" w:type="dxa"/>
            <w:vAlign w:val="center"/>
          </w:tcPr>
          <w:p w14:paraId="198994A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38.16kg/a</w:t>
            </w:r>
          </w:p>
        </w:tc>
        <w:tc>
          <w:tcPr>
            <w:tcW w:w="1777" w:type="dxa"/>
            <w:vAlign w:val="center"/>
          </w:tcPr>
          <w:p w14:paraId="765217B1">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continue"/>
            <w:vAlign w:val="center"/>
          </w:tcPr>
          <w:p w14:paraId="4603152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1A55F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0AF9388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6F751D7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461" w:type="dxa"/>
            <w:vAlign w:val="center"/>
          </w:tcPr>
          <w:p w14:paraId="043F8BE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烟尘</w:t>
            </w:r>
          </w:p>
        </w:tc>
        <w:tc>
          <w:tcPr>
            <w:tcW w:w="1984" w:type="dxa"/>
            <w:vAlign w:val="center"/>
          </w:tcPr>
          <w:p w14:paraId="7A3435E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10.64kg/a</w:t>
            </w:r>
          </w:p>
        </w:tc>
        <w:tc>
          <w:tcPr>
            <w:tcW w:w="2250" w:type="dxa"/>
            <w:vAlign w:val="center"/>
          </w:tcPr>
          <w:p w14:paraId="65B8DDF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10.64kg/a</w:t>
            </w:r>
          </w:p>
        </w:tc>
        <w:tc>
          <w:tcPr>
            <w:tcW w:w="1777" w:type="dxa"/>
            <w:vAlign w:val="center"/>
          </w:tcPr>
          <w:p w14:paraId="456B2F74">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continue"/>
            <w:vAlign w:val="center"/>
          </w:tcPr>
          <w:p w14:paraId="6AAEB42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79985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7D832F5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76DEF1C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eastAsia" w:cs="Times New Roman"/>
                <w:i w:val="0"/>
                <w:iCs w:val="0"/>
                <w:caps w:val="0"/>
                <w:color w:val="auto"/>
                <w:spacing w:val="0"/>
                <w:kern w:val="0"/>
                <w:sz w:val="21"/>
                <w:szCs w:val="21"/>
                <w:shd w:val="clear" w:fill="FFFFFF"/>
                <w:lang w:val="en-US" w:eastAsia="zh-CN" w:bidi="ar"/>
              </w:rPr>
              <w:t>中药熬制异味</w:t>
            </w:r>
          </w:p>
        </w:tc>
        <w:tc>
          <w:tcPr>
            <w:tcW w:w="1984" w:type="dxa"/>
            <w:vAlign w:val="center"/>
          </w:tcPr>
          <w:p w14:paraId="497C154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少量</w:t>
            </w:r>
          </w:p>
        </w:tc>
        <w:tc>
          <w:tcPr>
            <w:tcW w:w="2250" w:type="dxa"/>
            <w:vAlign w:val="center"/>
          </w:tcPr>
          <w:p w14:paraId="76C48B6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少量</w:t>
            </w:r>
          </w:p>
        </w:tc>
        <w:tc>
          <w:tcPr>
            <w:tcW w:w="1777" w:type="dxa"/>
            <w:vAlign w:val="center"/>
          </w:tcPr>
          <w:p w14:paraId="7741F1F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Align w:val="center"/>
          </w:tcPr>
          <w:p w14:paraId="2B839B4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cs="Times New Roman"/>
                <w:i w:val="0"/>
                <w:iCs w:val="0"/>
                <w:caps w:val="0"/>
                <w:color w:val="auto"/>
                <w:spacing w:val="0"/>
                <w:kern w:val="0"/>
                <w:sz w:val="21"/>
                <w:szCs w:val="21"/>
                <w:shd w:val="clear" w:fill="FFFFFF"/>
                <w:lang w:val="en-US" w:eastAsia="zh-CN" w:bidi="ar"/>
              </w:rPr>
              <w:t>机械排风</w:t>
            </w:r>
          </w:p>
        </w:tc>
      </w:tr>
      <w:tr w14:paraId="14AD4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restart"/>
            <w:vAlign w:val="center"/>
          </w:tcPr>
          <w:p w14:paraId="182299C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废水</w:t>
            </w:r>
          </w:p>
        </w:tc>
        <w:tc>
          <w:tcPr>
            <w:tcW w:w="2517" w:type="dxa"/>
            <w:gridSpan w:val="2"/>
            <w:vAlign w:val="center"/>
          </w:tcPr>
          <w:p w14:paraId="5A40480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废水量</w:t>
            </w:r>
          </w:p>
        </w:tc>
        <w:tc>
          <w:tcPr>
            <w:tcW w:w="1984" w:type="dxa"/>
            <w:vAlign w:val="center"/>
          </w:tcPr>
          <w:p w14:paraId="3505743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cs="Times New Roman"/>
                <w:b w:val="0"/>
                <w:bCs w:val="0"/>
                <w:i w:val="0"/>
                <w:iCs w:val="0"/>
                <w:caps w:val="0"/>
                <w:color w:val="auto"/>
                <w:spacing w:val="0"/>
                <w:kern w:val="0"/>
                <w:sz w:val="21"/>
                <w:szCs w:val="21"/>
                <w:u w:val="none"/>
                <w:shd w:val="clear" w:fill="FFFFFF"/>
                <w:vertAlign w:val="baseline"/>
                <w:lang w:val="en-US" w:eastAsia="zh-CN" w:bidi="ar"/>
              </w:rPr>
              <w:t>8</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p>
        </w:tc>
        <w:tc>
          <w:tcPr>
            <w:tcW w:w="2250" w:type="dxa"/>
            <w:vAlign w:val="center"/>
          </w:tcPr>
          <w:p w14:paraId="37FD928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cs="Times New Roman"/>
                <w:b w:val="0"/>
                <w:bCs w:val="0"/>
                <w:i w:val="0"/>
                <w:iCs w:val="0"/>
                <w:caps w:val="0"/>
                <w:color w:val="auto"/>
                <w:spacing w:val="0"/>
                <w:kern w:val="0"/>
                <w:sz w:val="21"/>
                <w:szCs w:val="21"/>
                <w:u w:val="none"/>
                <w:shd w:val="clear" w:fill="FFFFFF"/>
                <w:vertAlign w:val="baseline"/>
                <w:lang w:val="en-US" w:eastAsia="zh-CN" w:bidi="ar"/>
              </w:rPr>
              <w:t>8</w:t>
            </w: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00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p>
        </w:tc>
        <w:tc>
          <w:tcPr>
            <w:tcW w:w="1777" w:type="dxa"/>
            <w:vAlign w:val="center"/>
          </w:tcPr>
          <w:p w14:paraId="7F41FAE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4581" w:type="dxa"/>
            <w:vMerge w:val="restart"/>
            <w:vAlign w:val="center"/>
          </w:tcPr>
          <w:p w14:paraId="16BB2FD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感染废水经消毒预处理后进入化粪池处理后进入院内污水处理站，非感染废水化粪池处理后进入院内污水处理站，餐饮废水经隔油池处理后一起排入污水处理站处理后排入市政管网。</w:t>
            </w:r>
          </w:p>
        </w:tc>
      </w:tr>
      <w:tr w14:paraId="4C0AA8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3DA97E6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2FE4046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color w:val="auto"/>
                <w:sz w:val="21"/>
                <w:szCs w:val="21"/>
                <w:highlight w:val="none"/>
              </w:rPr>
              <w:t>pH</w:t>
            </w:r>
          </w:p>
        </w:tc>
        <w:tc>
          <w:tcPr>
            <w:tcW w:w="1984" w:type="dxa"/>
            <w:vAlign w:val="center"/>
          </w:tcPr>
          <w:p w14:paraId="00DDCDCF">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Cs w:val="22"/>
                <w:highlight w:val="none"/>
              </w:rPr>
              <w:t>/</w:t>
            </w:r>
          </w:p>
        </w:tc>
        <w:tc>
          <w:tcPr>
            <w:tcW w:w="2250" w:type="dxa"/>
            <w:vAlign w:val="center"/>
          </w:tcPr>
          <w:p w14:paraId="6D44C434">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Cs w:val="22"/>
                <w:highlight w:val="none"/>
              </w:rPr>
              <w:t>/</w:t>
            </w:r>
          </w:p>
        </w:tc>
        <w:tc>
          <w:tcPr>
            <w:tcW w:w="1777" w:type="dxa"/>
            <w:vAlign w:val="center"/>
          </w:tcPr>
          <w:p w14:paraId="43F9E98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highlight w:val="none"/>
                <w:lang w:val="en-US" w:eastAsia="zh-CN"/>
              </w:rPr>
              <w:t>6-9（无量纲）</w:t>
            </w:r>
          </w:p>
        </w:tc>
        <w:tc>
          <w:tcPr>
            <w:tcW w:w="4581" w:type="dxa"/>
            <w:vMerge w:val="continue"/>
            <w:vAlign w:val="center"/>
          </w:tcPr>
          <w:p w14:paraId="739E0E9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12EBE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1CD2F93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083537A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color w:val="auto"/>
                <w:sz w:val="21"/>
                <w:szCs w:val="21"/>
                <w:highlight w:val="none"/>
              </w:rPr>
              <w:t>SS</w:t>
            </w:r>
          </w:p>
        </w:tc>
        <w:tc>
          <w:tcPr>
            <w:tcW w:w="1984" w:type="dxa"/>
            <w:vAlign w:val="center"/>
          </w:tcPr>
          <w:p w14:paraId="1FF25A95">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23.36</w:t>
            </w:r>
            <w:r>
              <w:rPr>
                <w:rFonts w:hint="default" w:ascii="Times New Roman" w:hAnsi="Times New Roman" w:eastAsia="宋体" w:cs="Times New Roman"/>
                <w:b w:val="0"/>
                <w:bCs w:val="0"/>
                <w:color w:val="auto"/>
                <w:szCs w:val="22"/>
                <w:highlight w:val="none"/>
              </w:rPr>
              <w:t>t/a</w:t>
            </w:r>
          </w:p>
        </w:tc>
        <w:tc>
          <w:tcPr>
            <w:tcW w:w="2250" w:type="dxa"/>
            <w:vAlign w:val="center"/>
          </w:tcPr>
          <w:p w14:paraId="3D293B7A">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17.52</w:t>
            </w:r>
            <w:r>
              <w:rPr>
                <w:rFonts w:hint="default" w:ascii="Times New Roman" w:hAnsi="Times New Roman" w:eastAsia="宋体" w:cs="Times New Roman"/>
                <w:b w:val="0"/>
                <w:bCs w:val="0"/>
                <w:color w:val="auto"/>
                <w:szCs w:val="22"/>
                <w:highlight w:val="none"/>
              </w:rPr>
              <w:t>t/a</w:t>
            </w:r>
          </w:p>
        </w:tc>
        <w:tc>
          <w:tcPr>
            <w:tcW w:w="1777" w:type="dxa"/>
            <w:vAlign w:val="center"/>
          </w:tcPr>
          <w:p w14:paraId="65B32A6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highlight w:val="none"/>
                <w:lang w:val="en-US" w:eastAsia="zh-CN"/>
              </w:rPr>
              <w:t>60</w:t>
            </w:r>
            <w:r>
              <w:rPr>
                <w:rFonts w:hint="default" w:ascii="Times New Roman" w:hAnsi="Times New Roman" w:eastAsia="宋体" w:cs="Times New Roman"/>
                <w:b w:val="0"/>
                <w:bCs w:val="0"/>
                <w:color w:val="auto"/>
                <w:sz w:val="21"/>
                <w:szCs w:val="21"/>
              </w:rPr>
              <w:t>mg/L</w:t>
            </w:r>
          </w:p>
        </w:tc>
        <w:tc>
          <w:tcPr>
            <w:tcW w:w="4581" w:type="dxa"/>
            <w:vMerge w:val="continue"/>
            <w:vAlign w:val="center"/>
          </w:tcPr>
          <w:p w14:paraId="6C2E2D4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0EB7C7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7EBFC3E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110015E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color w:val="auto"/>
                <w:sz w:val="21"/>
                <w:szCs w:val="21"/>
                <w:highlight w:val="none"/>
              </w:rPr>
              <w:t>COD</w:t>
            </w:r>
          </w:p>
        </w:tc>
        <w:tc>
          <w:tcPr>
            <w:tcW w:w="1984" w:type="dxa"/>
            <w:vAlign w:val="center"/>
          </w:tcPr>
          <w:p w14:paraId="490F9787">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87.6</w:t>
            </w:r>
            <w:r>
              <w:rPr>
                <w:rFonts w:hint="default" w:ascii="Times New Roman" w:hAnsi="Times New Roman" w:eastAsia="宋体" w:cs="Times New Roman"/>
                <w:b w:val="0"/>
                <w:bCs w:val="0"/>
                <w:color w:val="auto"/>
                <w:szCs w:val="22"/>
                <w:highlight w:val="none"/>
              </w:rPr>
              <w:t>t/a</w:t>
            </w:r>
          </w:p>
        </w:tc>
        <w:tc>
          <w:tcPr>
            <w:tcW w:w="2250" w:type="dxa"/>
            <w:vAlign w:val="center"/>
          </w:tcPr>
          <w:p w14:paraId="581AB846">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73</w:t>
            </w:r>
            <w:r>
              <w:rPr>
                <w:rFonts w:hint="default" w:ascii="Times New Roman" w:hAnsi="Times New Roman" w:eastAsia="宋体" w:cs="Times New Roman"/>
                <w:b w:val="0"/>
                <w:bCs w:val="0"/>
                <w:color w:val="auto"/>
                <w:szCs w:val="22"/>
                <w:highlight w:val="none"/>
              </w:rPr>
              <w:t>t/a</w:t>
            </w:r>
          </w:p>
        </w:tc>
        <w:tc>
          <w:tcPr>
            <w:tcW w:w="1777" w:type="dxa"/>
            <w:vAlign w:val="center"/>
          </w:tcPr>
          <w:p w14:paraId="1177B0D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highlight w:val="none"/>
                <w:lang w:val="en-US" w:eastAsia="zh-CN"/>
              </w:rPr>
              <w:t>250</w:t>
            </w:r>
            <w:r>
              <w:rPr>
                <w:rFonts w:hint="default" w:ascii="Times New Roman" w:hAnsi="Times New Roman" w:eastAsia="宋体" w:cs="Times New Roman"/>
                <w:b w:val="0"/>
                <w:bCs w:val="0"/>
                <w:color w:val="auto"/>
                <w:sz w:val="21"/>
                <w:szCs w:val="21"/>
              </w:rPr>
              <w:t>mg/L</w:t>
            </w:r>
          </w:p>
        </w:tc>
        <w:tc>
          <w:tcPr>
            <w:tcW w:w="4581" w:type="dxa"/>
            <w:vMerge w:val="continue"/>
            <w:vAlign w:val="center"/>
          </w:tcPr>
          <w:p w14:paraId="2610FE0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09313F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35AA80E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2190488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984" w:type="dxa"/>
            <w:vAlign w:val="center"/>
          </w:tcPr>
          <w:p w14:paraId="1707DA2C">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35.04</w:t>
            </w:r>
            <w:r>
              <w:rPr>
                <w:rFonts w:hint="default" w:ascii="Times New Roman" w:hAnsi="Times New Roman" w:eastAsia="宋体" w:cs="Times New Roman"/>
                <w:b w:val="0"/>
                <w:bCs w:val="0"/>
                <w:color w:val="auto"/>
                <w:szCs w:val="22"/>
                <w:highlight w:val="none"/>
              </w:rPr>
              <w:t>t/a</w:t>
            </w:r>
          </w:p>
        </w:tc>
        <w:tc>
          <w:tcPr>
            <w:tcW w:w="2250" w:type="dxa"/>
            <w:vAlign w:val="center"/>
          </w:tcPr>
          <w:p w14:paraId="1FD8A0E5">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29.2</w:t>
            </w:r>
            <w:r>
              <w:rPr>
                <w:rFonts w:hint="default" w:ascii="Times New Roman" w:hAnsi="Times New Roman" w:eastAsia="宋体" w:cs="Times New Roman"/>
                <w:b w:val="0"/>
                <w:bCs w:val="0"/>
                <w:color w:val="auto"/>
                <w:szCs w:val="22"/>
                <w:highlight w:val="none"/>
              </w:rPr>
              <w:t>t/a</w:t>
            </w:r>
          </w:p>
        </w:tc>
        <w:tc>
          <w:tcPr>
            <w:tcW w:w="1777" w:type="dxa"/>
            <w:vAlign w:val="center"/>
          </w:tcPr>
          <w:p w14:paraId="34767FC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highlight w:val="none"/>
                <w:lang w:val="en-US" w:eastAsia="zh-CN"/>
              </w:rPr>
              <w:t>100</w:t>
            </w:r>
            <w:r>
              <w:rPr>
                <w:rFonts w:hint="default" w:ascii="Times New Roman" w:hAnsi="Times New Roman" w:eastAsia="宋体" w:cs="Times New Roman"/>
                <w:b w:val="0"/>
                <w:bCs w:val="0"/>
                <w:color w:val="auto"/>
                <w:sz w:val="21"/>
                <w:szCs w:val="21"/>
              </w:rPr>
              <w:t>mg/L</w:t>
            </w:r>
          </w:p>
        </w:tc>
        <w:tc>
          <w:tcPr>
            <w:tcW w:w="4581" w:type="dxa"/>
            <w:vMerge w:val="continue"/>
            <w:vAlign w:val="center"/>
          </w:tcPr>
          <w:p w14:paraId="4B67D0B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750917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34BD8A6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7715405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color w:val="auto"/>
                <w:sz w:val="21"/>
                <w:szCs w:val="21"/>
                <w:highlight w:val="none"/>
              </w:rPr>
              <w:t>氨氮</w:t>
            </w:r>
          </w:p>
        </w:tc>
        <w:tc>
          <w:tcPr>
            <w:tcW w:w="1984" w:type="dxa"/>
            <w:vAlign w:val="center"/>
          </w:tcPr>
          <w:p w14:paraId="57C6BBA4">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14.6</w:t>
            </w:r>
            <w:r>
              <w:rPr>
                <w:rFonts w:hint="default" w:ascii="Times New Roman" w:hAnsi="Times New Roman" w:eastAsia="宋体" w:cs="Times New Roman"/>
                <w:b w:val="0"/>
                <w:bCs w:val="0"/>
                <w:color w:val="auto"/>
                <w:szCs w:val="22"/>
                <w:highlight w:val="none"/>
              </w:rPr>
              <w:t>t/a</w:t>
            </w:r>
          </w:p>
        </w:tc>
        <w:tc>
          <w:tcPr>
            <w:tcW w:w="2250" w:type="dxa"/>
            <w:vAlign w:val="center"/>
          </w:tcPr>
          <w:p w14:paraId="1CFB3187">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7.3</w:t>
            </w:r>
            <w:r>
              <w:rPr>
                <w:rFonts w:hint="default" w:ascii="Times New Roman" w:hAnsi="Times New Roman" w:eastAsia="宋体" w:cs="Times New Roman"/>
                <w:b w:val="0"/>
                <w:bCs w:val="0"/>
                <w:color w:val="auto"/>
                <w:szCs w:val="22"/>
                <w:highlight w:val="none"/>
              </w:rPr>
              <w:t>t/a</w:t>
            </w:r>
          </w:p>
        </w:tc>
        <w:tc>
          <w:tcPr>
            <w:tcW w:w="1777" w:type="dxa"/>
            <w:vAlign w:val="center"/>
          </w:tcPr>
          <w:p w14:paraId="06DEBBF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highlight w:val="none"/>
                <w:lang w:val="en-US" w:eastAsia="zh-CN"/>
              </w:rPr>
              <w:t>25</w:t>
            </w:r>
            <w:r>
              <w:rPr>
                <w:rFonts w:hint="default" w:ascii="Times New Roman" w:hAnsi="Times New Roman" w:eastAsia="宋体" w:cs="Times New Roman"/>
                <w:b w:val="0"/>
                <w:bCs w:val="0"/>
                <w:color w:val="auto"/>
                <w:sz w:val="21"/>
                <w:szCs w:val="21"/>
              </w:rPr>
              <w:t>mg/L</w:t>
            </w:r>
          </w:p>
        </w:tc>
        <w:tc>
          <w:tcPr>
            <w:tcW w:w="4581" w:type="dxa"/>
            <w:vMerge w:val="continue"/>
            <w:vAlign w:val="center"/>
          </w:tcPr>
          <w:p w14:paraId="69E1BF4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6A00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632721D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1285DBA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2"/>
                <w:highlight w:val="none"/>
                <w:lang w:val="en-US" w:eastAsia="zh-CN"/>
              </w:rPr>
              <w:t>TP</w:t>
            </w:r>
          </w:p>
        </w:tc>
        <w:tc>
          <w:tcPr>
            <w:tcW w:w="1984" w:type="dxa"/>
            <w:vAlign w:val="center"/>
          </w:tcPr>
          <w:p w14:paraId="66AFFEBF">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2.92</w:t>
            </w:r>
            <w:r>
              <w:rPr>
                <w:rFonts w:hint="default" w:ascii="Times New Roman" w:hAnsi="Times New Roman" w:eastAsia="宋体" w:cs="Times New Roman"/>
                <w:b w:val="0"/>
                <w:bCs w:val="0"/>
                <w:color w:val="auto"/>
                <w:szCs w:val="22"/>
                <w:highlight w:val="none"/>
              </w:rPr>
              <w:t>t/a</w:t>
            </w:r>
          </w:p>
        </w:tc>
        <w:tc>
          <w:tcPr>
            <w:tcW w:w="2250" w:type="dxa"/>
            <w:vAlign w:val="center"/>
          </w:tcPr>
          <w:p w14:paraId="4A48B1DB">
            <w:pPr>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1.17</w:t>
            </w:r>
            <w:r>
              <w:rPr>
                <w:rFonts w:hint="default" w:ascii="Times New Roman" w:hAnsi="Times New Roman" w:eastAsia="宋体" w:cs="Times New Roman"/>
                <w:b w:val="0"/>
                <w:bCs w:val="0"/>
                <w:color w:val="auto"/>
                <w:szCs w:val="22"/>
                <w:highlight w:val="none"/>
              </w:rPr>
              <w:t>t/a</w:t>
            </w:r>
          </w:p>
        </w:tc>
        <w:tc>
          <w:tcPr>
            <w:tcW w:w="1777" w:type="dxa"/>
            <w:vAlign w:val="center"/>
          </w:tcPr>
          <w:p w14:paraId="40F7F02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rPr>
              <w:t>mg/L</w:t>
            </w:r>
          </w:p>
        </w:tc>
        <w:tc>
          <w:tcPr>
            <w:tcW w:w="4581" w:type="dxa"/>
            <w:vMerge w:val="continue"/>
            <w:vAlign w:val="center"/>
          </w:tcPr>
          <w:p w14:paraId="10A9E8B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2B289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45FF3DE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2517" w:type="dxa"/>
            <w:gridSpan w:val="2"/>
            <w:vAlign w:val="center"/>
          </w:tcPr>
          <w:p w14:paraId="2B3CB1C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color w:val="auto"/>
                <w:kern w:val="0"/>
                <w:sz w:val="21"/>
                <w:szCs w:val="21"/>
                <w:lang w:val="en-US" w:eastAsia="zh-CN" w:bidi="ar"/>
              </w:rPr>
              <w:t>粪大肠菌群</w:t>
            </w:r>
          </w:p>
        </w:tc>
        <w:tc>
          <w:tcPr>
            <w:tcW w:w="1984" w:type="dxa"/>
            <w:vAlign w:val="center"/>
          </w:tcPr>
          <w:p w14:paraId="04CB0F78">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4.38</w:t>
            </w:r>
            <w:r>
              <w:rPr>
                <w:rFonts w:hint="default" w:ascii="Times New Roman" w:hAnsi="Times New Roman" w:eastAsia="宋体" w:cs="Times New Roman"/>
                <w:color w:val="auto"/>
                <w:kern w:val="0"/>
                <w:sz w:val="21"/>
                <w:szCs w:val="21"/>
                <w:vertAlign w:val="baseline"/>
                <w:lang w:val="zh-CN"/>
              </w:rPr>
              <w:t>×10</w:t>
            </w:r>
            <w:r>
              <w:rPr>
                <w:rFonts w:hint="default" w:ascii="Times New Roman" w:hAnsi="Times New Roman" w:eastAsia="宋体" w:cs="Times New Roman"/>
                <w:color w:val="auto"/>
                <w:kern w:val="0"/>
                <w:sz w:val="21"/>
                <w:szCs w:val="21"/>
                <w:vertAlign w:val="superscript"/>
                <w:lang w:val="en-US" w:eastAsia="zh-CN"/>
              </w:rPr>
              <w:t>7</w:t>
            </w:r>
            <w:r>
              <w:rPr>
                <w:rFonts w:hint="default" w:ascii="Times New Roman" w:hAnsi="Times New Roman" w:eastAsia="宋体" w:cs="Times New Roman"/>
                <w:color w:val="auto"/>
                <w:kern w:val="0"/>
                <w:sz w:val="21"/>
                <w:szCs w:val="21"/>
                <w:vertAlign w:val="baseline"/>
                <w:lang w:val="en-US" w:eastAsia="zh-CN"/>
              </w:rPr>
              <w:t>个</w:t>
            </w:r>
          </w:p>
        </w:tc>
        <w:tc>
          <w:tcPr>
            <w:tcW w:w="2250" w:type="dxa"/>
            <w:vAlign w:val="center"/>
          </w:tcPr>
          <w:p w14:paraId="0C1D39B1">
            <w:pPr>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color w:val="auto"/>
                <w:szCs w:val="22"/>
                <w:highlight w:val="none"/>
                <w:lang w:val="en-US" w:eastAsia="zh-CN"/>
              </w:rPr>
              <w:t>1460</w:t>
            </w:r>
            <w:r>
              <w:rPr>
                <w:rFonts w:hint="default" w:ascii="Times New Roman" w:hAnsi="Times New Roman" w:eastAsia="宋体" w:cs="Times New Roman"/>
                <w:color w:val="auto"/>
                <w:szCs w:val="22"/>
                <w:highlight w:val="none"/>
                <w:lang w:val="en-US" w:eastAsia="zh-CN"/>
              </w:rPr>
              <w:t>个</w:t>
            </w:r>
          </w:p>
        </w:tc>
        <w:tc>
          <w:tcPr>
            <w:tcW w:w="1777" w:type="dxa"/>
            <w:vAlign w:val="center"/>
          </w:tcPr>
          <w:p w14:paraId="02B24ED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u w:val="none"/>
                <w:shd w:val="clear" w:fill="FFFFFF"/>
                <w:vertAlign w:val="baseline"/>
                <w:lang w:val="en-US" w:eastAsia="zh-CN" w:bidi="ar"/>
              </w:rPr>
              <w:t>5000</w:t>
            </w:r>
            <w:r>
              <w:rPr>
                <w:rFonts w:hint="default" w:ascii="Times New Roman" w:hAnsi="Times New Roman" w:eastAsia="宋体" w:cs="Times New Roman"/>
                <w:color w:val="auto"/>
                <w:kern w:val="0"/>
                <w:sz w:val="21"/>
                <w:szCs w:val="21"/>
                <w:vertAlign w:val="baseline"/>
                <w:lang w:val="en-US" w:eastAsia="zh-CN"/>
              </w:rPr>
              <w:t>个</w:t>
            </w:r>
          </w:p>
        </w:tc>
        <w:tc>
          <w:tcPr>
            <w:tcW w:w="4581" w:type="dxa"/>
            <w:vMerge w:val="continue"/>
            <w:vAlign w:val="center"/>
          </w:tcPr>
          <w:p w14:paraId="0452A8AE">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610E57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restart"/>
            <w:vAlign w:val="center"/>
          </w:tcPr>
          <w:p w14:paraId="61414B1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固废</w:t>
            </w:r>
          </w:p>
        </w:tc>
        <w:tc>
          <w:tcPr>
            <w:tcW w:w="1056" w:type="dxa"/>
            <w:vMerge w:val="restart"/>
            <w:vAlign w:val="center"/>
          </w:tcPr>
          <w:p w14:paraId="453310D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一般固废</w:t>
            </w:r>
          </w:p>
        </w:tc>
        <w:tc>
          <w:tcPr>
            <w:tcW w:w="3445" w:type="dxa"/>
            <w:gridSpan w:val="2"/>
            <w:vAlign w:val="center"/>
          </w:tcPr>
          <w:p w14:paraId="1F448BA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生活垃圾</w:t>
            </w:r>
          </w:p>
        </w:tc>
        <w:tc>
          <w:tcPr>
            <w:tcW w:w="2250" w:type="dxa"/>
            <w:vAlign w:val="center"/>
          </w:tcPr>
          <w:p w14:paraId="2C57DDF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808.84t/a</w:t>
            </w:r>
          </w:p>
        </w:tc>
        <w:tc>
          <w:tcPr>
            <w:tcW w:w="1777" w:type="dxa"/>
            <w:vAlign w:val="center"/>
          </w:tcPr>
          <w:p w14:paraId="29D35DB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017AE40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环卫清运</w:t>
            </w:r>
          </w:p>
        </w:tc>
      </w:tr>
      <w:tr w14:paraId="05167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456BFF1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1815BB6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7B3C375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餐厨垃圾</w:t>
            </w:r>
          </w:p>
        </w:tc>
        <w:tc>
          <w:tcPr>
            <w:tcW w:w="2250" w:type="dxa"/>
            <w:vAlign w:val="center"/>
          </w:tcPr>
          <w:p w14:paraId="44B86CB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292t/a</w:t>
            </w:r>
          </w:p>
        </w:tc>
        <w:tc>
          <w:tcPr>
            <w:tcW w:w="1777" w:type="dxa"/>
            <w:vAlign w:val="center"/>
          </w:tcPr>
          <w:p w14:paraId="3398298B">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3FF4055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交由有</w:t>
            </w:r>
            <w:r>
              <w:rPr>
                <w:rFonts w:hint="eastAsia" w:cs="Times New Roman"/>
                <w:i w:val="0"/>
                <w:iCs w:val="0"/>
                <w:caps w:val="0"/>
                <w:color w:val="auto"/>
                <w:spacing w:val="0"/>
                <w:kern w:val="0"/>
                <w:sz w:val="21"/>
                <w:szCs w:val="21"/>
                <w:shd w:val="clear" w:fill="FFFFFF"/>
                <w:lang w:val="en-US" w:eastAsia="zh-CN" w:bidi="ar"/>
              </w:rPr>
              <w:t>专业</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单位进行收运、处置</w:t>
            </w:r>
          </w:p>
        </w:tc>
      </w:tr>
      <w:tr w14:paraId="55234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54FFC0C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4E258F9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284557E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废弃离子交换树脂</w:t>
            </w:r>
          </w:p>
        </w:tc>
        <w:tc>
          <w:tcPr>
            <w:tcW w:w="2250" w:type="dxa"/>
            <w:vAlign w:val="center"/>
          </w:tcPr>
          <w:p w14:paraId="1565D62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Cs/>
                <w:color w:val="auto"/>
                <w:sz w:val="21"/>
                <w:szCs w:val="21"/>
                <w:highlight w:val="none"/>
                <w:lang w:val="en-US" w:eastAsia="zh-CN"/>
              </w:rPr>
              <w:t>0.5t/a</w:t>
            </w:r>
          </w:p>
        </w:tc>
        <w:tc>
          <w:tcPr>
            <w:tcW w:w="1777" w:type="dxa"/>
            <w:vAlign w:val="center"/>
          </w:tcPr>
          <w:p w14:paraId="3666C6B9">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5D053E8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Cs/>
                <w:color w:val="auto"/>
                <w:sz w:val="21"/>
                <w:szCs w:val="21"/>
                <w:highlight w:val="none"/>
                <w:lang w:eastAsia="zh-CN"/>
              </w:rPr>
              <w:t>交由厂家进行回收</w:t>
            </w:r>
          </w:p>
        </w:tc>
      </w:tr>
      <w:tr w14:paraId="54ED82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08CD4A52">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restart"/>
            <w:vAlign w:val="center"/>
          </w:tcPr>
          <w:p w14:paraId="573B841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危险废物</w:t>
            </w:r>
          </w:p>
        </w:tc>
        <w:tc>
          <w:tcPr>
            <w:tcW w:w="3445" w:type="dxa"/>
            <w:gridSpan w:val="2"/>
            <w:vAlign w:val="center"/>
          </w:tcPr>
          <w:p w14:paraId="14B008B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医疗废物</w:t>
            </w:r>
          </w:p>
        </w:tc>
        <w:tc>
          <w:tcPr>
            <w:tcW w:w="2250" w:type="dxa"/>
            <w:vAlign w:val="center"/>
          </w:tcPr>
          <w:p w14:paraId="215F68A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lang w:val="en-US" w:eastAsia="zh-CN"/>
              </w:rPr>
              <w:t>200.75</w:t>
            </w:r>
            <w:r>
              <w:rPr>
                <w:rFonts w:hint="default" w:ascii="Times New Roman" w:hAnsi="Times New Roman" w:eastAsia="宋体" w:cs="Times New Roman"/>
                <w:color w:val="auto"/>
                <w:sz w:val="21"/>
                <w:szCs w:val="21"/>
              </w:rPr>
              <w:t>t/a</w:t>
            </w:r>
          </w:p>
        </w:tc>
        <w:tc>
          <w:tcPr>
            <w:tcW w:w="1777" w:type="dxa"/>
            <w:vAlign w:val="center"/>
          </w:tcPr>
          <w:p w14:paraId="62AB2BF0">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414FC6A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r>
      <w:tr w14:paraId="136C44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54AF9C2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68E8CF6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03BC0E4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污泥</w:t>
            </w:r>
          </w:p>
        </w:tc>
        <w:tc>
          <w:tcPr>
            <w:tcW w:w="2250" w:type="dxa"/>
            <w:vAlign w:val="center"/>
          </w:tcPr>
          <w:p w14:paraId="6FAC2F4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eastAsia" w:cs="Times New Roman"/>
                <w:color w:val="auto"/>
                <w:sz w:val="21"/>
                <w:szCs w:val="21"/>
                <w:highlight w:val="none"/>
                <w:lang w:val="en-US" w:eastAsia="zh-CN"/>
              </w:rPr>
              <w:t>5.84</w:t>
            </w:r>
            <w:r>
              <w:rPr>
                <w:rFonts w:hint="default" w:ascii="Times New Roman" w:hAnsi="Times New Roman" w:eastAsia="宋体" w:cs="Times New Roman"/>
                <w:color w:val="auto"/>
                <w:sz w:val="21"/>
                <w:szCs w:val="21"/>
                <w:highlight w:val="none"/>
              </w:rPr>
              <w:t>t/a</w:t>
            </w:r>
          </w:p>
        </w:tc>
        <w:tc>
          <w:tcPr>
            <w:tcW w:w="1777" w:type="dxa"/>
            <w:vAlign w:val="center"/>
          </w:tcPr>
          <w:p w14:paraId="5D08FBB2">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26ECD40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r>
      <w:tr w14:paraId="10F0CF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5836254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79BB89B9">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032648D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废活性炭</w:t>
            </w:r>
          </w:p>
        </w:tc>
        <w:tc>
          <w:tcPr>
            <w:tcW w:w="2250" w:type="dxa"/>
            <w:vAlign w:val="center"/>
          </w:tcPr>
          <w:p w14:paraId="20C6C3B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4t</w:t>
            </w:r>
          </w:p>
        </w:tc>
        <w:tc>
          <w:tcPr>
            <w:tcW w:w="1777" w:type="dxa"/>
            <w:vAlign w:val="center"/>
          </w:tcPr>
          <w:p w14:paraId="4601A284">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0EDE3B0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r>
      <w:tr w14:paraId="7B2932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3EB3E05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4C7D106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5ED9D6C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废弃紫外线灯管</w:t>
            </w:r>
          </w:p>
        </w:tc>
        <w:tc>
          <w:tcPr>
            <w:tcW w:w="2250" w:type="dxa"/>
            <w:vAlign w:val="center"/>
          </w:tcPr>
          <w:p w14:paraId="1F063F8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Cs/>
                <w:color w:val="auto"/>
                <w:sz w:val="21"/>
                <w:szCs w:val="21"/>
                <w:highlight w:val="none"/>
                <w:lang w:eastAsia="zh-CN"/>
              </w:rPr>
              <w:t>0.</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eastAsia="zh-CN"/>
              </w:rPr>
              <w:t>t/a</w:t>
            </w:r>
          </w:p>
        </w:tc>
        <w:tc>
          <w:tcPr>
            <w:tcW w:w="1777" w:type="dxa"/>
            <w:vAlign w:val="center"/>
          </w:tcPr>
          <w:p w14:paraId="31AA25A2">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28646448">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r>
      <w:tr w14:paraId="171F6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1" w:type="dxa"/>
            <w:vMerge w:val="continue"/>
            <w:vAlign w:val="center"/>
          </w:tcPr>
          <w:p w14:paraId="4CB1535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56" w:type="dxa"/>
            <w:vMerge w:val="continue"/>
            <w:vAlign w:val="center"/>
          </w:tcPr>
          <w:p w14:paraId="084E5218">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3445" w:type="dxa"/>
            <w:gridSpan w:val="2"/>
            <w:vAlign w:val="center"/>
          </w:tcPr>
          <w:p w14:paraId="34D4A8A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color w:val="auto"/>
                <w:sz w:val="21"/>
                <w:szCs w:val="21"/>
                <w:highlight w:val="none"/>
                <w:lang w:val="en-US" w:eastAsia="zh-CN"/>
              </w:rPr>
              <w:t>排风系</w:t>
            </w:r>
            <w:r>
              <w:rPr>
                <w:rFonts w:hint="default" w:ascii="Times New Roman" w:hAnsi="Times New Roman" w:eastAsia="宋体" w:cs="Times New Roman"/>
                <w:color w:val="auto"/>
                <w:sz w:val="21"/>
                <w:szCs w:val="21"/>
                <w:highlight w:val="none"/>
                <w:lang w:val="en-US" w:eastAsia="zh-CN"/>
              </w:rPr>
              <w:t>统更换的滤芯</w:t>
            </w:r>
          </w:p>
        </w:tc>
        <w:tc>
          <w:tcPr>
            <w:tcW w:w="2250" w:type="dxa"/>
            <w:vAlign w:val="center"/>
          </w:tcPr>
          <w:p w14:paraId="22C2D7D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0.1</w:t>
            </w:r>
            <w:r>
              <w:rPr>
                <w:rFonts w:hint="default" w:ascii="Times New Roman" w:hAnsi="Times New Roman" w:eastAsia="宋体" w:cs="Times New Roman"/>
                <w:color w:val="auto"/>
                <w:sz w:val="21"/>
                <w:szCs w:val="21"/>
                <w:highlight w:val="none"/>
                <w:lang w:val="en-US" w:eastAsia="zh-CN"/>
              </w:rPr>
              <w:t>t/a</w:t>
            </w:r>
          </w:p>
        </w:tc>
        <w:tc>
          <w:tcPr>
            <w:tcW w:w="1777" w:type="dxa"/>
            <w:vAlign w:val="center"/>
          </w:tcPr>
          <w:p w14:paraId="00061C1E">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w:t>
            </w:r>
          </w:p>
        </w:tc>
        <w:tc>
          <w:tcPr>
            <w:tcW w:w="4581" w:type="dxa"/>
            <w:vAlign w:val="center"/>
          </w:tcPr>
          <w:p w14:paraId="41D9723D">
            <w:pPr>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r>
      <w:bookmarkEnd w:id="1185"/>
    </w:tbl>
    <w:p w14:paraId="091F60C5">
      <w:pPr>
        <w:rPr>
          <w:rFonts w:hint="default" w:ascii="Times New Roman" w:hAnsi="Times New Roman" w:eastAsia="宋体" w:cs="Times New Roman"/>
          <w:color w:val="auto"/>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bookmarkStart w:id="1472" w:name="_Toc18501"/>
      <w:bookmarkStart w:id="1473" w:name="_Toc15560"/>
    </w:p>
    <w:p w14:paraId="17DE370F">
      <w:pPr>
        <w:pStyle w:val="7"/>
        <w:tabs>
          <w:tab w:val="left" w:pos="389"/>
        </w:tabs>
        <w:bidi w:val="0"/>
        <w:rPr>
          <w:rFonts w:hint="default" w:ascii="Times New Roman" w:hAnsi="Times New Roman" w:eastAsia="宋体" w:cs="Times New Roman"/>
          <w:color w:val="auto"/>
        </w:rPr>
      </w:pPr>
      <w:bookmarkStart w:id="1474" w:name="_Toc19438"/>
      <w:r>
        <w:rPr>
          <w:rFonts w:hint="default" w:ascii="Times New Roman" w:hAnsi="Times New Roman" w:eastAsia="宋体" w:cs="Times New Roman"/>
          <w:color w:val="auto"/>
          <w:lang w:val="en-US" w:eastAsia="zh-CN"/>
        </w:rPr>
        <w:t>3.2.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非正常工况排放污染源分析</w:t>
      </w:r>
      <w:bookmarkEnd w:id="1474"/>
    </w:p>
    <w:p w14:paraId="69F43F9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（1）非正常情况下废水排放情况</w:t>
      </w:r>
    </w:p>
    <w:p w14:paraId="7716C93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若院内污水处理站出现故障，不能正常处理医院废水，一旦未经处理的高浓度废水直接排污市政管网，会影响大英县生活污水处理厂进水稳定性，可能会使大英县生活污水处理厂出水水质。为防范非正常排放，根据《医院污水处理工程技术规范》（HJ2029-2013）中对“传染病医院污水处理工程应急事故池容积不小于日排放量的100%，非传染病医院事故池容积不小于日排放量30%的规定”。项目为综合医院，拟设置处理能力</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/d污水处理设施，故本次环评提出建设1个</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en-US" w:eastAsia="zh-CN"/>
        </w:rPr>
        <w:t>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的事故应急池，废水临存在事故应急池，待院内污水处理站正常运行后，废水通过水泵抽入污水处理站，处理达标后排入市政管网，进入大英县生活污水处理厂。</w:t>
      </w:r>
    </w:p>
    <w:p w14:paraId="6EA1203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（2）非正常情况下废气排放情况</w:t>
      </w:r>
    </w:p>
    <w:p w14:paraId="0A16D89B">
      <w:pPr>
        <w:pStyle w:val="19"/>
        <w:spacing w:after="0" w:line="360" w:lineRule="auto"/>
        <w:ind w:firstLine="48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废气在非正常（事故）排放情景为：废气处理系统完全失效，处理效率为零，对环境的影响最大，非正常工况下大气污染源强如下表所示。</w:t>
      </w:r>
    </w:p>
    <w:p w14:paraId="762938CF">
      <w:pPr>
        <w:adjustRightInd w:val="0"/>
        <w:spacing w:line="240" w:lineRule="auto"/>
        <w:ind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b/>
          <w:color w:val="auto"/>
          <w:sz w:val="21"/>
          <w:szCs w:val="21"/>
          <w:highlight w:val="none"/>
        </w:rPr>
        <w:t>表3</w:t>
      </w:r>
      <w:r>
        <w:rPr>
          <w:rFonts w:hint="eastAsia" w:ascii="Times New Roman" w:hAnsi="Times New Roman" w:cs="Times New Roman"/>
          <w:b/>
          <w:color w:val="auto"/>
          <w:sz w:val="21"/>
          <w:szCs w:val="21"/>
          <w:highlight w:val="none"/>
          <w:lang w:val="en-US" w:eastAsia="zh-CN"/>
        </w:rPr>
        <w:t xml:space="preserve">.2-18 </w:t>
      </w:r>
      <w:r>
        <w:rPr>
          <w:rFonts w:hint="default" w:ascii="Times New Roman" w:hAnsi="Times New Roman" w:cs="Times New Roman"/>
          <w:b/>
          <w:color w:val="auto"/>
          <w:sz w:val="21"/>
          <w:szCs w:val="21"/>
          <w:highlight w:val="none"/>
        </w:rPr>
        <w:t>项目</w:t>
      </w:r>
      <w:r>
        <w:rPr>
          <w:rFonts w:hint="default" w:ascii="Times New Roman" w:hAnsi="Times New Roman" w:cs="Times New Roman"/>
          <w:b/>
          <w:color w:val="auto"/>
          <w:sz w:val="21"/>
          <w:szCs w:val="21"/>
          <w:highlight w:val="none"/>
          <w:lang w:eastAsia="zh-CN"/>
        </w:rPr>
        <w:t>非正常工况大气污染源强表</w:t>
      </w:r>
    </w:p>
    <w:tbl>
      <w:tblPr>
        <w:tblStyle w:val="21"/>
        <w:tblW w:w="81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03"/>
        <w:gridCol w:w="1047"/>
        <w:gridCol w:w="1066"/>
        <w:gridCol w:w="884"/>
        <w:gridCol w:w="850"/>
        <w:gridCol w:w="1125"/>
        <w:gridCol w:w="1146"/>
      </w:tblGrid>
      <w:tr w14:paraId="66D96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7" w:type="dxa"/>
            <w:shd w:val="clear" w:color="auto" w:fill="D7D7D7" w:themeFill="background1" w:themeFillShade="D8"/>
            <w:vAlign w:val="center"/>
          </w:tcPr>
          <w:p w14:paraId="2F25EA8A">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03" w:type="dxa"/>
            <w:shd w:val="clear" w:color="auto" w:fill="D7D7D7" w:themeFill="background1" w:themeFillShade="D8"/>
            <w:vAlign w:val="center"/>
          </w:tcPr>
          <w:p w14:paraId="724FF87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p w14:paraId="790AB13E">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47" w:type="dxa"/>
            <w:shd w:val="clear" w:color="auto" w:fill="D7D7D7" w:themeFill="background1" w:themeFillShade="D8"/>
            <w:vAlign w:val="center"/>
          </w:tcPr>
          <w:p w14:paraId="2F35293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1066" w:type="dxa"/>
            <w:shd w:val="clear" w:color="auto" w:fill="D7D7D7" w:themeFill="background1" w:themeFillShade="D8"/>
            <w:vAlign w:val="center"/>
          </w:tcPr>
          <w:p w14:paraId="24652BF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采取措施</w:t>
            </w:r>
          </w:p>
        </w:tc>
        <w:tc>
          <w:tcPr>
            <w:tcW w:w="884" w:type="dxa"/>
            <w:shd w:val="clear" w:color="auto" w:fill="D7D7D7" w:themeFill="background1" w:themeFillShade="D8"/>
            <w:vAlign w:val="center"/>
          </w:tcPr>
          <w:p w14:paraId="38AA5A3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63DD190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850" w:type="dxa"/>
            <w:shd w:val="clear" w:color="auto" w:fill="D7D7D7" w:themeFill="background1" w:themeFillShade="D8"/>
            <w:vAlign w:val="center"/>
          </w:tcPr>
          <w:p w14:paraId="17C25B37">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排放口编号</w:t>
            </w:r>
          </w:p>
        </w:tc>
        <w:tc>
          <w:tcPr>
            <w:tcW w:w="1125" w:type="dxa"/>
            <w:shd w:val="clear" w:color="auto" w:fill="D7D7D7" w:themeFill="background1" w:themeFillShade="D8"/>
            <w:vAlign w:val="center"/>
          </w:tcPr>
          <w:p w14:paraId="26D1F124">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1146" w:type="dxa"/>
            <w:shd w:val="clear" w:color="auto" w:fill="D7D7D7" w:themeFill="background1" w:themeFillShade="D8"/>
            <w:vAlign w:val="center"/>
          </w:tcPr>
          <w:p w14:paraId="6A4DB79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总</w:t>
            </w:r>
            <w:r>
              <w:rPr>
                <w:rFonts w:hint="default" w:ascii="Times New Roman" w:hAnsi="Times New Roman" w:cs="Times New Roman"/>
                <w:b/>
                <w:bCs/>
                <w:color w:val="auto"/>
                <w:sz w:val="21"/>
                <w:szCs w:val="21"/>
                <w:highlight w:val="none"/>
              </w:rPr>
              <w:t>排放</w:t>
            </w:r>
          </w:p>
          <w:p w14:paraId="3F405D20">
            <w:pPr>
              <w:spacing w:line="240" w:lineRule="auto"/>
              <w:ind w:firstLine="0" w:firstLineChars="0"/>
              <w:jc w:val="cente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eastAsia="zh-CN"/>
              </w:rPr>
              <w:t>速率</w:t>
            </w:r>
            <w:r>
              <w:rPr>
                <w:rFonts w:hint="default" w:ascii="Times New Roman" w:hAnsi="Times New Roman" w:cs="Times New Roman"/>
                <w:b/>
                <w:bCs/>
                <w:color w:val="auto"/>
                <w:sz w:val="21"/>
                <w:szCs w:val="21"/>
                <w:highlight w:val="none"/>
                <w:lang w:val="en-US" w:eastAsia="zh-CN"/>
              </w:rPr>
              <w:t>kg/h</w:t>
            </w:r>
          </w:p>
        </w:tc>
      </w:tr>
      <w:tr w14:paraId="3E2FD4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restart"/>
            <w:vAlign w:val="center"/>
          </w:tcPr>
          <w:p w14:paraId="5221E12D">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污水处理站</w:t>
            </w:r>
          </w:p>
        </w:tc>
        <w:tc>
          <w:tcPr>
            <w:tcW w:w="1003" w:type="dxa"/>
            <w:vMerge w:val="restart"/>
            <w:vAlign w:val="center"/>
          </w:tcPr>
          <w:p w14:paraId="34503A87">
            <w:pPr>
              <w:spacing w:line="240" w:lineRule="auto"/>
              <w:ind w:firstLine="0" w:firstLineChars="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氨</w:t>
            </w:r>
          </w:p>
        </w:tc>
        <w:tc>
          <w:tcPr>
            <w:tcW w:w="1047" w:type="dxa"/>
            <w:vAlign w:val="center"/>
          </w:tcPr>
          <w:p w14:paraId="09058CD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0.0171</w:t>
            </w:r>
          </w:p>
        </w:tc>
        <w:tc>
          <w:tcPr>
            <w:tcW w:w="1066" w:type="dxa"/>
            <w:vMerge w:val="restart"/>
            <w:vAlign w:val="center"/>
          </w:tcPr>
          <w:p w14:paraId="1810B30F">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紫外消毒+活性炭吸附</w:t>
            </w:r>
          </w:p>
        </w:tc>
        <w:tc>
          <w:tcPr>
            <w:tcW w:w="884" w:type="dxa"/>
            <w:vAlign w:val="center"/>
          </w:tcPr>
          <w:p w14:paraId="04916FEA">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850" w:type="dxa"/>
            <w:vAlign w:val="center"/>
          </w:tcPr>
          <w:p w14:paraId="6230E6C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DA001</w:t>
            </w:r>
          </w:p>
        </w:tc>
        <w:tc>
          <w:tcPr>
            <w:tcW w:w="1125" w:type="dxa"/>
            <w:vAlign w:val="center"/>
          </w:tcPr>
          <w:p w14:paraId="60FF43B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0.0171</w:t>
            </w:r>
          </w:p>
        </w:tc>
        <w:tc>
          <w:tcPr>
            <w:tcW w:w="1146" w:type="dxa"/>
            <w:vAlign w:val="center"/>
          </w:tcPr>
          <w:p w14:paraId="221F51B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0.00195</w:t>
            </w:r>
          </w:p>
        </w:tc>
      </w:tr>
      <w:tr w14:paraId="647C28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continue"/>
            <w:vAlign w:val="center"/>
          </w:tcPr>
          <w:p w14:paraId="4A873355">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03" w:type="dxa"/>
            <w:vMerge w:val="continue"/>
            <w:vAlign w:val="center"/>
          </w:tcPr>
          <w:p w14:paraId="54C15A21">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47" w:type="dxa"/>
            <w:vAlign w:val="center"/>
          </w:tcPr>
          <w:p w14:paraId="1C19175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w:t>
            </w:r>
          </w:p>
        </w:tc>
        <w:tc>
          <w:tcPr>
            <w:tcW w:w="1066" w:type="dxa"/>
            <w:vMerge w:val="continue"/>
            <w:vAlign w:val="center"/>
          </w:tcPr>
          <w:p w14:paraId="5DB951CA">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280398C5">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850" w:type="dxa"/>
            <w:vAlign w:val="center"/>
          </w:tcPr>
          <w:p w14:paraId="6170099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5" w:type="dxa"/>
            <w:vAlign w:val="center"/>
          </w:tcPr>
          <w:p w14:paraId="64834CF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0.00125</w:t>
            </w:r>
          </w:p>
        </w:tc>
        <w:tc>
          <w:tcPr>
            <w:tcW w:w="1146" w:type="dxa"/>
            <w:vAlign w:val="center"/>
          </w:tcPr>
          <w:p w14:paraId="64F8BF0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w:t>
            </w:r>
          </w:p>
        </w:tc>
      </w:tr>
      <w:tr w14:paraId="7C352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dxa"/>
            <w:vMerge w:val="continue"/>
            <w:vAlign w:val="center"/>
          </w:tcPr>
          <w:p w14:paraId="347E6EAC">
            <w:pPr>
              <w:spacing w:line="240" w:lineRule="auto"/>
              <w:ind w:firstLine="0" w:firstLineChars="0"/>
              <w:jc w:val="center"/>
              <w:rPr>
                <w:rFonts w:hint="default" w:ascii="Times New Roman" w:hAnsi="Times New Roman" w:cs="Times New Roman"/>
                <w:color w:val="auto"/>
                <w:sz w:val="21"/>
                <w:szCs w:val="21"/>
                <w:highlight w:val="none"/>
              </w:rPr>
            </w:pPr>
          </w:p>
        </w:tc>
        <w:tc>
          <w:tcPr>
            <w:tcW w:w="1003" w:type="dxa"/>
            <w:vMerge w:val="restart"/>
            <w:vAlign w:val="center"/>
          </w:tcPr>
          <w:p w14:paraId="7CE89E90">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硫化氢</w:t>
            </w:r>
          </w:p>
        </w:tc>
        <w:tc>
          <w:tcPr>
            <w:tcW w:w="1047" w:type="dxa"/>
            <w:vAlign w:val="center"/>
          </w:tcPr>
          <w:p w14:paraId="25E1E3AF">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0.00067</w:t>
            </w:r>
          </w:p>
        </w:tc>
        <w:tc>
          <w:tcPr>
            <w:tcW w:w="1066" w:type="dxa"/>
            <w:vMerge w:val="continue"/>
            <w:vAlign w:val="center"/>
          </w:tcPr>
          <w:p w14:paraId="6C2FC014">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27C8DB29">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850" w:type="dxa"/>
            <w:vAlign w:val="center"/>
          </w:tcPr>
          <w:p w14:paraId="45B949BF">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DA001</w:t>
            </w:r>
          </w:p>
        </w:tc>
        <w:tc>
          <w:tcPr>
            <w:tcW w:w="1125" w:type="dxa"/>
            <w:vAlign w:val="center"/>
          </w:tcPr>
          <w:p w14:paraId="7DB54637">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0.00067</w:t>
            </w:r>
          </w:p>
        </w:tc>
        <w:tc>
          <w:tcPr>
            <w:tcW w:w="1146" w:type="dxa"/>
            <w:vAlign w:val="center"/>
          </w:tcPr>
          <w:p w14:paraId="2B9A7193">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0.00008</w:t>
            </w:r>
          </w:p>
        </w:tc>
      </w:tr>
      <w:tr w14:paraId="76283B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continue"/>
            <w:vAlign w:val="center"/>
          </w:tcPr>
          <w:p w14:paraId="736D16A1">
            <w:pPr>
              <w:spacing w:line="240" w:lineRule="auto"/>
              <w:ind w:firstLine="0" w:firstLineChars="0"/>
              <w:jc w:val="center"/>
              <w:rPr>
                <w:rFonts w:hint="default" w:ascii="Times New Roman" w:hAnsi="Times New Roman" w:cs="Times New Roman"/>
                <w:color w:val="auto"/>
                <w:sz w:val="21"/>
                <w:szCs w:val="21"/>
                <w:highlight w:val="none"/>
              </w:rPr>
            </w:pPr>
          </w:p>
        </w:tc>
        <w:tc>
          <w:tcPr>
            <w:tcW w:w="1003" w:type="dxa"/>
            <w:vMerge w:val="continue"/>
            <w:vAlign w:val="center"/>
          </w:tcPr>
          <w:p w14:paraId="6A131F60">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47" w:type="dxa"/>
            <w:vAlign w:val="center"/>
          </w:tcPr>
          <w:p w14:paraId="5B11B1CE">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0.000035</w:t>
            </w:r>
          </w:p>
        </w:tc>
        <w:tc>
          <w:tcPr>
            <w:tcW w:w="1066" w:type="dxa"/>
            <w:vMerge w:val="continue"/>
            <w:vAlign w:val="center"/>
          </w:tcPr>
          <w:p w14:paraId="298C0437">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187495AA">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850" w:type="dxa"/>
            <w:vAlign w:val="center"/>
          </w:tcPr>
          <w:p w14:paraId="35813751">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25" w:type="dxa"/>
            <w:vAlign w:val="center"/>
          </w:tcPr>
          <w:p w14:paraId="34FBD9DA">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0.000048</w:t>
            </w:r>
          </w:p>
        </w:tc>
        <w:tc>
          <w:tcPr>
            <w:tcW w:w="1146" w:type="dxa"/>
            <w:vAlign w:val="center"/>
          </w:tcPr>
          <w:p w14:paraId="0D65082A">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0.000004</w:t>
            </w:r>
          </w:p>
        </w:tc>
      </w:tr>
    </w:tbl>
    <w:p w14:paraId="064A498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上表可知，若污水处理站废气处理设施发生故障导致其污染物去除率为0，会增加氨和硫化氢的排放速率，对周围大气环境造成影响。因此项目开始运营后，一定要加强对污水处理站废气处理设施的日常巡检和管理，避免非正常排放，废气处理设施发生故障或检修时，污水处理站暂停运行，废水引入事故应急池，待废气处理设施能正常运行后再开始运行污水处理站。</w:t>
      </w:r>
    </w:p>
    <w:p w14:paraId="45E66E9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lang w:val="en-US" w:eastAsia="zh-CN"/>
        </w:rPr>
      </w:pPr>
    </w:p>
    <w:p w14:paraId="2B03454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p>
    <w:p w14:paraId="155139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p>
    <w:p w14:paraId="7B8AD64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p>
    <w:p w14:paraId="1766B1C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392A643">
      <w:pPr>
        <w:pStyle w:val="5"/>
        <w:bidi w:val="0"/>
        <w:rPr>
          <w:rFonts w:hint="default" w:ascii="Times New Roman" w:hAnsi="Times New Roman" w:eastAsia="宋体" w:cs="Times New Roman"/>
          <w:color w:val="auto"/>
        </w:rPr>
      </w:pPr>
      <w:bookmarkStart w:id="1475" w:name="_Toc27569"/>
      <w:r>
        <w:rPr>
          <w:rFonts w:hint="default" w:ascii="Times New Roman" w:hAnsi="Times New Roman" w:eastAsia="宋体" w:cs="Times New Roman"/>
          <w:color w:val="auto"/>
        </w:rPr>
        <w:t>4环境现状调查与评价</w:t>
      </w:r>
      <w:bookmarkEnd w:id="1472"/>
      <w:bookmarkEnd w:id="1473"/>
      <w:bookmarkEnd w:id="1475"/>
    </w:p>
    <w:p w14:paraId="51CC7CA8">
      <w:pPr>
        <w:pStyle w:val="6"/>
        <w:bidi w:val="0"/>
        <w:rPr>
          <w:rFonts w:hint="default" w:ascii="Times New Roman" w:hAnsi="Times New Roman" w:eastAsia="宋体" w:cs="Times New Roman"/>
          <w:color w:val="auto"/>
        </w:rPr>
      </w:pPr>
      <w:bookmarkStart w:id="1476" w:name="_Toc803"/>
      <w:bookmarkEnd w:id="1476"/>
      <w:bookmarkStart w:id="1477" w:name="_Toc7702"/>
      <w:bookmarkEnd w:id="1477"/>
      <w:bookmarkStart w:id="1478" w:name="_Toc2264"/>
      <w:bookmarkEnd w:id="1478"/>
      <w:bookmarkStart w:id="1479" w:name="_Toc2964"/>
      <w:bookmarkEnd w:id="1479"/>
      <w:bookmarkStart w:id="1480" w:name="_Toc16922"/>
      <w:bookmarkEnd w:id="1480"/>
      <w:bookmarkStart w:id="1481" w:name="_Toc25198"/>
      <w:bookmarkEnd w:id="1481"/>
      <w:bookmarkStart w:id="1482" w:name="_Toc19613"/>
      <w:bookmarkEnd w:id="1482"/>
      <w:bookmarkStart w:id="1483" w:name="_Toc15885"/>
      <w:bookmarkEnd w:id="1483"/>
      <w:bookmarkStart w:id="1484" w:name="_Toc21113"/>
      <w:bookmarkEnd w:id="1484"/>
      <w:bookmarkStart w:id="1485" w:name="_Toc993"/>
      <w:bookmarkEnd w:id="1485"/>
      <w:bookmarkStart w:id="1486" w:name="_Toc25549"/>
      <w:bookmarkEnd w:id="1486"/>
      <w:bookmarkStart w:id="1487" w:name="_Toc4620"/>
      <w:bookmarkEnd w:id="1487"/>
      <w:bookmarkStart w:id="1488" w:name="_Toc24357"/>
      <w:bookmarkStart w:id="1489" w:name="_Toc23532"/>
      <w:bookmarkStart w:id="1490" w:name="_Toc18429"/>
      <w:r>
        <w:rPr>
          <w:rFonts w:hint="default" w:ascii="Times New Roman" w:hAnsi="Times New Roman" w:eastAsia="宋体" w:cs="Times New Roman"/>
          <w:color w:val="auto"/>
        </w:rPr>
        <w:t>4.1自然环境概况</w:t>
      </w:r>
      <w:bookmarkEnd w:id="1488"/>
      <w:bookmarkEnd w:id="1489"/>
      <w:bookmarkEnd w:id="1490"/>
    </w:p>
    <w:p w14:paraId="5F7B98EC">
      <w:pPr>
        <w:pStyle w:val="7"/>
        <w:bidi w:val="0"/>
        <w:rPr>
          <w:rFonts w:hint="default" w:ascii="Times New Roman" w:hAnsi="Times New Roman" w:eastAsia="宋体" w:cs="Times New Roman"/>
          <w:color w:val="auto"/>
        </w:rPr>
      </w:pPr>
      <w:bookmarkStart w:id="1491" w:name="_Toc10313"/>
      <w:bookmarkEnd w:id="1491"/>
      <w:bookmarkStart w:id="1492" w:name="_Toc18796"/>
      <w:bookmarkEnd w:id="1492"/>
      <w:bookmarkStart w:id="1493" w:name="_Toc10734"/>
      <w:bookmarkEnd w:id="1493"/>
      <w:bookmarkStart w:id="1494" w:name="_Toc30425"/>
      <w:bookmarkEnd w:id="1494"/>
      <w:bookmarkStart w:id="1495" w:name="_Toc22711"/>
      <w:bookmarkEnd w:id="1495"/>
      <w:bookmarkStart w:id="1496" w:name="_Toc5197"/>
      <w:bookmarkEnd w:id="1496"/>
      <w:bookmarkStart w:id="1497" w:name="_Toc1305"/>
      <w:bookmarkEnd w:id="1497"/>
      <w:bookmarkStart w:id="1498" w:name="_Toc3273"/>
      <w:bookmarkEnd w:id="1498"/>
      <w:bookmarkStart w:id="1499" w:name="_Toc8513"/>
      <w:bookmarkEnd w:id="1499"/>
      <w:bookmarkStart w:id="1500" w:name="_Toc20292"/>
      <w:bookmarkEnd w:id="1500"/>
      <w:bookmarkStart w:id="1501" w:name="_Toc6712"/>
      <w:bookmarkEnd w:id="1501"/>
      <w:bookmarkStart w:id="1502" w:name="_Toc12427"/>
      <w:bookmarkEnd w:id="1502"/>
      <w:bookmarkStart w:id="1503" w:name="_Toc19385"/>
      <w:bookmarkStart w:id="1504" w:name="_Toc235"/>
      <w:bookmarkStart w:id="1505" w:name="_Toc7386"/>
      <w:bookmarkStart w:id="1506" w:name="_Toc23701"/>
      <w:r>
        <w:rPr>
          <w:rFonts w:hint="default" w:ascii="Times New Roman" w:hAnsi="Times New Roman" w:eastAsia="宋体" w:cs="Times New Roman"/>
          <w:color w:val="auto"/>
        </w:rPr>
        <w:t>4.1.1地理位置</w:t>
      </w:r>
      <w:bookmarkEnd w:id="1503"/>
      <w:bookmarkEnd w:id="1504"/>
      <w:bookmarkEnd w:id="1505"/>
      <w:bookmarkEnd w:id="1506"/>
    </w:p>
    <w:p w14:paraId="53084F2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大英县，隶属四川省遂宁市，地处四川盆地中部，涪江中游以西，介于北纬30°29’—30°44’、东经105°15’—105°40’之间，总面积701.05平方公里。大英县属亚热带湿润季风气候区，气候温和，四季分明。</w:t>
      </w:r>
    </w:p>
    <w:p w14:paraId="28F1CFA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项目选址位于</w:t>
      </w:r>
      <w:r>
        <w:rPr>
          <w:rFonts w:hint="default" w:ascii="Times New Roman" w:hAnsi="Times New Roman" w:eastAsia="宋体" w:cs="Times New Roman"/>
          <w:i w:val="0"/>
          <w:iCs w:val="0"/>
          <w:caps w:val="0"/>
          <w:color w:val="auto"/>
          <w:spacing w:val="0"/>
          <w:sz w:val="24"/>
          <w:szCs w:val="24"/>
          <w:shd w:val="clear" w:fill="FFFFFF"/>
          <w:lang w:val="en-US" w:eastAsia="zh-CN"/>
        </w:rPr>
        <w:t>大英县文旅产业园</w:t>
      </w:r>
      <w:r>
        <w:rPr>
          <w:rFonts w:hint="default" w:ascii="Times New Roman" w:hAnsi="Times New Roman" w:eastAsia="宋体" w:cs="Times New Roman"/>
          <w:i w:val="0"/>
          <w:iCs w:val="0"/>
          <w:caps w:val="0"/>
          <w:color w:val="auto"/>
          <w:spacing w:val="0"/>
          <w:sz w:val="24"/>
          <w:szCs w:val="24"/>
          <w:shd w:val="clear" w:fill="FFFFFF"/>
        </w:rPr>
        <w:t>。地理位置坐标为</w:t>
      </w:r>
      <w:r>
        <w:rPr>
          <w:rFonts w:hint="default" w:ascii="Times New Roman" w:hAnsi="Times New Roman" w:eastAsia="宋体" w:cs="Times New Roman"/>
          <w:color w:val="auto"/>
          <w:szCs w:val="21"/>
          <w:u w:val="none"/>
          <w:lang w:val="en-US" w:eastAsia="zh-CN"/>
        </w:rPr>
        <w:t>E105</w:t>
      </w:r>
      <w:r>
        <w:rPr>
          <w:rFonts w:hint="default" w:ascii="Times New Roman" w:hAnsi="Times New Roman" w:eastAsia="宋体" w:cs="Times New Roman"/>
          <w:color w:val="auto"/>
          <w:szCs w:val="21"/>
          <w:u w:val="none"/>
        </w:rPr>
        <w:t>度</w:t>
      </w:r>
      <w:r>
        <w:rPr>
          <w:rFonts w:hint="default" w:ascii="Times New Roman" w:hAnsi="Times New Roman" w:eastAsia="宋体" w:cs="Times New Roman"/>
          <w:color w:val="auto"/>
          <w:szCs w:val="21"/>
          <w:u w:val="none"/>
          <w:lang w:val="en-US" w:eastAsia="zh-CN"/>
        </w:rPr>
        <w:t>15</w:t>
      </w:r>
      <w:r>
        <w:rPr>
          <w:rFonts w:hint="default" w:ascii="Times New Roman" w:hAnsi="Times New Roman" w:eastAsia="宋体" w:cs="Times New Roman"/>
          <w:color w:val="auto"/>
          <w:szCs w:val="21"/>
          <w:u w:val="none"/>
        </w:rPr>
        <w:t>分</w:t>
      </w:r>
      <w:r>
        <w:rPr>
          <w:rFonts w:hint="default" w:ascii="Times New Roman" w:hAnsi="Times New Roman" w:eastAsia="宋体" w:cs="Times New Roman"/>
          <w:color w:val="auto"/>
          <w:szCs w:val="21"/>
          <w:u w:val="none"/>
          <w:lang w:val="en-US" w:eastAsia="zh-CN"/>
        </w:rPr>
        <w:t>28.456</w:t>
      </w:r>
      <w:r>
        <w:rPr>
          <w:rFonts w:hint="default" w:ascii="Times New Roman" w:hAnsi="Times New Roman" w:eastAsia="宋体" w:cs="Times New Roman"/>
          <w:color w:val="auto"/>
          <w:szCs w:val="21"/>
          <w:u w:val="none"/>
        </w:rPr>
        <w:t>秒，</w:t>
      </w:r>
      <w:r>
        <w:rPr>
          <w:rFonts w:hint="default" w:ascii="Times New Roman" w:hAnsi="Times New Roman" w:eastAsia="宋体" w:cs="Times New Roman"/>
          <w:color w:val="auto"/>
          <w:szCs w:val="21"/>
          <w:u w:val="none"/>
          <w:lang w:val="en-US" w:eastAsia="zh-CN"/>
        </w:rPr>
        <w:t>N30</w:t>
      </w:r>
      <w:r>
        <w:rPr>
          <w:rFonts w:hint="default" w:ascii="Times New Roman" w:hAnsi="Times New Roman" w:eastAsia="宋体" w:cs="Times New Roman"/>
          <w:color w:val="auto"/>
          <w:szCs w:val="21"/>
          <w:u w:val="none"/>
        </w:rPr>
        <w:t xml:space="preserve"> 度 </w:t>
      </w:r>
      <w:r>
        <w:rPr>
          <w:rFonts w:hint="default" w:ascii="Times New Roman" w:hAnsi="Times New Roman" w:eastAsia="宋体" w:cs="Times New Roman"/>
          <w:color w:val="auto"/>
          <w:szCs w:val="21"/>
          <w:u w:val="none"/>
          <w:lang w:val="en-US" w:eastAsia="zh-CN"/>
        </w:rPr>
        <w:t>36</w:t>
      </w:r>
      <w:r>
        <w:rPr>
          <w:rFonts w:hint="default" w:ascii="Times New Roman" w:hAnsi="Times New Roman" w:eastAsia="宋体" w:cs="Times New Roman"/>
          <w:color w:val="auto"/>
          <w:szCs w:val="21"/>
          <w:u w:val="none"/>
        </w:rPr>
        <w:t>分</w:t>
      </w:r>
      <w:r>
        <w:rPr>
          <w:rFonts w:hint="default" w:ascii="Times New Roman" w:hAnsi="Times New Roman" w:eastAsia="宋体" w:cs="Times New Roman"/>
          <w:color w:val="auto"/>
          <w:szCs w:val="21"/>
          <w:u w:val="none"/>
          <w:lang w:val="en-US" w:eastAsia="zh-CN"/>
        </w:rPr>
        <w:t>0.009</w:t>
      </w:r>
      <w:r>
        <w:rPr>
          <w:rFonts w:hint="default" w:ascii="Times New Roman" w:hAnsi="Times New Roman" w:eastAsia="宋体" w:cs="Times New Roman"/>
          <w:color w:val="auto"/>
          <w:szCs w:val="21"/>
          <w:u w:val="none"/>
        </w:rPr>
        <w:t>秒</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i w:val="0"/>
          <w:iCs w:val="0"/>
          <w:caps w:val="0"/>
          <w:color w:val="auto"/>
          <w:spacing w:val="0"/>
          <w:sz w:val="24"/>
          <w:szCs w:val="24"/>
          <w:shd w:val="clear" w:fill="FFFFFF"/>
        </w:rPr>
        <w:t>具体位置见附图。</w:t>
      </w:r>
    </w:p>
    <w:p w14:paraId="19409A57">
      <w:pPr>
        <w:pStyle w:val="7"/>
        <w:bidi w:val="0"/>
        <w:rPr>
          <w:rFonts w:hint="default" w:ascii="Times New Roman" w:hAnsi="Times New Roman" w:eastAsia="宋体" w:cs="Times New Roman"/>
          <w:color w:val="auto"/>
        </w:rPr>
      </w:pPr>
      <w:bookmarkStart w:id="1507" w:name="_Toc8864"/>
      <w:bookmarkEnd w:id="1507"/>
      <w:bookmarkStart w:id="1508" w:name="_Toc27808"/>
      <w:bookmarkEnd w:id="1508"/>
      <w:bookmarkStart w:id="1509" w:name="_Toc10144"/>
      <w:bookmarkEnd w:id="1509"/>
      <w:bookmarkStart w:id="1510" w:name="_Toc10017"/>
      <w:bookmarkEnd w:id="1510"/>
      <w:bookmarkStart w:id="1511" w:name="_Toc31746"/>
      <w:bookmarkEnd w:id="1511"/>
      <w:bookmarkStart w:id="1512" w:name="_Toc4124"/>
      <w:bookmarkEnd w:id="1512"/>
      <w:bookmarkStart w:id="1513" w:name="_Toc3105"/>
      <w:bookmarkEnd w:id="1513"/>
      <w:bookmarkStart w:id="1514" w:name="_Toc13338"/>
      <w:bookmarkEnd w:id="1514"/>
      <w:bookmarkStart w:id="1515" w:name="_Toc9551"/>
      <w:bookmarkEnd w:id="1515"/>
      <w:bookmarkStart w:id="1516" w:name="_Toc25683"/>
      <w:bookmarkEnd w:id="1516"/>
      <w:bookmarkStart w:id="1517" w:name="_Toc19676"/>
      <w:bookmarkEnd w:id="1517"/>
      <w:bookmarkStart w:id="1518" w:name="_Toc24542"/>
      <w:bookmarkEnd w:id="1518"/>
      <w:bookmarkStart w:id="1519" w:name="_Toc1145"/>
      <w:bookmarkStart w:id="1520" w:name="_Toc2184"/>
      <w:bookmarkStart w:id="1521" w:name="_Toc21490"/>
      <w:bookmarkStart w:id="1522" w:name="_Toc11798"/>
      <w:r>
        <w:rPr>
          <w:rFonts w:hint="default" w:ascii="Times New Roman" w:hAnsi="Times New Roman" w:eastAsia="宋体" w:cs="Times New Roman"/>
          <w:color w:val="auto"/>
        </w:rPr>
        <w:t>4.1.2水文</w:t>
      </w:r>
      <w:bookmarkEnd w:id="1519"/>
      <w:bookmarkEnd w:id="1520"/>
      <w:bookmarkEnd w:id="1521"/>
      <w:bookmarkEnd w:id="1522"/>
    </w:p>
    <w:p w14:paraId="251B28C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bookmarkStart w:id="1523" w:name="_Toc11928"/>
      <w:bookmarkEnd w:id="1523"/>
      <w:bookmarkStart w:id="1524" w:name="_Toc25047"/>
      <w:bookmarkEnd w:id="1524"/>
      <w:bookmarkStart w:id="1525" w:name="_Toc27300"/>
      <w:bookmarkEnd w:id="1525"/>
      <w:bookmarkStart w:id="1526" w:name="_Toc4239"/>
      <w:bookmarkEnd w:id="1526"/>
      <w:bookmarkStart w:id="1527" w:name="_Toc9515"/>
      <w:bookmarkEnd w:id="1527"/>
      <w:bookmarkStart w:id="1528" w:name="_Toc16108"/>
      <w:bookmarkEnd w:id="1528"/>
      <w:bookmarkStart w:id="1529" w:name="_Toc7207"/>
      <w:bookmarkEnd w:id="1529"/>
      <w:bookmarkStart w:id="1530" w:name="_Toc17522"/>
      <w:bookmarkEnd w:id="1530"/>
      <w:bookmarkStart w:id="1531" w:name="_Toc32103"/>
      <w:bookmarkEnd w:id="1531"/>
      <w:bookmarkStart w:id="1532" w:name="_Toc615"/>
      <w:bookmarkEnd w:id="1532"/>
      <w:bookmarkStart w:id="1533" w:name="_Toc21761"/>
      <w:bookmarkEnd w:id="1533"/>
      <w:bookmarkStart w:id="1534" w:name="_Toc20902"/>
      <w:bookmarkEnd w:id="1534"/>
      <w:bookmarkStart w:id="1535" w:name="_Toc14774"/>
      <w:r>
        <w:rPr>
          <w:rFonts w:hint="default" w:ascii="Times New Roman" w:hAnsi="Times New Roman" w:eastAsia="宋体" w:cs="Times New Roman"/>
          <w:i w:val="0"/>
          <w:iCs w:val="0"/>
          <w:caps w:val="0"/>
          <w:color w:val="auto"/>
          <w:spacing w:val="0"/>
          <w:sz w:val="24"/>
          <w:szCs w:val="24"/>
          <w:shd w:val="clear" w:fill="FFFFFF"/>
        </w:rPr>
        <w:t>大英县境内水系发达，溪河纵横。主要河流那江自西北入境、斜贯全区域，纳寸塘口河、古柏溪、小溪河、通仙溪、天保河等支流之水。县域东缘有涪江由北向南流过，长度为21.3km郭江是大英县的主要河流，也是大英县工业集中发展区的主要地表水体,主要水体功能为农灌和工业用水。贰江在大英县工业集中发展区流域段至涪江汇入口范围内无地表水饮用水源取水口等敏感点。那江发源于中江县龙台镇大田湾，流经三台县那江镇后入大英县，全长145km，县境内流长65km,流域面积(含支流)县境内588km</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贰江水系由龙溪、马力河、寸塘口河、古柏溪、通仙溪、黄蜡溪、小蒜溪、瑰溪等溪河呈格状组成;贰江多年平均流量为14.68m3/s，最枯流量5.35m3/s,最大流量1984m2/s，平均流速1.86m/s,输沙量最大为36.4%;</w:t>
      </w:r>
      <w:r>
        <w:rPr>
          <w:rFonts w:hint="default" w:ascii="Times New Roman" w:hAnsi="Times New Roman" w:eastAsia="宋体" w:cs="Times New Roman"/>
          <w:i w:val="0"/>
          <w:iCs w:val="0"/>
          <w:caps w:val="0"/>
          <w:color w:val="auto"/>
          <w:spacing w:val="0"/>
          <w:sz w:val="24"/>
          <w:szCs w:val="24"/>
          <w:shd w:val="clear" w:fill="FFFFFF"/>
          <w:lang w:val="en-US" w:eastAsia="zh-CN"/>
        </w:rPr>
        <w:t>郪</w:t>
      </w:r>
      <w:r>
        <w:rPr>
          <w:rFonts w:hint="default" w:ascii="Times New Roman" w:hAnsi="Times New Roman" w:eastAsia="宋体" w:cs="Times New Roman"/>
          <w:i w:val="0"/>
          <w:iCs w:val="0"/>
          <w:caps w:val="0"/>
          <w:color w:val="auto"/>
          <w:spacing w:val="0"/>
          <w:sz w:val="24"/>
          <w:szCs w:val="24"/>
          <w:shd w:val="clear" w:fill="FFFFFF"/>
        </w:rPr>
        <w:t>江常年平均水位299.22m，</w:t>
      </w:r>
      <w:r>
        <w:rPr>
          <w:rFonts w:hint="default" w:ascii="Times New Roman" w:hAnsi="Times New Roman" w:eastAsia="宋体" w:cs="Times New Roman"/>
          <w:i w:val="0"/>
          <w:iCs w:val="0"/>
          <w:caps w:val="0"/>
          <w:color w:val="auto"/>
          <w:spacing w:val="0"/>
          <w:sz w:val="24"/>
          <w:szCs w:val="24"/>
          <w:shd w:val="clear" w:fill="FFFFFF"/>
          <w:lang w:val="en-US" w:eastAsia="zh-CN"/>
        </w:rPr>
        <w:t>一</w:t>
      </w:r>
      <w:r>
        <w:rPr>
          <w:rFonts w:hint="default" w:ascii="Times New Roman" w:hAnsi="Times New Roman" w:eastAsia="宋体" w:cs="Times New Roman"/>
          <w:i w:val="0"/>
          <w:iCs w:val="0"/>
          <w:caps w:val="0"/>
          <w:color w:val="auto"/>
          <w:spacing w:val="0"/>
          <w:sz w:val="24"/>
          <w:szCs w:val="24"/>
          <w:shd w:val="clear" w:fill="FFFFFF"/>
        </w:rPr>
        <w:t>般洪水位302m,最高洪水位307.24m(1981年)。</w:t>
      </w:r>
    </w:p>
    <w:p w14:paraId="49680B8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寸塘口河又名星花溪，源于乐至县盛池乡湾滩河，流经星花水库、寸塘口中型水库，在塘塘坝注入郵江，干流全长39km,县境内37km。寸塘口水库是大英县城市生活用水取水口所在地。古柏溪源于卓简镇，在尚家坝注入贰江，全长17km。</w:t>
      </w:r>
    </w:p>
    <w:p w14:paraId="34DF1DD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通仙溪源于射洪县涪西乡，流经永明水库，在景家坝注入贰江，县境内干流全长14km。天保河源于天保镇，由三个小支流汇集成河流源头，流经天保湖(五五水库)，在紫云村汇入古柏溪，县境内干流全长16km。</w:t>
      </w:r>
    </w:p>
    <w:p w14:paraId="6BBEACA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大英县水土流失非常严重，属极强度流失区。全县有山平塘1777 口,石河堰254节，严重淤积的占73.2%，且大多数建于上世纪六、七十年代。坡面水系绝大多数为土沟、土凼、土池，工程质量差，纵坡不顺，输水不畅，垮塌、渗漏十分严重，每遇瀑雨会造成严重的水土流失，有的还会产生泥石流和滑坡现象。</w:t>
      </w:r>
    </w:p>
    <w:p w14:paraId="5F9D3039">
      <w:pPr>
        <w:pStyle w:val="7"/>
        <w:bidi w:val="0"/>
        <w:rPr>
          <w:rFonts w:hint="default" w:ascii="Times New Roman" w:hAnsi="Times New Roman" w:eastAsia="宋体" w:cs="Times New Roman"/>
          <w:color w:val="auto"/>
        </w:rPr>
      </w:pPr>
      <w:bookmarkStart w:id="1536" w:name="_Toc15681"/>
      <w:bookmarkStart w:id="1537" w:name="_Toc3448"/>
      <w:bookmarkStart w:id="1538" w:name="_Toc18765"/>
      <w:r>
        <w:rPr>
          <w:rFonts w:hint="default" w:ascii="Times New Roman" w:hAnsi="Times New Roman" w:eastAsia="宋体" w:cs="Times New Roman"/>
          <w:color w:val="auto"/>
        </w:rPr>
        <w:t>4.1.3气候气象</w:t>
      </w:r>
      <w:bookmarkEnd w:id="1535"/>
      <w:bookmarkEnd w:id="1536"/>
      <w:bookmarkEnd w:id="1537"/>
      <w:bookmarkEnd w:id="1538"/>
    </w:p>
    <w:p w14:paraId="72627DC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bookmarkStart w:id="1539" w:name="_Toc30608"/>
      <w:bookmarkEnd w:id="1539"/>
      <w:bookmarkStart w:id="1540" w:name="_Toc15172"/>
      <w:bookmarkEnd w:id="1540"/>
      <w:bookmarkStart w:id="1541" w:name="_Toc3648"/>
      <w:bookmarkEnd w:id="1541"/>
      <w:bookmarkStart w:id="1542" w:name="_Toc25906"/>
      <w:bookmarkEnd w:id="1542"/>
      <w:bookmarkStart w:id="1543" w:name="_Toc27185"/>
      <w:bookmarkEnd w:id="1543"/>
      <w:bookmarkStart w:id="1544" w:name="_Toc15943"/>
      <w:bookmarkEnd w:id="1544"/>
      <w:bookmarkStart w:id="1545" w:name="_Toc3364"/>
      <w:bookmarkEnd w:id="1545"/>
      <w:bookmarkStart w:id="1546" w:name="_Toc2051"/>
      <w:bookmarkEnd w:id="1546"/>
      <w:bookmarkStart w:id="1547" w:name="_Toc10963"/>
      <w:r>
        <w:rPr>
          <w:rFonts w:hint="default" w:ascii="Times New Roman" w:hAnsi="Times New Roman" w:eastAsia="宋体" w:cs="Times New Roman"/>
          <w:i w:val="0"/>
          <w:iCs w:val="0"/>
          <w:caps w:val="0"/>
          <w:color w:val="auto"/>
          <w:spacing w:val="0"/>
          <w:sz w:val="24"/>
          <w:szCs w:val="24"/>
          <w:shd w:val="clear" w:fill="FFFFFF"/>
        </w:rPr>
        <w:t>大英县属四川盆地亚热带湿润季风气候区，气候温和，雨量充沛，四季分明，无霜期长，云雾多，日照少。年平均温度17.4C，最冷月:1月，平均气温6.1C，最热月:8月，平均气温27.1C，极端最低气温-4.6C(1970年1月)，极端最高气温39.4C(1972年8月)，平均年日照1380小时，无霜期297天，年平均降雨量932mm，年最大降雨量1183.2mm,年蒸发量1044.6mm，年平均相对湿度79-85%，对年平均气压冬季963.2hPa,夏季947hPa,多年平均风速1.7m/s,最大风速30m/s，全年主导风向北风，次主导风向西北风，静风频率68%。</w:t>
      </w:r>
    </w:p>
    <w:p w14:paraId="7DDB7EAD">
      <w:pPr>
        <w:pStyle w:val="7"/>
        <w:bidi w:val="0"/>
        <w:rPr>
          <w:rFonts w:hint="default" w:ascii="Times New Roman" w:hAnsi="Times New Roman" w:eastAsia="宋体" w:cs="Times New Roman"/>
          <w:color w:val="auto"/>
        </w:rPr>
      </w:pPr>
      <w:bookmarkStart w:id="1548" w:name="_Toc7028"/>
      <w:bookmarkStart w:id="1549" w:name="_Toc8397"/>
      <w:bookmarkStart w:id="1550" w:name="_Toc14768"/>
      <w:r>
        <w:rPr>
          <w:rFonts w:hint="default" w:ascii="Times New Roman" w:hAnsi="Times New Roman" w:eastAsia="宋体" w:cs="Times New Roman"/>
          <w:color w:val="auto"/>
        </w:rPr>
        <w:t>4.1.4自然资源</w:t>
      </w:r>
      <w:bookmarkEnd w:id="1547"/>
      <w:bookmarkEnd w:id="1548"/>
      <w:bookmarkEnd w:id="1549"/>
      <w:bookmarkEnd w:id="1550"/>
    </w:p>
    <w:p w14:paraId="49FAE79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bookmarkStart w:id="1551" w:name="_Toc196"/>
      <w:bookmarkEnd w:id="1551"/>
      <w:bookmarkStart w:id="1552" w:name="_Toc28606"/>
      <w:bookmarkEnd w:id="1552"/>
      <w:bookmarkStart w:id="1553" w:name="_Toc30252"/>
      <w:bookmarkEnd w:id="1553"/>
      <w:bookmarkStart w:id="1554" w:name="_Toc1951"/>
      <w:bookmarkEnd w:id="1554"/>
      <w:bookmarkStart w:id="1555" w:name="_Toc27515"/>
      <w:bookmarkEnd w:id="1555"/>
      <w:bookmarkStart w:id="1556" w:name="_Toc11371"/>
      <w:bookmarkEnd w:id="1556"/>
      <w:bookmarkStart w:id="1557" w:name="_Toc31502"/>
      <w:bookmarkEnd w:id="1557"/>
      <w:bookmarkStart w:id="1558" w:name="_Toc15333"/>
      <w:bookmarkEnd w:id="1558"/>
      <w:bookmarkStart w:id="1559" w:name="_Toc7301"/>
      <w:r>
        <w:rPr>
          <w:rFonts w:hint="default" w:ascii="Times New Roman" w:hAnsi="Times New Roman" w:eastAsia="宋体" w:cs="Times New Roman"/>
          <w:i w:val="0"/>
          <w:iCs w:val="0"/>
          <w:caps w:val="0"/>
          <w:color w:val="auto"/>
          <w:spacing w:val="0"/>
          <w:sz w:val="24"/>
          <w:szCs w:val="24"/>
          <w:shd w:val="clear" w:fill="FFFFFF"/>
        </w:rPr>
        <w:t>大英县动物资源为川中普遍的常见动物种类，无特别资源。大英县属于盆底丘陵低山植被区，是传统的农业生产区，大量条件较好的土地用于农业生产，林地多为不便耕作的立地条件较差的土地，森林植被没有明显的水平地带性和垂直地带性变化。境内由于人为活动频繁，天然原生植被已不存在，现有树木均为人工栽培。据森林资源二类调查结果，全县现有成片林业用地面积16393hm</w:t>
      </w:r>
      <w:r>
        <w:rPr>
          <w:rFonts w:hint="default" w:ascii="Times New Roman" w:hAnsi="Times New Roman" w:eastAsia="宋体" w:cs="Times New Roman"/>
          <w:i w:val="0"/>
          <w:iCs w:val="0"/>
          <w:caps w:val="0"/>
          <w:color w:val="auto"/>
          <w:spacing w:val="0"/>
          <w:sz w:val="24"/>
          <w:szCs w:val="24"/>
          <w:shd w:val="clear" w:fill="FFFFFF"/>
          <w:vertAlign w:val="superscript"/>
        </w:rPr>
        <w:t>2</w:t>
      </w:r>
      <w:r>
        <w:rPr>
          <w:rFonts w:hint="default" w:ascii="Times New Roman" w:hAnsi="Times New Roman" w:eastAsia="宋体" w:cs="Times New Roman"/>
          <w:i w:val="0"/>
          <w:iCs w:val="0"/>
          <w:caps w:val="0"/>
          <w:color w:val="auto"/>
          <w:spacing w:val="0"/>
          <w:sz w:val="24"/>
          <w:szCs w:val="24"/>
          <w:shd w:val="clear" w:fill="FFFFFF"/>
        </w:rPr>
        <w:t>(其中有林地14667hm</w:t>
      </w:r>
      <w:r>
        <w:rPr>
          <w:rFonts w:hint="default" w:ascii="Times New Roman" w:hAnsi="Times New Roman" w:eastAsia="宋体" w:cs="Times New Roman"/>
          <w:i w:val="0"/>
          <w:iCs w:val="0"/>
          <w:caps w:val="0"/>
          <w:color w:val="auto"/>
          <w:spacing w:val="0"/>
          <w:sz w:val="24"/>
          <w:szCs w:val="24"/>
          <w:shd w:val="clear" w:fill="FFFFFF"/>
          <w:vertAlign w:val="superscript"/>
        </w:rPr>
        <w:t>2</w:t>
      </w:r>
      <w:r>
        <w:rPr>
          <w:rFonts w:hint="default" w:ascii="Times New Roman" w:hAnsi="Times New Roman" w:eastAsia="宋体" w:cs="Times New Roman"/>
          <w:i w:val="0"/>
          <w:iCs w:val="0"/>
          <w:caps w:val="0"/>
          <w:color w:val="auto"/>
          <w:spacing w:val="0"/>
          <w:sz w:val="24"/>
          <w:szCs w:val="24"/>
          <w:shd w:val="clear" w:fill="FFFFFF"/>
        </w:rPr>
        <w:t>)，占幅员面积的23.4%，667m以下的四旁零星林业用地面积9200hm2,森林覆盖率32.4%，活立木蓄积85万m3。森林资源中四旁零星资源十分丰富，树种单一以柏木为主，林相简单，以单层林为主，林分密度大，林下植被少，水土流失严重</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大英县工业集中发展区林种结构简单，主要为散状分布柏木，经济林主要有苹果、梨、柑橘等。</w:t>
      </w:r>
    </w:p>
    <w:bookmarkEnd w:id="1559"/>
    <w:p w14:paraId="458602C2">
      <w:pPr>
        <w:pStyle w:val="6"/>
        <w:bidi w:val="0"/>
        <w:rPr>
          <w:rFonts w:hint="default" w:ascii="Times New Roman" w:hAnsi="Times New Roman" w:eastAsia="宋体" w:cs="Times New Roman"/>
          <w:color w:val="auto"/>
        </w:rPr>
      </w:pPr>
      <w:bookmarkStart w:id="1560" w:name="_Toc24125"/>
      <w:bookmarkEnd w:id="1560"/>
      <w:bookmarkStart w:id="1561" w:name="_Toc12553"/>
      <w:bookmarkEnd w:id="1561"/>
      <w:bookmarkStart w:id="1562" w:name="_Toc29429"/>
      <w:bookmarkEnd w:id="1562"/>
      <w:bookmarkStart w:id="1563" w:name="_Toc28587"/>
      <w:bookmarkEnd w:id="1563"/>
      <w:bookmarkStart w:id="1564" w:name="_Toc29330"/>
      <w:bookmarkEnd w:id="1564"/>
      <w:bookmarkStart w:id="1565" w:name="_Toc440380473"/>
      <w:bookmarkEnd w:id="1565"/>
      <w:bookmarkStart w:id="1566" w:name="_Toc26840"/>
      <w:bookmarkEnd w:id="1566"/>
      <w:bookmarkStart w:id="1567" w:name="_Toc4508"/>
      <w:bookmarkEnd w:id="1567"/>
      <w:bookmarkStart w:id="1568" w:name="_Toc5076"/>
      <w:bookmarkEnd w:id="1568"/>
      <w:bookmarkStart w:id="1569" w:name="_Toc2997"/>
      <w:bookmarkEnd w:id="1569"/>
      <w:bookmarkStart w:id="1570" w:name="_Toc8501"/>
      <w:bookmarkEnd w:id="1570"/>
      <w:bookmarkStart w:id="1571" w:name="_Toc175"/>
      <w:bookmarkEnd w:id="1571"/>
      <w:bookmarkStart w:id="1572" w:name="_Toc18245"/>
      <w:bookmarkEnd w:id="1572"/>
      <w:bookmarkStart w:id="1573" w:name="_Toc22184"/>
      <w:bookmarkStart w:id="1574" w:name="_Toc26600"/>
      <w:bookmarkStart w:id="1575" w:name="_Toc2761"/>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周边污染源分析</w:t>
      </w:r>
      <w:bookmarkEnd w:id="1573"/>
      <w:bookmarkEnd w:id="1574"/>
      <w:bookmarkEnd w:id="1575"/>
    </w:p>
    <w:p w14:paraId="0D019F3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rPr>
        <w:t>项目位于</w:t>
      </w:r>
      <w:r>
        <w:rPr>
          <w:rFonts w:hint="default" w:ascii="Times New Roman" w:hAnsi="Times New Roman" w:eastAsia="宋体" w:cs="Times New Roman"/>
          <w:i w:val="0"/>
          <w:iCs w:val="0"/>
          <w:caps w:val="0"/>
          <w:color w:val="auto"/>
          <w:spacing w:val="0"/>
          <w:sz w:val="24"/>
          <w:szCs w:val="24"/>
          <w:shd w:val="clear" w:fill="FFFFFF"/>
          <w:lang w:val="en-US" w:eastAsia="zh-CN"/>
        </w:rPr>
        <w:t>大英县文旅产业园</w:t>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shd w:val="clear" w:fill="FFFFFF"/>
          <w:lang w:val="en-US" w:eastAsia="zh-CN"/>
        </w:rPr>
        <w:t>场地西侧现状为和喜公园里小区在建住宅区，场地北侧现状为城市次干道，场地东侧为山地景观，场地南侧为医院综合楼（高层建筑），西南侧约260m为大英郪江幼儿园，东南侧625m为郪江。周边均为居民住宅或商业场所，主要的污染源均为生活污染源，即生</w:t>
      </w:r>
      <w:r>
        <w:rPr>
          <w:rFonts w:hint="default" w:ascii="Times New Roman" w:hAnsi="Times New Roman" w:eastAsia="宋体" w:cs="Times New Roman"/>
          <w:i w:val="0"/>
          <w:iCs w:val="0"/>
          <w:caps w:val="0"/>
          <w:color w:val="auto"/>
          <w:spacing w:val="0"/>
          <w:sz w:val="24"/>
          <w:szCs w:val="24"/>
          <w:shd w:val="clear" w:fill="FFFFFF"/>
        </w:rPr>
        <w:t>活污水和生活垃圾。生活污水排入市政污水管网；生活垃圾则由环卫部门统一清运至填埋场填埋。</w:t>
      </w:r>
    </w:p>
    <w:p w14:paraId="7AB212C2">
      <w:pPr>
        <w:pStyle w:val="6"/>
        <w:bidi w:val="0"/>
        <w:rPr>
          <w:rFonts w:hint="default" w:ascii="Times New Roman" w:hAnsi="Times New Roman" w:eastAsia="宋体" w:cs="Times New Roman"/>
          <w:color w:val="auto"/>
        </w:rPr>
      </w:pPr>
      <w:bookmarkStart w:id="1576" w:name="_Toc18082"/>
      <w:r>
        <w:rPr>
          <w:rFonts w:hint="default" w:ascii="Times New Roman" w:hAnsi="Times New Roman" w:eastAsia="宋体" w:cs="Times New Roman"/>
          <w:color w:val="auto"/>
          <w:lang w:val="en-US" w:eastAsia="zh-CN"/>
        </w:rPr>
        <w:t>4.3 与项目有关的原有环境问题</w:t>
      </w:r>
      <w:bookmarkEnd w:id="1576"/>
    </w:p>
    <w:p w14:paraId="2A55B4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shd w:val="clear" w:fill="FFFFFF"/>
          <w:lang w:val="en-US" w:eastAsia="zh-CN"/>
        </w:rPr>
        <w:t>根据现场调查，项</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目用地属于原遂宁华康医院项目建设用地，已于2013年起取得了选址意见的函、用地预审证明、设置医疗机构批准书、开展前期工作的批复、污水接管同意书、环评批复等相关文件，华康医院于2014年开工，已完成了门急诊医技住院综合楼五层框架建设，因资金链断裂于2016年1月停工。项目本次建设将依托已建设的五层门急诊医技住院综合楼。本次对项目地地下水进行检测，各项监测因子均满足《地下水环境质量标准》（GB14848-2017）Ⅲ类水质要求。原项目建设未对所在地下水造成太大影响。</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br w:type="page"/>
      </w:r>
    </w:p>
    <w:p w14:paraId="143AD118">
      <w:pPr>
        <w:pStyle w:val="5"/>
        <w:bidi w:val="0"/>
        <w:rPr>
          <w:rFonts w:hint="default" w:ascii="Times New Roman" w:hAnsi="Times New Roman" w:eastAsia="宋体" w:cs="Times New Roman"/>
          <w:color w:val="auto"/>
          <w:lang w:val="en-US" w:eastAsia="zh-CN"/>
        </w:rPr>
      </w:pPr>
      <w:bookmarkStart w:id="1577" w:name="_Toc18303"/>
      <w:bookmarkEnd w:id="1577"/>
      <w:bookmarkStart w:id="1578" w:name="_Toc6318"/>
      <w:bookmarkEnd w:id="1578"/>
      <w:bookmarkStart w:id="1579" w:name="_Toc25533"/>
      <w:bookmarkEnd w:id="1579"/>
      <w:bookmarkStart w:id="1580" w:name="_Toc22000"/>
      <w:bookmarkEnd w:id="1580"/>
      <w:bookmarkStart w:id="1581" w:name="_Toc7112"/>
      <w:bookmarkEnd w:id="1581"/>
      <w:bookmarkStart w:id="1582" w:name="_Toc20212"/>
      <w:bookmarkEnd w:id="1582"/>
      <w:bookmarkStart w:id="1583" w:name="_Toc15377"/>
      <w:bookmarkEnd w:id="1583"/>
      <w:bookmarkStart w:id="1584" w:name="_Toc8135"/>
      <w:bookmarkEnd w:id="1584"/>
      <w:bookmarkStart w:id="1585" w:name="_Toc18076"/>
      <w:bookmarkEnd w:id="1585"/>
      <w:bookmarkStart w:id="1586" w:name="_Toc440380474"/>
      <w:bookmarkEnd w:id="1586"/>
      <w:bookmarkStart w:id="1587" w:name="_Toc4788"/>
      <w:bookmarkEnd w:id="1587"/>
      <w:bookmarkStart w:id="1588" w:name="_Toc16843"/>
      <w:bookmarkStart w:id="1589" w:name="_Toc14412"/>
      <w:bookmarkStart w:id="1590" w:name="_Toc14112"/>
      <w:r>
        <w:rPr>
          <w:rFonts w:hint="default" w:ascii="Times New Roman" w:hAnsi="Times New Roman" w:eastAsia="宋体" w:cs="Times New Roman"/>
          <w:color w:val="auto"/>
          <w:lang w:val="en-US" w:eastAsia="zh-CN"/>
        </w:rPr>
        <w:t>5.环境质量现状调查</w:t>
      </w:r>
      <w:bookmarkEnd w:id="1588"/>
    </w:p>
    <w:p w14:paraId="5AA8C42F">
      <w:pPr>
        <w:pStyle w:val="6"/>
        <w:bidi w:val="0"/>
        <w:rPr>
          <w:rFonts w:hint="default" w:ascii="Times New Roman" w:hAnsi="Times New Roman" w:eastAsia="宋体" w:cs="Times New Roman"/>
          <w:color w:val="auto"/>
        </w:rPr>
      </w:pPr>
      <w:bookmarkStart w:id="1591" w:name="_Toc23940"/>
      <w:r>
        <w:rPr>
          <w:rFonts w:hint="default" w:ascii="Times New Roman" w:hAnsi="Times New Roman" w:eastAsia="宋体" w:cs="Times New Roman"/>
          <w:color w:val="auto"/>
          <w:lang w:val="en-US" w:eastAsia="zh-CN"/>
        </w:rPr>
        <w:t>5.1</w:t>
      </w:r>
      <w:r>
        <w:rPr>
          <w:rFonts w:hint="default" w:ascii="Times New Roman" w:hAnsi="Times New Roman" w:eastAsia="宋体" w:cs="Times New Roman"/>
          <w:color w:val="auto"/>
        </w:rPr>
        <w:t>环境质量现状调查及评价</w:t>
      </w:r>
      <w:bookmarkEnd w:id="1591"/>
    </w:p>
    <w:p w14:paraId="53AC15CC">
      <w:pPr>
        <w:pStyle w:val="7"/>
        <w:bidi w:val="0"/>
        <w:rPr>
          <w:rFonts w:hint="default" w:ascii="Times New Roman" w:hAnsi="Times New Roman" w:eastAsia="宋体" w:cs="Times New Roman"/>
          <w:color w:val="auto"/>
        </w:rPr>
      </w:pPr>
      <w:bookmarkStart w:id="1592" w:name="_Toc21047"/>
      <w:bookmarkEnd w:id="1592"/>
      <w:bookmarkStart w:id="1593" w:name="_Toc16022"/>
      <w:bookmarkEnd w:id="1593"/>
      <w:bookmarkStart w:id="1594" w:name="_Toc13347"/>
      <w:bookmarkEnd w:id="1594"/>
      <w:bookmarkStart w:id="1595" w:name="_Toc27821"/>
      <w:bookmarkEnd w:id="1595"/>
      <w:bookmarkStart w:id="1596" w:name="_Toc20939"/>
      <w:bookmarkEnd w:id="1596"/>
      <w:bookmarkStart w:id="1597" w:name="_Toc22555"/>
      <w:bookmarkEnd w:id="1597"/>
      <w:bookmarkStart w:id="1598" w:name="_Toc17806"/>
      <w:bookmarkEnd w:id="1598"/>
      <w:bookmarkStart w:id="1599" w:name="_Toc6664"/>
      <w:bookmarkEnd w:id="1599"/>
      <w:bookmarkStart w:id="1600" w:name="_Toc10268"/>
      <w:bookmarkEnd w:id="1600"/>
      <w:bookmarkStart w:id="1601" w:name="_Toc32110"/>
      <w:bookmarkEnd w:id="1601"/>
      <w:bookmarkStart w:id="1602" w:name="_Toc23008"/>
      <w:bookmarkEnd w:id="1602"/>
      <w:bookmarkStart w:id="1603" w:name="_Toc9445"/>
      <w:bookmarkEnd w:id="1603"/>
      <w:bookmarkStart w:id="1604" w:name="_Toc20882"/>
      <w:bookmarkStart w:id="1605" w:name="_Toc31024"/>
      <w:r>
        <w:rPr>
          <w:rFonts w:hint="default" w:ascii="Times New Roman" w:hAnsi="Times New Roman" w:eastAsia="宋体" w:cs="Times New Roman"/>
          <w:color w:val="auto"/>
          <w:lang w:val="en-US" w:eastAsia="zh-CN"/>
        </w:rPr>
        <w:t>5.1</w:t>
      </w:r>
      <w:r>
        <w:rPr>
          <w:rFonts w:hint="default" w:ascii="Times New Roman" w:hAnsi="Times New Roman" w:eastAsia="宋体" w:cs="Times New Roman"/>
          <w:color w:val="auto"/>
        </w:rPr>
        <w:t>.1</w:t>
      </w:r>
      <w:bookmarkEnd w:id="1604"/>
      <w:bookmarkStart w:id="1606" w:name="_Toc139875170"/>
      <w:bookmarkEnd w:id="1606"/>
      <w:bookmarkStart w:id="1607" w:name="_Toc118708791"/>
      <w:bookmarkEnd w:id="1607"/>
      <w:bookmarkStart w:id="1608" w:name="_Toc139633720"/>
      <w:bookmarkEnd w:id="1608"/>
      <w:bookmarkStart w:id="1609" w:name="_Toc118536862"/>
      <w:r>
        <w:rPr>
          <w:rFonts w:hint="default" w:ascii="Times New Roman" w:hAnsi="Times New Roman" w:eastAsia="宋体" w:cs="Times New Roman"/>
          <w:color w:val="auto"/>
        </w:rPr>
        <w:t>大气环境现状调查</w:t>
      </w:r>
      <w:bookmarkEnd w:id="1605"/>
      <w:bookmarkEnd w:id="1609"/>
    </w:p>
    <w:p w14:paraId="1C45121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1</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达标区判定</w:t>
      </w:r>
    </w:p>
    <w:p w14:paraId="5B14B7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本次环境空气质量现状评价引用遂宁市生态环境局2022年1月17日发布的关于2021年全市环境空气质量的通报公布的数据，</w:t>
      </w:r>
      <w:r>
        <w:rPr>
          <w:rFonts w:hint="default" w:ascii="Times New Roman" w:hAnsi="Times New Roman" w:eastAsia="宋体" w:cs="Times New Roman"/>
          <w:bCs/>
          <w:color w:val="auto"/>
          <w:sz w:val="24"/>
          <w:szCs w:val="24"/>
          <w:highlight w:val="none"/>
          <w:lang w:val="en-US" w:eastAsia="zh-CN"/>
        </w:rPr>
        <w:t>本年度遂宁市城区环境空气质量158天优、171天良、35天轻度污染、1天中度污染，空气质量达标率为90.1%，主要污染物SO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、NO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10</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2.5</w:t>
      </w:r>
      <w:r>
        <w:rPr>
          <w:rFonts w:hint="default" w:ascii="Times New Roman" w:hAnsi="Times New Roman" w:eastAsia="宋体" w:cs="Times New Roman"/>
          <w:bCs/>
          <w:color w:val="auto"/>
          <w:sz w:val="24"/>
          <w:szCs w:val="24"/>
          <w:highlight w:val="none"/>
          <w:lang w:val="en-US" w:eastAsia="zh-CN"/>
        </w:rPr>
        <w:t>、CO和O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的年均值分别为8.1微克/立方米、20.3微克/立方米、49.2微克/立方米、29.9微克/立方米、0.9毫克/立方米和125.6微克/立方米。同比SO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、CO、O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浓度分别下降了4.7%、10.0%、4.8%，NO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10</w:t>
      </w:r>
      <w:r>
        <w:rPr>
          <w:rFonts w:hint="default" w:ascii="Times New Roman" w:hAnsi="Times New Roman" w:eastAsia="宋体" w:cs="Times New Roman"/>
          <w:bCs/>
          <w:color w:val="auto"/>
          <w:sz w:val="24"/>
          <w:szCs w:val="24"/>
          <w:highlight w:val="none"/>
          <w:lang w:val="en-US" w:eastAsia="zh-CN"/>
        </w:rPr>
        <w:t>、PM</w:t>
      </w:r>
      <w:r>
        <w:rPr>
          <w:rFonts w:hint="default" w:ascii="Times New Roman" w:hAnsi="Times New Roman" w:eastAsia="宋体" w:cs="Times New Roman"/>
          <w:bCs/>
          <w:color w:val="auto"/>
          <w:sz w:val="24"/>
          <w:szCs w:val="24"/>
          <w:highlight w:val="none"/>
          <w:vertAlign w:val="subscript"/>
          <w:lang w:val="en-US" w:eastAsia="zh-CN"/>
        </w:rPr>
        <w:t>2.5</w:t>
      </w:r>
      <w:r>
        <w:rPr>
          <w:rFonts w:hint="default" w:ascii="Times New Roman" w:hAnsi="Times New Roman" w:eastAsia="宋体" w:cs="Times New Roman"/>
          <w:bCs/>
          <w:color w:val="auto"/>
          <w:sz w:val="24"/>
          <w:szCs w:val="24"/>
          <w:highlight w:val="none"/>
          <w:lang w:val="en-US" w:eastAsia="zh-CN"/>
        </w:rPr>
        <w:t>浓度上升了12.8%、3.8%、3.1%。</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2021年大英县环境空气质量详见下表。</w:t>
      </w:r>
    </w:p>
    <w:p w14:paraId="1C5B3E75">
      <w:pPr>
        <w:pStyle w:val="28"/>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b/>
          <w:bCs/>
          <w:i w:val="0"/>
          <w:iCs w:val="0"/>
          <w:caps w:val="0"/>
          <w:color w:val="auto"/>
          <w:spacing w:val="0"/>
          <w:sz w:val="21"/>
          <w:szCs w:val="21"/>
          <w:shd w:val="clear" w:fill="FFFFFF"/>
          <w:lang w:val="en-US" w:eastAsia="zh-CN"/>
        </w:rPr>
        <w:t>5</w:t>
      </w:r>
      <w:r>
        <w:rPr>
          <w:rFonts w:hint="default" w:ascii="Times New Roman" w:hAnsi="Times New Roman" w:eastAsia="宋体" w:cs="Times New Roman"/>
          <w:b/>
          <w:bCs/>
          <w:i w:val="0"/>
          <w:iCs w:val="0"/>
          <w:caps w:val="0"/>
          <w:color w:val="auto"/>
          <w:spacing w:val="0"/>
          <w:sz w:val="21"/>
          <w:szCs w:val="21"/>
          <w:shd w:val="clear" w:fill="FFFFFF"/>
        </w:rPr>
        <w:t>.1-1</w:t>
      </w:r>
      <w:r>
        <w:rPr>
          <w:rFonts w:hint="default" w:ascii="Times New Roman" w:hAnsi="Times New Roman" w:eastAsia="宋体" w:cs="Times New Roman"/>
          <w:color w:val="auto"/>
          <w:sz w:val="21"/>
          <w:szCs w:val="21"/>
        </w:rPr>
        <w:t xml:space="preserve"> 20</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遂宁市城区</w:t>
      </w:r>
      <w:r>
        <w:rPr>
          <w:rFonts w:hint="default" w:ascii="Times New Roman" w:hAnsi="Times New Roman" w:eastAsia="宋体" w:cs="Times New Roman"/>
          <w:color w:val="auto"/>
          <w:sz w:val="21"/>
          <w:szCs w:val="21"/>
        </w:rPr>
        <w:t>环境空气质量</w:t>
      </w:r>
    </w:p>
    <w:tbl>
      <w:tblPr>
        <w:tblStyle w:val="20"/>
        <w:tblW w:w="80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38"/>
        <w:gridCol w:w="1329"/>
        <w:gridCol w:w="997"/>
        <w:gridCol w:w="937"/>
        <w:gridCol w:w="986"/>
        <w:gridCol w:w="960"/>
        <w:gridCol w:w="874"/>
        <w:gridCol w:w="877"/>
      </w:tblGrid>
      <w:tr w14:paraId="50384A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560" w:hRule="atLeast"/>
          <w:jc w:val="center"/>
        </w:trPr>
        <w:tc>
          <w:tcPr>
            <w:tcW w:w="1138" w:type="dxa"/>
            <w:shd w:val="clear" w:color="auto" w:fill="D7D7D7" w:themeFill="background1" w:themeFillShade="D8"/>
            <w:noWrap/>
            <w:vAlign w:val="center"/>
          </w:tcPr>
          <w:p w14:paraId="48E4D0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kern w:val="0"/>
                <w:sz w:val="21"/>
                <w:szCs w:val="21"/>
                <w:lang w:val="en-US" w:eastAsia="zh-CN" w:bidi="ar"/>
              </w:rPr>
              <w:t>点位</w:t>
            </w:r>
          </w:p>
        </w:tc>
        <w:tc>
          <w:tcPr>
            <w:tcW w:w="1329" w:type="dxa"/>
            <w:shd w:val="clear" w:color="auto" w:fill="D7D7D7" w:themeFill="background1" w:themeFillShade="D8"/>
            <w:noWrap/>
            <w:vAlign w:val="center"/>
          </w:tcPr>
          <w:p w14:paraId="39D3F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SO</w:t>
            </w:r>
            <w:r>
              <w:rPr>
                <w:rFonts w:hint="default"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97" w:type="dxa"/>
            <w:shd w:val="clear" w:color="auto" w:fill="D7D7D7" w:themeFill="background1" w:themeFillShade="D8"/>
            <w:noWrap/>
            <w:vAlign w:val="center"/>
          </w:tcPr>
          <w:p w14:paraId="1851E1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NO</w:t>
            </w:r>
            <w:r>
              <w:rPr>
                <w:rFonts w:hint="default"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37" w:type="dxa"/>
            <w:shd w:val="clear" w:color="auto" w:fill="D7D7D7" w:themeFill="background1" w:themeFillShade="D8"/>
            <w:noWrap/>
            <w:vAlign w:val="center"/>
          </w:tcPr>
          <w:p w14:paraId="53F169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PM</w:t>
            </w:r>
            <w:r>
              <w:rPr>
                <w:rFonts w:hint="default" w:ascii="Times New Roman" w:hAnsi="Times New Roman" w:eastAsia="宋体" w:cs="Times New Roman"/>
                <w:b/>
                <w:color w:val="auto"/>
                <w:kern w:val="0"/>
                <w:sz w:val="21"/>
                <w:szCs w:val="21"/>
                <w:vertAlign w:val="subscript"/>
                <w:lang w:bidi="ar"/>
              </w:rPr>
              <w:t>10</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86" w:type="dxa"/>
            <w:shd w:val="clear" w:color="auto" w:fill="D7D7D7" w:themeFill="background1" w:themeFillShade="D8"/>
            <w:noWrap/>
            <w:vAlign w:val="center"/>
          </w:tcPr>
          <w:p w14:paraId="0D757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PM</w:t>
            </w:r>
            <w:r>
              <w:rPr>
                <w:rFonts w:hint="default" w:ascii="Times New Roman" w:hAnsi="Times New Roman" w:eastAsia="宋体" w:cs="Times New Roman"/>
                <w:b/>
                <w:color w:val="auto"/>
                <w:kern w:val="0"/>
                <w:sz w:val="21"/>
                <w:szCs w:val="21"/>
                <w:vertAlign w:val="subscript"/>
                <w:lang w:bidi="ar"/>
              </w:rPr>
              <w:t>2.5</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60" w:type="dxa"/>
            <w:shd w:val="clear" w:color="auto" w:fill="D7D7D7" w:themeFill="background1" w:themeFillShade="D8"/>
            <w:noWrap/>
            <w:vAlign w:val="center"/>
          </w:tcPr>
          <w:p w14:paraId="1B0DF2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CO95百分位（</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874" w:type="dxa"/>
            <w:shd w:val="clear" w:color="auto" w:fill="D7D7D7" w:themeFill="background1" w:themeFillShade="D8"/>
            <w:noWrap/>
            <w:vAlign w:val="center"/>
          </w:tcPr>
          <w:p w14:paraId="37173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O</w:t>
            </w:r>
            <w:r>
              <w:rPr>
                <w:rFonts w:hint="default" w:ascii="Times New Roman" w:hAnsi="Times New Roman" w:eastAsia="宋体" w:cs="Times New Roman"/>
                <w:b/>
                <w:color w:val="auto"/>
                <w:kern w:val="0"/>
                <w:sz w:val="21"/>
                <w:szCs w:val="21"/>
                <w:vertAlign w:val="subscript"/>
                <w:lang w:bidi="ar"/>
              </w:rPr>
              <w:t>3</w:t>
            </w:r>
            <w:r>
              <w:rPr>
                <w:rFonts w:hint="default" w:ascii="Times New Roman" w:hAnsi="Times New Roman" w:eastAsia="宋体" w:cs="Times New Roman"/>
                <w:b/>
                <w:color w:val="auto"/>
                <w:kern w:val="0"/>
                <w:sz w:val="21"/>
                <w:szCs w:val="21"/>
                <w:lang w:bidi="ar"/>
              </w:rPr>
              <w:t>-8h</w:t>
            </w:r>
            <w:r>
              <w:rPr>
                <w:rFonts w:hint="default" w:ascii="Times New Roman" w:hAnsi="Times New Roman" w:eastAsia="宋体" w:cs="Times New Roman"/>
                <w:b/>
                <w:color w:val="auto"/>
                <w:kern w:val="0"/>
                <w:sz w:val="21"/>
                <w:szCs w:val="21"/>
                <w:lang w:val="en-US" w:eastAsia="zh-CN" w:bidi="ar"/>
              </w:rPr>
              <w:t xml:space="preserve"> </w:t>
            </w:r>
            <w:r>
              <w:rPr>
                <w:rFonts w:hint="default" w:ascii="Times New Roman" w:hAnsi="Times New Roman" w:eastAsia="宋体" w:cs="Times New Roman"/>
                <w:b/>
                <w:color w:val="auto"/>
                <w:kern w:val="0"/>
                <w:sz w:val="21"/>
                <w:szCs w:val="21"/>
                <w:lang w:bidi="ar"/>
              </w:rPr>
              <w:t>90百分位（</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877" w:type="dxa"/>
            <w:shd w:val="clear" w:color="auto" w:fill="D7D7D7" w:themeFill="background1" w:themeFillShade="D8"/>
            <w:noWrap/>
            <w:vAlign w:val="center"/>
          </w:tcPr>
          <w:p w14:paraId="4E5CB7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环境空气质量综合指数</w:t>
            </w:r>
          </w:p>
        </w:tc>
      </w:tr>
      <w:tr w14:paraId="3F87C7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9" w:hRule="atLeast"/>
          <w:jc w:val="center"/>
        </w:trPr>
        <w:tc>
          <w:tcPr>
            <w:tcW w:w="1138" w:type="dxa"/>
            <w:noWrap/>
            <w:vAlign w:val="center"/>
          </w:tcPr>
          <w:p w14:paraId="238E87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市监测站</w:t>
            </w:r>
          </w:p>
        </w:tc>
        <w:tc>
          <w:tcPr>
            <w:tcW w:w="1329" w:type="dxa"/>
            <w:noWrap/>
            <w:vAlign w:val="center"/>
          </w:tcPr>
          <w:p w14:paraId="1EA1E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w:t>
            </w:r>
          </w:p>
        </w:tc>
        <w:tc>
          <w:tcPr>
            <w:tcW w:w="997" w:type="dxa"/>
            <w:noWrap/>
            <w:vAlign w:val="center"/>
          </w:tcPr>
          <w:p w14:paraId="1DDD52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20.7</w:t>
            </w:r>
          </w:p>
        </w:tc>
        <w:tc>
          <w:tcPr>
            <w:tcW w:w="937" w:type="dxa"/>
            <w:noWrap/>
            <w:vAlign w:val="center"/>
          </w:tcPr>
          <w:p w14:paraId="1AF428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49.5</w:t>
            </w:r>
          </w:p>
        </w:tc>
        <w:tc>
          <w:tcPr>
            <w:tcW w:w="986" w:type="dxa"/>
            <w:noWrap/>
            <w:vAlign w:val="center"/>
          </w:tcPr>
          <w:p w14:paraId="1B11C6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29.7</w:t>
            </w:r>
          </w:p>
        </w:tc>
        <w:tc>
          <w:tcPr>
            <w:tcW w:w="960" w:type="dxa"/>
            <w:noWrap/>
            <w:vAlign w:val="center"/>
          </w:tcPr>
          <w:p w14:paraId="4BB901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874" w:type="dxa"/>
            <w:noWrap/>
            <w:vAlign w:val="center"/>
          </w:tcPr>
          <w:p w14:paraId="7604E0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121</w:t>
            </w:r>
          </w:p>
        </w:tc>
        <w:tc>
          <w:tcPr>
            <w:tcW w:w="877" w:type="dxa"/>
            <w:noWrap/>
            <w:vAlign w:val="center"/>
          </w:tcPr>
          <w:p w14:paraId="327EDC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3.21</w:t>
            </w:r>
          </w:p>
        </w:tc>
      </w:tr>
      <w:tr w14:paraId="6FF56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9" w:hRule="atLeast"/>
          <w:jc w:val="center"/>
        </w:trPr>
        <w:tc>
          <w:tcPr>
            <w:tcW w:w="1138" w:type="dxa"/>
            <w:noWrap/>
            <w:vAlign w:val="center"/>
          </w:tcPr>
          <w:p w14:paraId="6D7979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美宁食品公司</w:t>
            </w:r>
          </w:p>
        </w:tc>
        <w:tc>
          <w:tcPr>
            <w:tcW w:w="1329" w:type="dxa"/>
            <w:noWrap/>
            <w:vAlign w:val="center"/>
          </w:tcPr>
          <w:p w14:paraId="76BC4B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w:t>
            </w:r>
          </w:p>
        </w:tc>
        <w:tc>
          <w:tcPr>
            <w:tcW w:w="997" w:type="dxa"/>
            <w:noWrap/>
            <w:vAlign w:val="center"/>
          </w:tcPr>
          <w:p w14:paraId="15EDCD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22.2</w:t>
            </w:r>
          </w:p>
        </w:tc>
        <w:tc>
          <w:tcPr>
            <w:tcW w:w="937" w:type="dxa"/>
            <w:noWrap/>
            <w:vAlign w:val="center"/>
          </w:tcPr>
          <w:p w14:paraId="6A52E2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53.3</w:t>
            </w:r>
          </w:p>
        </w:tc>
        <w:tc>
          <w:tcPr>
            <w:tcW w:w="986" w:type="dxa"/>
            <w:noWrap/>
            <w:vAlign w:val="center"/>
          </w:tcPr>
          <w:p w14:paraId="3E203C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29.9</w:t>
            </w:r>
          </w:p>
        </w:tc>
        <w:tc>
          <w:tcPr>
            <w:tcW w:w="960" w:type="dxa"/>
            <w:noWrap/>
            <w:vAlign w:val="center"/>
          </w:tcPr>
          <w:p w14:paraId="7A3611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0.9</w:t>
            </w:r>
          </w:p>
        </w:tc>
        <w:tc>
          <w:tcPr>
            <w:tcW w:w="874" w:type="dxa"/>
            <w:noWrap/>
            <w:vAlign w:val="center"/>
          </w:tcPr>
          <w:p w14:paraId="669EB9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125.7</w:t>
            </w:r>
          </w:p>
        </w:tc>
        <w:tc>
          <w:tcPr>
            <w:tcW w:w="877" w:type="dxa"/>
            <w:noWrap/>
            <w:vAlign w:val="center"/>
          </w:tcPr>
          <w:p w14:paraId="654CB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3.32</w:t>
            </w:r>
          </w:p>
        </w:tc>
      </w:tr>
      <w:tr w14:paraId="56DBE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9" w:hRule="atLeast"/>
          <w:jc w:val="center"/>
        </w:trPr>
        <w:tc>
          <w:tcPr>
            <w:tcW w:w="1138" w:type="dxa"/>
            <w:noWrap/>
            <w:vAlign w:val="center"/>
          </w:tcPr>
          <w:p w14:paraId="755CC4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行政中心</w:t>
            </w:r>
          </w:p>
        </w:tc>
        <w:tc>
          <w:tcPr>
            <w:tcW w:w="1329" w:type="dxa"/>
            <w:noWrap/>
            <w:vAlign w:val="center"/>
          </w:tcPr>
          <w:p w14:paraId="286565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w:t>
            </w:r>
          </w:p>
        </w:tc>
        <w:tc>
          <w:tcPr>
            <w:tcW w:w="997" w:type="dxa"/>
            <w:noWrap/>
            <w:vAlign w:val="center"/>
          </w:tcPr>
          <w:p w14:paraId="67EAF2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17.9</w:t>
            </w:r>
          </w:p>
        </w:tc>
        <w:tc>
          <w:tcPr>
            <w:tcW w:w="937" w:type="dxa"/>
            <w:noWrap/>
            <w:vAlign w:val="center"/>
          </w:tcPr>
          <w:p w14:paraId="2CB67F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44.8</w:t>
            </w:r>
          </w:p>
        </w:tc>
        <w:tc>
          <w:tcPr>
            <w:tcW w:w="986" w:type="dxa"/>
            <w:noWrap/>
            <w:vAlign w:val="center"/>
          </w:tcPr>
          <w:p w14:paraId="02C506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29.5</w:t>
            </w:r>
          </w:p>
        </w:tc>
        <w:tc>
          <w:tcPr>
            <w:tcW w:w="960" w:type="dxa"/>
            <w:noWrap/>
            <w:vAlign w:val="center"/>
          </w:tcPr>
          <w:p w14:paraId="38365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874" w:type="dxa"/>
            <w:noWrap/>
            <w:vAlign w:val="center"/>
          </w:tcPr>
          <w:p w14:paraId="75E131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131</w:t>
            </w:r>
          </w:p>
        </w:tc>
        <w:tc>
          <w:tcPr>
            <w:tcW w:w="877" w:type="dxa"/>
            <w:noWrap/>
            <w:vAlign w:val="center"/>
          </w:tcPr>
          <w:p w14:paraId="538819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3.08</w:t>
            </w:r>
          </w:p>
        </w:tc>
      </w:tr>
      <w:tr w14:paraId="0578D0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9" w:hRule="atLeast"/>
          <w:jc w:val="center"/>
        </w:trPr>
        <w:tc>
          <w:tcPr>
            <w:tcW w:w="1138" w:type="dxa"/>
            <w:noWrap/>
            <w:vAlign w:val="center"/>
          </w:tcPr>
          <w:p w14:paraId="65AE3E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石溪浩</w:t>
            </w:r>
          </w:p>
        </w:tc>
        <w:tc>
          <w:tcPr>
            <w:tcW w:w="1329" w:type="dxa"/>
            <w:noWrap/>
            <w:vAlign w:val="center"/>
          </w:tcPr>
          <w:p w14:paraId="407086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997" w:type="dxa"/>
            <w:noWrap/>
            <w:vAlign w:val="center"/>
          </w:tcPr>
          <w:p w14:paraId="72A6ED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w:t>
            </w:r>
          </w:p>
        </w:tc>
        <w:tc>
          <w:tcPr>
            <w:tcW w:w="937" w:type="dxa"/>
            <w:noWrap/>
            <w:vAlign w:val="center"/>
          </w:tcPr>
          <w:p w14:paraId="210AF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55.6</w:t>
            </w:r>
          </w:p>
        </w:tc>
        <w:tc>
          <w:tcPr>
            <w:tcW w:w="986" w:type="dxa"/>
            <w:noWrap/>
            <w:vAlign w:val="center"/>
          </w:tcPr>
          <w:p w14:paraId="46788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27.4</w:t>
            </w:r>
          </w:p>
        </w:tc>
        <w:tc>
          <w:tcPr>
            <w:tcW w:w="960" w:type="dxa"/>
            <w:noWrap/>
            <w:vAlign w:val="center"/>
          </w:tcPr>
          <w:p w14:paraId="5CA750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874" w:type="dxa"/>
            <w:noWrap/>
            <w:vAlign w:val="center"/>
          </w:tcPr>
          <w:p w14:paraId="490198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121</w:t>
            </w:r>
          </w:p>
        </w:tc>
        <w:tc>
          <w:tcPr>
            <w:tcW w:w="877" w:type="dxa"/>
            <w:noWrap/>
            <w:vAlign w:val="center"/>
          </w:tcPr>
          <w:p w14:paraId="189B3A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3.20</w:t>
            </w:r>
          </w:p>
        </w:tc>
      </w:tr>
      <w:tr w14:paraId="14AB3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9" w:hRule="atLeast"/>
          <w:jc w:val="center"/>
        </w:trPr>
        <w:tc>
          <w:tcPr>
            <w:tcW w:w="1138" w:type="dxa"/>
            <w:noWrap/>
            <w:vAlign w:val="center"/>
          </w:tcPr>
          <w:p w14:paraId="6E29A4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全市</w:t>
            </w:r>
            <w:r>
              <w:rPr>
                <w:rFonts w:hint="default" w:ascii="Times New Roman" w:hAnsi="Times New Roman" w:eastAsia="宋体" w:cs="Times New Roman"/>
                <w:color w:val="auto"/>
                <w:kern w:val="0"/>
                <w:sz w:val="21"/>
                <w:szCs w:val="21"/>
                <w:lang w:bidi="ar"/>
              </w:rPr>
              <w:t>年均值</w:t>
            </w:r>
          </w:p>
        </w:tc>
        <w:tc>
          <w:tcPr>
            <w:tcW w:w="1329" w:type="dxa"/>
            <w:noWrap/>
            <w:vAlign w:val="center"/>
          </w:tcPr>
          <w:p w14:paraId="1EE2F1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w:t>
            </w:r>
          </w:p>
        </w:tc>
        <w:tc>
          <w:tcPr>
            <w:tcW w:w="997" w:type="dxa"/>
            <w:noWrap/>
            <w:vAlign w:val="center"/>
          </w:tcPr>
          <w:p w14:paraId="62594E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20.3</w:t>
            </w:r>
          </w:p>
        </w:tc>
        <w:tc>
          <w:tcPr>
            <w:tcW w:w="937" w:type="dxa"/>
            <w:noWrap/>
            <w:vAlign w:val="center"/>
          </w:tcPr>
          <w:p w14:paraId="3FC2B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49.2</w:t>
            </w:r>
          </w:p>
        </w:tc>
        <w:tc>
          <w:tcPr>
            <w:tcW w:w="986" w:type="dxa"/>
            <w:noWrap/>
            <w:vAlign w:val="center"/>
          </w:tcPr>
          <w:p w14:paraId="5286FB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29.9</w:t>
            </w:r>
          </w:p>
        </w:tc>
        <w:tc>
          <w:tcPr>
            <w:tcW w:w="960" w:type="dxa"/>
            <w:noWrap/>
            <w:vAlign w:val="center"/>
          </w:tcPr>
          <w:p w14:paraId="429797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0.9</w:t>
            </w:r>
          </w:p>
        </w:tc>
        <w:tc>
          <w:tcPr>
            <w:tcW w:w="874" w:type="dxa"/>
            <w:noWrap/>
            <w:vAlign w:val="center"/>
          </w:tcPr>
          <w:p w14:paraId="110E31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125.6</w:t>
            </w:r>
          </w:p>
        </w:tc>
        <w:tc>
          <w:tcPr>
            <w:tcW w:w="877" w:type="dxa"/>
            <w:noWrap/>
            <w:vAlign w:val="center"/>
          </w:tcPr>
          <w:p w14:paraId="569AC1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3.21</w:t>
            </w:r>
          </w:p>
        </w:tc>
      </w:tr>
      <w:tr w14:paraId="7AEDDA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32" w:hRule="atLeast"/>
          <w:jc w:val="center"/>
        </w:trPr>
        <w:tc>
          <w:tcPr>
            <w:tcW w:w="1138" w:type="dxa"/>
            <w:noWrap/>
            <w:vAlign w:val="center"/>
          </w:tcPr>
          <w:p w14:paraId="1865D5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标准值</w:t>
            </w:r>
          </w:p>
        </w:tc>
        <w:tc>
          <w:tcPr>
            <w:tcW w:w="1329" w:type="dxa"/>
            <w:noWrap/>
            <w:vAlign w:val="center"/>
          </w:tcPr>
          <w:p w14:paraId="03E20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w:t>
            </w:r>
          </w:p>
        </w:tc>
        <w:tc>
          <w:tcPr>
            <w:tcW w:w="997" w:type="dxa"/>
            <w:noWrap/>
            <w:vAlign w:val="center"/>
          </w:tcPr>
          <w:p w14:paraId="309516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40</w:t>
            </w:r>
          </w:p>
        </w:tc>
        <w:tc>
          <w:tcPr>
            <w:tcW w:w="937" w:type="dxa"/>
            <w:noWrap/>
            <w:vAlign w:val="center"/>
          </w:tcPr>
          <w:p w14:paraId="794B86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70</w:t>
            </w:r>
          </w:p>
        </w:tc>
        <w:tc>
          <w:tcPr>
            <w:tcW w:w="986" w:type="dxa"/>
            <w:noWrap/>
            <w:vAlign w:val="center"/>
          </w:tcPr>
          <w:p w14:paraId="5ABC3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w:t>
            </w:r>
          </w:p>
        </w:tc>
        <w:tc>
          <w:tcPr>
            <w:tcW w:w="960" w:type="dxa"/>
            <w:noWrap/>
            <w:vAlign w:val="center"/>
          </w:tcPr>
          <w:p w14:paraId="46144D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p>
        </w:tc>
        <w:tc>
          <w:tcPr>
            <w:tcW w:w="874" w:type="dxa"/>
            <w:noWrap/>
            <w:vAlign w:val="center"/>
          </w:tcPr>
          <w:p w14:paraId="7B2310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160</w:t>
            </w:r>
          </w:p>
        </w:tc>
        <w:tc>
          <w:tcPr>
            <w:tcW w:w="877" w:type="dxa"/>
            <w:noWrap/>
            <w:vAlign w:val="center"/>
          </w:tcPr>
          <w:p w14:paraId="3B449F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14:paraId="700CB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00" w:hRule="atLeast"/>
          <w:jc w:val="center"/>
        </w:trPr>
        <w:tc>
          <w:tcPr>
            <w:tcW w:w="1138" w:type="dxa"/>
            <w:noWrap/>
            <w:vAlign w:val="center"/>
          </w:tcPr>
          <w:p w14:paraId="6A6737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占标率（%）</w:t>
            </w:r>
          </w:p>
        </w:tc>
        <w:tc>
          <w:tcPr>
            <w:tcW w:w="1329" w:type="dxa"/>
            <w:noWrap/>
            <w:vAlign w:val="center"/>
          </w:tcPr>
          <w:p w14:paraId="072B4D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Cs w:val="21"/>
                <w:lang w:val="en-US" w:eastAsia="zh-CN"/>
              </w:rPr>
              <w:t>13.5</w:t>
            </w:r>
          </w:p>
        </w:tc>
        <w:tc>
          <w:tcPr>
            <w:tcW w:w="997" w:type="dxa"/>
            <w:noWrap/>
            <w:vAlign w:val="center"/>
          </w:tcPr>
          <w:p w14:paraId="6ABE31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50.75</w:t>
            </w:r>
          </w:p>
        </w:tc>
        <w:tc>
          <w:tcPr>
            <w:tcW w:w="937" w:type="dxa"/>
            <w:noWrap/>
            <w:vAlign w:val="center"/>
          </w:tcPr>
          <w:p w14:paraId="7E2314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70.29</w:t>
            </w:r>
          </w:p>
        </w:tc>
        <w:tc>
          <w:tcPr>
            <w:tcW w:w="986" w:type="dxa"/>
            <w:noWrap/>
            <w:vAlign w:val="center"/>
          </w:tcPr>
          <w:p w14:paraId="36355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85.43</w:t>
            </w:r>
          </w:p>
        </w:tc>
        <w:tc>
          <w:tcPr>
            <w:tcW w:w="960" w:type="dxa"/>
            <w:noWrap/>
            <w:vAlign w:val="center"/>
          </w:tcPr>
          <w:p w14:paraId="50DBBF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22.5</w:t>
            </w:r>
          </w:p>
        </w:tc>
        <w:tc>
          <w:tcPr>
            <w:tcW w:w="874" w:type="dxa"/>
            <w:noWrap/>
            <w:vAlign w:val="center"/>
          </w:tcPr>
          <w:p w14:paraId="72D394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78.5</w:t>
            </w:r>
          </w:p>
        </w:tc>
        <w:tc>
          <w:tcPr>
            <w:tcW w:w="877" w:type="dxa"/>
            <w:noWrap/>
            <w:vAlign w:val="center"/>
          </w:tcPr>
          <w:p w14:paraId="392EE9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14:paraId="7FBC9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9" w:hRule="atLeast"/>
          <w:jc w:val="center"/>
        </w:trPr>
        <w:tc>
          <w:tcPr>
            <w:tcW w:w="1138" w:type="dxa"/>
            <w:noWrap/>
            <w:vAlign w:val="center"/>
          </w:tcPr>
          <w:p w14:paraId="577584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达标情况</w:t>
            </w:r>
          </w:p>
        </w:tc>
        <w:tc>
          <w:tcPr>
            <w:tcW w:w="1329" w:type="dxa"/>
            <w:noWrap/>
            <w:vAlign w:val="center"/>
          </w:tcPr>
          <w:p w14:paraId="543214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997" w:type="dxa"/>
            <w:noWrap/>
            <w:vAlign w:val="center"/>
          </w:tcPr>
          <w:p w14:paraId="2B8485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937" w:type="dxa"/>
            <w:noWrap/>
            <w:vAlign w:val="center"/>
          </w:tcPr>
          <w:p w14:paraId="72485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986" w:type="dxa"/>
            <w:noWrap/>
            <w:vAlign w:val="center"/>
          </w:tcPr>
          <w:p w14:paraId="4BD168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960" w:type="dxa"/>
            <w:noWrap/>
            <w:vAlign w:val="center"/>
          </w:tcPr>
          <w:p w14:paraId="561798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874" w:type="dxa"/>
            <w:noWrap/>
            <w:vAlign w:val="center"/>
          </w:tcPr>
          <w:p w14:paraId="36DCD8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达标</w:t>
            </w:r>
          </w:p>
        </w:tc>
        <w:tc>
          <w:tcPr>
            <w:tcW w:w="877" w:type="dxa"/>
            <w:noWrap/>
            <w:vAlign w:val="center"/>
          </w:tcPr>
          <w:p w14:paraId="4E47AD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bl>
    <w:p w14:paraId="7D0B005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color w:val="auto"/>
          <w:sz w:val="24"/>
          <w:szCs w:val="24"/>
        </w:rPr>
      </w:pPr>
      <w:bookmarkStart w:id="1610" w:name="_Toc6028"/>
      <w:bookmarkStart w:id="1611" w:name="_Toc6601"/>
      <w:bookmarkStart w:id="1612" w:name="_Toc22101"/>
      <w:bookmarkStart w:id="1613" w:name="_Toc6709"/>
      <w:bookmarkStart w:id="1614" w:name="_Toc32612"/>
      <w:r>
        <w:rPr>
          <w:rFonts w:hint="default" w:ascii="Times New Roman" w:hAnsi="Times New Roman" w:eastAsia="宋体" w:cs="Times New Roman"/>
          <w:i w:val="0"/>
          <w:iCs w:val="0"/>
          <w:caps w:val="0"/>
          <w:color w:val="auto"/>
          <w:spacing w:val="0"/>
          <w:sz w:val="24"/>
          <w:szCs w:val="24"/>
          <w:shd w:val="clear" w:fill="FFFFFF"/>
        </w:rPr>
        <w:t>2、基本污染物环境质量现状评价</w:t>
      </w:r>
      <w:bookmarkEnd w:id="1610"/>
      <w:bookmarkEnd w:id="1611"/>
      <w:bookmarkEnd w:id="1612"/>
      <w:bookmarkEnd w:id="1613"/>
      <w:bookmarkEnd w:id="1614"/>
    </w:p>
    <w:p w14:paraId="5A0075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由上表可知，2021年遂宁市区域环境空气质量符合《环境空气质量标准》（GB 3095-2012）及其修改清单二类标准，项目区域环境空气质量属于达标区域。</w:t>
      </w:r>
    </w:p>
    <w:p w14:paraId="7E77A4E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color w:val="auto"/>
          <w:sz w:val="24"/>
          <w:szCs w:val="24"/>
        </w:rPr>
      </w:pPr>
      <w:bookmarkStart w:id="1615" w:name="_Toc18471"/>
      <w:bookmarkStart w:id="1616" w:name="_Toc26407"/>
      <w:bookmarkStart w:id="1617" w:name="_Toc32181"/>
      <w:bookmarkStart w:id="1618" w:name="_Toc14963"/>
      <w:bookmarkStart w:id="1619" w:name="_Toc27091"/>
      <w:r>
        <w:rPr>
          <w:rFonts w:hint="default" w:ascii="Times New Roman" w:hAnsi="Times New Roman" w:eastAsia="宋体" w:cs="Times New Roman"/>
          <w:i w:val="0"/>
          <w:iCs w:val="0"/>
          <w:caps w:val="0"/>
          <w:color w:val="auto"/>
          <w:spacing w:val="0"/>
          <w:sz w:val="24"/>
          <w:szCs w:val="24"/>
          <w:shd w:val="clear" w:fill="FFFFFF"/>
        </w:rPr>
        <w:t>3、其他污染物环境质量现状评价</w:t>
      </w:r>
      <w:bookmarkEnd w:id="1615"/>
      <w:bookmarkEnd w:id="1616"/>
      <w:bookmarkEnd w:id="1617"/>
      <w:bookmarkEnd w:id="1618"/>
      <w:bookmarkEnd w:id="1619"/>
    </w:p>
    <w:p w14:paraId="077D57D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default" w:ascii="Times New Roman" w:hAnsi="Times New Roman" w:eastAsia="宋体" w:cs="Times New Roman"/>
          <w:i w:val="0"/>
          <w:iCs w:val="0"/>
          <w:caps w:val="0"/>
          <w:color w:val="auto"/>
          <w:spacing w:val="0"/>
          <w:sz w:val="24"/>
          <w:szCs w:val="24"/>
          <w:shd w:val="clear" w:fill="FFFFFF"/>
          <w:lang w:val="en-US" w:eastAsia="zh-CN"/>
        </w:rPr>
        <w:t>为进一步了解本项目所在区域大气环境质量现状，本次环评对项目所在区域大气环境质量现状进行了补充监测。监测内容如下：</w:t>
      </w:r>
    </w:p>
    <w:p w14:paraId="3729041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rPr>
      </w:pPr>
      <w:bookmarkStart w:id="1620" w:name="_Toc27465"/>
      <w:bookmarkStart w:id="1621" w:name="_Toc9308"/>
      <w:bookmarkStart w:id="1622" w:name="_Toc3100"/>
      <w:bookmarkStart w:id="1623" w:name="_Toc26501"/>
      <w:bookmarkStart w:id="1624" w:name="_Toc20644"/>
      <w:r>
        <w:rPr>
          <w:rFonts w:hint="default" w:ascii="Times New Roman" w:hAnsi="Times New Roman" w:eastAsia="宋体" w:cs="Times New Roman"/>
          <w:i w:val="0"/>
          <w:iCs w:val="0"/>
          <w:caps w:val="0"/>
          <w:color w:val="auto"/>
          <w:spacing w:val="0"/>
          <w:sz w:val="24"/>
          <w:szCs w:val="24"/>
          <w:shd w:val="clear" w:fill="FFFFFF"/>
        </w:rPr>
        <w:t>①监测因子</w:t>
      </w:r>
      <w:bookmarkEnd w:id="1620"/>
      <w:bookmarkEnd w:id="1621"/>
      <w:bookmarkEnd w:id="1622"/>
      <w:bookmarkEnd w:id="1623"/>
      <w:bookmarkEnd w:id="1624"/>
    </w:p>
    <w:p w14:paraId="63F5E46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其他污染物：H</w:t>
      </w:r>
      <w:r>
        <w:rPr>
          <w:rFonts w:hint="default" w:ascii="Times New Roman" w:hAnsi="Times New Roman" w:eastAsia="宋体" w:cs="Times New Roman"/>
          <w:i w:val="0"/>
          <w:iCs w:val="0"/>
          <w:caps w:val="0"/>
          <w:color w:val="auto"/>
          <w:spacing w:val="0"/>
          <w:sz w:val="24"/>
          <w:szCs w:val="24"/>
          <w:shd w:val="clear" w:fill="FFFFFF"/>
          <w:vertAlign w:val="subscript"/>
        </w:rPr>
        <w:t>2</w:t>
      </w:r>
      <w:r>
        <w:rPr>
          <w:rFonts w:hint="default" w:ascii="Times New Roman" w:hAnsi="Times New Roman" w:eastAsia="宋体" w:cs="Times New Roman"/>
          <w:i w:val="0"/>
          <w:iCs w:val="0"/>
          <w:caps w:val="0"/>
          <w:color w:val="auto"/>
          <w:spacing w:val="0"/>
          <w:sz w:val="24"/>
          <w:szCs w:val="24"/>
          <w:shd w:val="clear" w:fill="FFFFFF"/>
        </w:rPr>
        <w:t>S、NH</w:t>
      </w:r>
      <w:r>
        <w:rPr>
          <w:rFonts w:hint="default" w:ascii="Times New Roman" w:hAnsi="Times New Roman" w:eastAsia="宋体" w:cs="Times New Roman"/>
          <w:i w:val="0"/>
          <w:iCs w:val="0"/>
          <w:caps w:val="0"/>
          <w:color w:val="auto"/>
          <w:spacing w:val="0"/>
          <w:sz w:val="24"/>
          <w:szCs w:val="24"/>
          <w:shd w:val="clear" w:fill="FFFFFF"/>
          <w:vertAlign w:val="subscript"/>
        </w:rPr>
        <w:t>3</w:t>
      </w:r>
    </w:p>
    <w:p w14:paraId="3AEB636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rPr>
      </w:pPr>
      <w:bookmarkStart w:id="1625" w:name="_Toc32531"/>
      <w:bookmarkStart w:id="1626" w:name="_Toc12957"/>
      <w:bookmarkStart w:id="1627" w:name="_Toc31443"/>
      <w:bookmarkStart w:id="1628" w:name="_Toc12872"/>
      <w:bookmarkStart w:id="1629" w:name="_Toc17185"/>
      <w:r>
        <w:rPr>
          <w:rFonts w:hint="default" w:ascii="Times New Roman" w:hAnsi="Times New Roman" w:eastAsia="宋体" w:cs="Times New Roman"/>
          <w:i w:val="0"/>
          <w:iCs w:val="0"/>
          <w:caps w:val="0"/>
          <w:color w:val="auto"/>
          <w:spacing w:val="0"/>
          <w:sz w:val="24"/>
          <w:szCs w:val="24"/>
          <w:shd w:val="clear" w:fill="FFFFFF"/>
        </w:rPr>
        <w:t>②监测点位</w:t>
      </w:r>
      <w:bookmarkEnd w:id="1625"/>
      <w:bookmarkEnd w:id="1626"/>
      <w:bookmarkEnd w:id="1627"/>
      <w:bookmarkEnd w:id="1628"/>
      <w:bookmarkEnd w:id="1629"/>
    </w:p>
    <w:p w14:paraId="15C681B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项目大气环境质量现状监测布设1个监测点，见表</w:t>
      </w:r>
      <w:r>
        <w:rPr>
          <w:rFonts w:hint="default" w:ascii="Times New Roman" w:hAnsi="Times New Roman" w:eastAsia="宋体" w:cs="Times New Roman"/>
          <w:i w:val="0"/>
          <w:iCs w:val="0"/>
          <w:caps w:val="0"/>
          <w:color w:val="auto"/>
          <w:spacing w:val="0"/>
          <w:sz w:val="24"/>
          <w:szCs w:val="24"/>
          <w:shd w:val="clear" w:fill="FFFFFF"/>
          <w:lang w:val="en-US" w:eastAsia="zh-CN"/>
        </w:rPr>
        <w:t>5.1</w:t>
      </w:r>
      <w:r>
        <w:rPr>
          <w:rFonts w:hint="default" w:ascii="Times New Roman" w:hAnsi="Times New Roman" w:eastAsia="宋体" w:cs="Times New Roman"/>
          <w:i w:val="0"/>
          <w:iCs w:val="0"/>
          <w:caps w:val="0"/>
          <w:color w:val="auto"/>
          <w:spacing w:val="0"/>
          <w:sz w:val="24"/>
          <w:szCs w:val="24"/>
          <w:shd w:val="clear" w:fill="FFFFFF"/>
        </w:rPr>
        <w:t>-2。</w:t>
      </w:r>
    </w:p>
    <w:p w14:paraId="60B6963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i w:val="0"/>
          <w:iCs w:val="0"/>
          <w:caps w:val="0"/>
          <w:color w:val="auto"/>
          <w:spacing w:val="0"/>
          <w:sz w:val="21"/>
          <w:szCs w:val="21"/>
          <w:shd w:val="clear" w:fill="FFFFFF"/>
          <w:lang w:val="en-US" w:eastAsia="zh-CN"/>
        </w:rPr>
        <w:t>表5</w:t>
      </w:r>
      <w:r>
        <w:rPr>
          <w:rFonts w:hint="default" w:ascii="Times New Roman" w:hAnsi="Times New Roman" w:eastAsia="宋体" w:cs="Times New Roman"/>
          <w:b/>
          <w:bCs/>
          <w:i w:val="0"/>
          <w:iCs w:val="0"/>
          <w:caps w:val="0"/>
          <w:color w:val="auto"/>
          <w:spacing w:val="0"/>
          <w:sz w:val="21"/>
          <w:szCs w:val="21"/>
          <w:shd w:val="clear" w:fill="FFFFFF"/>
        </w:rPr>
        <w:t>.1-2环境空气质量现状监测点位</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259"/>
        <w:gridCol w:w="6389"/>
      </w:tblGrid>
      <w:tr w14:paraId="1211D0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500" w:type="dxa"/>
            <w:gridSpan w:val="3"/>
            <w:shd w:val="clear" w:color="auto" w:fill="D7D7D7" w:themeFill="background1" w:themeFillShade="D8"/>
            <w:noWrap w:val="0"/>
            <w:vAlign w:val="center"/>
          </w:tcPr>
          <w:p w14:paraId="571D78C6">
            <w:pPr>
              <w:jc w:val="center"/>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检测内容</w:t>
            </w:r>
          </w:p>
        </w:tc>
      </w:tr>
      <w:tr w14:paraId="6E6FF4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52" w:type="dxa"/>
            <w:vMerge w:val="restart"/>
            <w:noWrap w:val="0"/>
            <w:vAlign w:val="center"/>
          </w:tcPr>
          <w:p w14:paraId="6E2C002C">
            <w:pPr>
              <w:jc w:val="center"/>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环境空气</w:t>
            </w:r>
          </w:p>
        </w:tc>
        <w:tc>
          <w:tcPr>
            <w:tcW w:w="1259" w:type="dxa"/>
            <w:noWrap w:val="0"/>
            <w:vAlign w:val="center"/>
          </w:tcPr>
          <w:p w14:paraId="18D392F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监控点</w:t>
            </w:r>
          </w:p>
        </w:tc>
        <w:tc>
          <w:tcPr>
            <w:tcW w:w="6389" w:type="dxa"/>
            <w:noWrap w:val="0"/>
            <w:vAlign w:val="center"/>
          </w:tcPr>
          <w:p w14:paraId="1C77EC0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A1项目所在地厂界下风向</w:t>
            </w:r>
          </w:p>
        </w:tc>
      </w:tr>
      <w:tr w14:paraId="00FB6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2" w:type="dxa"/>
            <w:vMerge w:val="continue"/>
            <w:noWrap w:val="0"/>
            <w:vAlign w:val="center"/>
          </w:tcPr>
          <w:p w14:paraId="6F1C8C89">
            <w:pPr>
              <w:jc w:val="center"/>
              <w:rPr>
                <w:rFonts w:hint="default" w:ascii="Times New Roman" w:hAnsi="Times New Roman" w:eastAsia="宋体" w:cs="Times New Roman"/>
                <w:b w:val="0"/>
                <w:bCs w:val="0"/>
                <w:color w:val="auto"/>
                <w:kern w:val="0"/>
                <w:sz w:val="21"/>
                <w:szCs w:val="21"/>
                <w:vertAlign w:val="baseline"/>
              </w:rPr>
            </w:pPr>
          </w:p>
        </w:tc>
        <w:tc>
          <w:tcPr>
            <w:tcW w:w="1259" w:type="dxa"/>
            <w:noWrap w:val="0"/>
            <w:vAlign w:val="center"/>
          </w:tcPr>
          <w:p w14:paraId="758A6A85">
            <w:pPr>
              <w:jc w:val="center"/>
              <w:rPr>
                <w:rFonts w:hint="default" w:ascii="Times New Roman" w:hAnsi="Times New Roman" w:eastAsia="宋体" w:cs="Times New Roman"/>
                <w:b w:val="0"/>
                <w:bCs w:val="0"/>
                <w:color w:val="auto"/>
                <w:kern w:val="0"/>
                <w:sz w:val="21"/>
                <w:szCs w:val="21"/>
                <w:vertAlign w:val="baseline"/>
              </w:rPr>
            </w:pPr>
            <w:r>
              <w:rPr>
                <w:rFonts w:hint="default" w:ascii="Times New Roman" w:hAnsi="Times New Roman" w:eastAsia="宋体" w:cs="Times New Roman"/>
                <w:b w:val="0"/>
                <w:bCs w:val="0"/>
                <w:color w:val="auto"/>
                <w:kern w:val="0"/>
                <w:sz w:val="21"/>
                <w:szCs w:val="21"/>
                <w:vertAlign w:val="baseline"/>
                <w:lang w:val="en-US" w:eastAsia="zh-CN"/>
              </w:rPr>
              <w:t>检测</w:t>
            </w:r>
            <w:r>
              <w:rPr>
                <w:rFonts w:hint="default" w:ascii="Times New Roman" w:hAnsi="Times New Roman" w:eastAsia="宋体" w:cs="Times New Roman"/>
                <w:color w:val="auto"/>
                <w:sz w:val="21"/>
                <w:szCs w:val="21"/>
              </w:rPr>
              <w:t>因子</w:t>
            </w:r>
          </w:p>
        </w:tc>
        <w:tc>
          <w:tcPr>
            <w:tcW w:w="6389" w:type="dxa"/>
            <w:noWrap w:val="0"/>
            <w:vAlign w:val="center"/>
          </w:tcPr>
          <w:p w14:paraId="60FE0B95">
            <w:pPr>
              <w:jc w:val="center"/>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color w:val="auto"/>
                <w:sz w:val="21"/>
                <w:szCs w:val="21"/>
                <w:lang w:val="en-US" w:eastAsia="zh-CN"/>
              </w:rPr>
              <w:t>氨、硫化氢</w:t>
            </w:r>
          </w:p>
        </w:tc>
      </w:tr>
      <w:tr w14:paraId="77A0D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52" w:type="dxa"/>
            <w:vMerge w:val="continue"/>
            <w:noWrap w:val="0"/>
            <w:vAlign w:val="center"/>
          </w:tcPr>
          <w:p w14:paraId="5FB82B39">
            <w:pPr>
              <w:jc w:val="center"/>
              <w:rPr>
                <w:rFonts w:hint="default" w:ascii="Times New Roman" w:hAnsi="Times New Roman" w:eastAsia="宋体" w:cs="Times New Roman"/>
                <w:b w:val="0"/>
                <w:bCs w:val="0"/>
                <w:color w:val="auto"/>
                <w:kern w:val="0"/>
                <w:sz w:val="21"/>
                <w:szCs w:val="21"/>
                <w:vertAlign w:val="baseline"/>
              </w:rPr>
            </w:pPr>
          </w:p>
        </w:tc>
        <w:tc>
          <w:tcPr>
            <w:tcW w:w="1259" w:type="dxa"/>
            <w:noWrap w:val="0"/>
            <w:vAlign w:val="center"/>
          </w:tcPr>
          <w:p w14:paraId="4ED55C04">
            <w:pPr>
              <w:jc w:val="center"/>
              <w:rPr>
                <w:rFonts w:hint="default" w:ascii="Times New Roman" w:hAnsi="Times New Roman" w:eastAsia="宋体" w:cs="Times New Roman"/>
                <w:b w:val="0"/>
                <w:bCs w:val="0"/>
                <w:color w:val="auto"/>
                <w:kern w:val="0"/>
                <w:sz w:val="21"/>
                <w:szCs w:val="21"/>
                <w:vertAlign w:val="baseline"/>
              </w:rPr>
            </w:pPr>
            <w:r>
              <w:rPr>
                <w:rFonts w:hint="default" w:ascii="Times New Roman" w:hAnsi="Times New Roman" w:eastAsia="宋体" w:cs="Times New Roman"/>
                <w:b w:val="0"/>
                <w:bCs w:val="0"/>
                <w:color w:val="auto"/>
                <w:kern w:val="0"/>
                <w:sz w:val="21"/>
                <w:szCs w:val="21"/>
                <w:vertAlign w:val="baseline"/>
                <w:lang w:val="en-US" w:eastAsia="zh-CN"/>
              </w:rPr>
              <w:t>检测</w:t>
            </w:r>
            <w:r>
              <w:rPr>
                <w:rFonts w:hint="default" w:ascii="Times New Roman" w:hAnsi="Times New Roman" w:eastAsia="宋体" w:cs="Times New Roman"/>
                <w:color w:val="auto"/>
                <w:sz w:val="21"/>
                <w:szCs w:val="21"/>
              </w:rPr>
              <w:t>频次</w:t>
            </w:r>
          </w:p>
        </w:tc>
        <w:tc>
          <w:tcPr>
            <w:tcW w:w="6389" w:type="dxa"/>
            <w:noWrap w:val="0"/>
            <w:vAlign w:val="center"/>
          </w:tcPr>
          <w:p w14:paraId="2FA5B04C">
            <w:pPr>
              <w:jc w:val="center"/>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color w:val="auto"/>
                <w:sz w:val="21"/>
                <w:szCs w:val="21"/>
              </w:rPr>
              <w:t>连续</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天，</w:t>
            </w:r>
            <w:r>
              <w:rPr>
                <w:rFonts w:hint="default" w:ascii="Times New Roman" w:hAnsi="Times New Roman" w:eastAsia="宋体" w:cs="Times New Roman"/>
                <w:color w:val="auto"/>
                <w:sz w:val="21"/>
                <w:szCs w:val="21"/>
                <w:lang w:val="en-US" w:eastAsia="zh-CN"/>
              </w:rPr>
              <w:t>小时均值</w:t>
            </w:r>
          </w:p>
        </w:tc>
      </w:tr>
      <w:tr w14:paraId="110085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2" w:type="dxa"/>
            <w:vMerge w:val="continue"/>
            <w:noWrap w:val="0"/>
            <w:vAlign w:val="center"/>
          </w:tcPr>
          <w:p w14:paraId="3A475EF6">
            <w:pPr>
              <w:jc w:val="center"/>
              <w:rPr>
                <w:rFonts w:hint="default" w:ascii="Times New Roman" w:hAnsi="Times New Roman" w:eastAsia="宋体" w:cs="Times New Roman"/>
                <w:b w:val="0"/>
                <w:bCs w:val="0"/>
                <w:color w:val="auto"/>
                <w:kern w:val="0"/>
                <w:sz w:val="21"/>
                <w:szCs w:val="21"/>
                <w:vertAlign w:val="baseline"/>
              </w:rPr>
            </w:pPr>
          </w:p>
        </w:tc>
        <w:tc>
          <w:tcPr>
            <w:tcW w:w="1259" w:type="dxa"/>
            <w:noWrap w:val="0"/>
            <w:vAlign w:val="center"/>
          </w:tcPr>
          <w:p w14:paraId="37A17EF7">
            <w:pPr>
              <w:jc w:val="center"/>
              <w:rPr>
                <w:rFonts w:hint="default" w:ascii="Times New Roman" w:hAnsi="Times New Roman" w:eastAsia="宋体" w:cs="Times New Roman"/>
                <w:b w:val="0"/>
                <w:bCs w:val="0"/>
                <w:color w:val="auto"/>
                <w:kern w:val="0"/>
                <w:sz w:val="21"/>
                <w:szCs w:val="21"/>
                <w:vertAlign w:val="baseline"/>
              </w:rPr>
            </w:pPr>
            <w:r>
              <w:rPr>
                <w:rFonts w:hint="default" w:ascii="Times New Roman" w:hAnsi="Times New Roman" w:eastAsia="宋体" w:cs="Times New Roman"/>
                <w:color w:val="auto"/>
                <w:sz w:val="21"/>
                <w:szCs w:val="21"/>
              </w:rPr>
              <w:t>执行标准</w:t>
            </w:r>
          </w:p>
        </w:tc>
        <w:tc>
          <w:tcPr>
            <w:tcW w:w="6389" w:type="dxa"/>
            <w:noWrap w:val="0"/>
            <w:vAlign w:val="center"/>
          </w:tcPr>
          <w:p w14:paraId="0FD9EE85">
            <w:pPr>
              <w:numPr>
                <w:ilvl w:val="0"/>
                <w:numId w:val="0"/>
              </w:numPr>
              <w:ind w:left="0" w:leftChars="0" w:firstLine="0" w:firstLineChars="0"/>
              <w:jc w:val="center"/>
              <w:rPr>
                <w:rFonts w:hint="default" w:ascii="Times New Roman" w:hAnsi="Times New Roman" w:eastAsia="宋体" w:cs="Times New Roman"/>
                <w:b w:val="0"/>
                <w:bCs w:val="0"/>
                <w:color w:val="auto"/>
                <w:kern w:val="0"/>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《环境影响评价技术导则 大气环境》（HJ2.2-2018）附录D</w:t>
            </w:r>
          </w:p>
        </w:tc>
      </w:tr>
    </w:tbl>
    <w:p w14:paraId="739B65E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rPr>
      </w:pPr>
      <w:bookmarkStart w:id="1630" w:name="_Toc23042"/>
      <w:bookmarkStart w:id="1631" w:name="_Toc4786"/>
      <w:bookmarkStart w:id="1632" w:name="_Toc25309"/>
      <w:bookmarkStart w:id="1633" w:name="_Toc26118"/>
      <w:bookmarkStart w:id="1634" w:name="_Toc11452"/>
      <w:r>
        <w:rPr>
          <w:rFonts w:hint="default" w:ascii="Times New Roman" w:hAnsi="Times New Roman" w:eastAsia="宋体" w:cs="Times New Roman"/>
          <w:i w:val="0"/>
          <w:iCs w:val="0"/>
          <w:caps w:val="0"/>
          <w:color w:val="auto"/>
          <w:spacing w:val="0"/>
          <w:sz w:val="24"/>
          <w:szCs w:val="24"/>
          <w:shd w:val="clear" w:fill="FFFFFF"/>
          <w:lang w:val="en-US" w:eastAsia="zh-CN"/>
        </w:rPr>
        <w:t>③</w:t>
      </w:r>
      <w:r>
        <w:rPr>
          <w:rFonts w:hint="default" w:ascii="Times New Roman" w:hAnsi="Times New Roman" w:eastAsia="宋体" w:cs="Times New Roman"/>
          <w:i w:val="0"/>
          <w:iCs w:val="0"/>
          <w:caps w:val="0"/>
          <w:color w:val="auto"/>
          <w:spacing w:val="0"/>
          <w:sz w:val="24"/>
          <w:szCs w:val="24"/>
          <w:shd w:val="clear" w:fill="FFFFFF"/>
        </w:rPr>
        <w:t>评价标准</w:t>
      </w:r>
      <w:bookmarkEnd w:id="1630"/>
      <w:bookmarkEnd w:id="1631"/>
      <w:bookmarkEnd w:id="1632"/>
      <w:bookmarkEnd w:id="1633"/>
      <w:bookmarkEnd w:id="1634"/>
    </w:p>
    <w:p w14:paraId="6E6EFEF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i w:val="0"/>
          <w:iCs w:val="0"/>
          <w:caps w:val="0"/>
          <w:color w:val="auto"/>
          <w:spacing w:val="0"/>
          <w:sz w:val="24"/>
          <w:szCs w:val="24"/>
          <w:shd w:val="clear" w:fill="FFFFFF"/>
          <w:lang w:val="en-US"/>
        </w:rPr>
      </w:pPr>
      <w:r>
        <w:rPr>
          <w:rFonts w:hint="default" w:ascii="Times New Roman" w:hAnsi="Times New Roman" w:eastAsia="宋体" w:cs="Times New Roman"/>
          <w:i w:val="0"/>
          <w:iCs w:val="0"/>
          <w:caps w:val="0"/>
          <w:color w:val="auto"/>
          <w:spacing w:val="0"/>
          <w:sz w:val="24"/>
          <w:szCs w:val="24"/>
          <w:shd w:val="clear" w:fill="FFFFFF"/>
        </w:rPr>
        <w:t>大气环境质量采用</w:t>
      </w:r>
      <w:r>
        <w:rPr>
          <w:rFonts w:hint="default" w:ascii="Times New Roman" w:hAnsi="Times New Roman" w:eastAsia="宋体" w:cs="Times New Roman"/>
          <w:i w:val="0"/>
          <w:iCs w:val="0"/>
          <w:caps w:val="0"/>
          <w:color w:val="auto"/>
          <w:spacing w:val="0"/>
          <w:sz w:val="24"/>
          <w:szCs w:val="24"/>
          <w:shd w:val="clear" w:fill="FFFFFF"/>
          <w:lang w:val="en-US" w:eastAsia="zh-CN"/>
        </w:rPr>
        <w:t>《环境影响评价技术导则 大气环境》（HJ2.2-2018）附录D的标准限值。</w:t>
      </w:r>
    </w:p>
    <w:p w14:paraId="0023A4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rPr>
      </w:pPr>
      <w:bookmarkStart w:id="1635" w:name="_Toc30531"/>
      <w:bookmarkStart w:id="1636" w:name="_Toc18758"/>
      <w:bookmarkStart w:id="1637" w:name="_Toc15843"/>
      <w:bookmarkStart w:id="1638" w:name="_Toc31881"/>
      <w:bookmarkStart w:id="1639" w:name="_Toc12854"/>
      <w:r>
        <w:rPr>
          <w:rFonts w:hint="default" w:ascii="Times New Roman" w:hAnsi="Times New Roman" w:eastAsia="宋体" w:cs="Times New Roman"/>
          <w:i w:val="0"/>
          <w:iCs w:val="0"/>
          <w:caps w:val="0"/>
          <w:color w:val="auto"/>
          <w:spacing w:val="0"/>
          <w:sz w:val="24"/>
          <w:szCs w:val="24"/>
          <w:shd w:val="clear" w:fill="FFFFFF"/>
          <w:lang w:val="en-US" w:eastAsia="zh-CN"/>
        </w:rPr>
        <w:t>④</w:t>
      </w:r>
      <w:r>
        <w:rPr>
          <w:rFonts w:hint="default" w:ascii="Times New Roman" w:hAnsi="Times New Roman" w:eastAsia="宋体" w:cs="Times New Roman"/>
          <w:i w:val="0"/>
          <w:iCs w:val="0"/>
          <w:caps w:val="0"/>
          <w:color w:val="auto"/>
          <w:spacing w:val="0"/>
          <w:sz w:val="24"/>
          <w:szCs w:val="24"/>
          <w:shd w:val="clear" w:fill="FFFFFF"/>
        </w:rPr>
        <w:t>评价方法</w:t>
      </w:r>
      <w:bookmarkEnd w:id="1635"/>
      <w:bookmarkEnd w:id="1636"/>
      <w:bookmarkEnd w:id="1637"/>
      <w:bookmarkEnd w:id="1638"/>
      <w:bookmarkEnd w:id="1639"/>
    </w:p>
    <w:p w14:paraId="539489F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采用单因子指数法进行评价，其表达式为：</w:t>
      </w:r>
    </w:p>
    <w:p w14:paraId="17003E4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933450" cy="447675"/>
            <wp:effectExtent l="0" t="0" r="0" b="9525"/>
            <wp:docPr id="5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pic:cNvPicPr>
                      <a:picLocks noChangeAspect="1"/>
                    </pic:cNvPicPr>
                  </pic:nvPicPr>
                  <pic:blipFill>
                    <a:blip r:embed="rId25"/>
                    <a:stretch>
                      <a:fillRect/>
                    </a:stretch>
                  </pic:blipFill>
                  <pic:spPr>
                    <a:xfrm>
                      <a:off x="0" y="0"/>
                      <a:ext cx="933450" cy="447675"/>
                    </a:xfrm>
                    <a:prstGeom prst="rect">
                      <a:avLst/>
                    </a:prstGeom>
                    <a:noFill/>
                    <a:ln>
                      <a:noFill/>
                    </a:ln>
                  </pic:spPr>
                </pic:pic>
              </a:graphicData>
            </a:graphic>
          </wp:inline>
        </w:drawing>
      </w:r>
    </w:p>
    <w:p w14:paraId="2A7BF46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式中：——i类污染物单因子指数，当P</w:t>
      </w:r>
      <w:r>
        <w:rPr>
          <w:rFonts w:hint="default" w:ascii="Times New Roman" w:hAnsi="Times New Roman" w:eastAsia="宋体" w:cs="Times New Roman"/>
          <w:i w:val="0"/>
          <w:iCs w:val="0"/>
          <w:caps w:val="0"/>
          <w:color w:val="auto"/>
          <w:spacing w:val="0"/>
          <w:sz w:val="24"/>
          <w:szCs w:val="24"/>
          <w:shd w:val="clear" w:fill="FFFFFF"/>
          <w:vertAlign w:val="subscript"/>
        </w:rPr>
        <w:t>i</w:t>
      </w:r>
      <w:r>
        <w:rPr>
          <w:rFonts w:hint="default" w:ascii="Times New Roman" w:hAnsi="Times New Roman" w:eastAsia="宋体" w:cs="Times New Roman"/>
          <w:i w:val="0"/>
          <w:iCs w:val="0"/>
          <w:caps w:val="0"/>
          <w:color w:val="auto"/>
          <w:spacing w:val="0"/>
          <w:sz w:val="24"/>
          <w:szCs w:val="24"/>
          <w:shd w:val="clear" w:fill="FFFFFF"/>
        </w:rPr>
        <w:t>&gt;1时即表示该污染物超标；</w:t>
      </w:r>
    </w:p>
    <w:p w14:paraId="7CD1F22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drawing>
          <wp:inline distT="0" distB="0" distL="114300" distR="114300">
            <wp:extent cx="304800" cy="30480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auto"/>
          <w:spacing w:val="0"/>
          <w:sz w:val="24"/>
          <w:szCs w:val="24"/>
          <w:shd w:val="clear" w:fill="FFFFFF"/>
        </w:rPr>
        <w:t>——i类污染物实测浓度，mg/m</w:t>
      </w:r>
      <w:r>
        <w:rPr>
          <w:rFonts w:hint="default" w:ascii="Times New Roman" w:hAnsi="Times New Roman" w:eastAsia="宋体" w:cs="Times New Roman"/>
          <w:i w:val="0"/>
          <w:iCs w:val="0"/>
          <w:caps w:val="0"/>
          <w:color w:val="auto"/>
          <w:spacing w:val="0"/>
          <w:sz w:val="24"/>
          <w:szCs w:val="24"/>
          <w:shd w:val="clear" w:fill="FFFFFF"/>
          <w:vertAlign w:val="superscript"/>
        </w:rPr>
        <w:t>3</w:t>
      </w:r>
      <w:r>
        <w:rPr>
          <w:rFonts w:hint="default" w:ascii="Times New Roman" w:hAnsi="Times New Roman" w:eastAsia="宋体" w:cs="Times New Roman"/>
          <w:i w:val="0"/>
          <w:iCs w:val="0"/>
          <w:caps w:val="0"/>
          <w:color w:val="auto"/>
          <w:spacing w:val="0"/>
          <w:sz w:val="24"/>
          <w:szCs w:val="24"/>
          <w:shd w:val="clear" w:fill="FFFFFF"/>
        </w:rPr>
        <w:t>；</w:t>
      </w:r>
    </w:p>
    <w:p w14:paraId="5C4691E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drawing>
          <wp:inline distT="0" distB="0" distL="114300" distR="114300">
            <wp:extent cx="304800" cy="30480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auto"/>
          <w:spacing w:val="0"/>
          <w:sz w:val="24"/>
          <w:szCs w:val="24"/>
          <w:shd w:val="clear" w:fill="FFFFFF"/>
        </w:rPr>
        <w:t>——i类污染物的评价标准值，mg/m</w:t>
      </w:r>
      <w:r>
        <w:rPr>
          <w:rFonts w:hint="default" w:ascii="Times New Roman" w:hAnsi="Times New Roman" w:eastAsia="宋体" w:cs="Times New Roman"/>
          <w:i w:val="0"/>
          <w:iCs w:val="0"/>
          <w:caps w:val="0"/>
          <w:color w:val="auto"/>
          <w:spacing w:val="0"/>
          <w:sz w:val="24"/>
          <w:szCs w:val="24"/>
          <w:shd w:val="clear" w:fill="FFFFFF"/>
          <w:vertAlign w:val="superscript"/>
        </w:rPr>
        <w:t>3</w:t>
      </w:r>
      <w:r>
        <w:rPr>
          <w:rFonts w:hint="default" w:ascii="Times New Roman" w:hAnsi="Times New Roman" w:eastAsia="宋体" w:cs="Times New Roman"/>
          <w:i w:val="0"/>
          <w:iCs w:val="0"/>
          <w:caps w:val="0"/>
          <w:color w:val="auto"/>
          <w:spacing w:val="0"/>
          <w:sz w:val="24"/>
          <w:szCs w:val="24"/>
          <w:shd w:val="clear" w:fill="FFFFFF"/>
        </w:rPr>
        <w:t>。</w:t>
      </w:r>
    </w:p>
    <w:p w14:paraId="0760A3B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auto"/>
          <w:sz w:val="24"/>
          <w:szCs w:val="24"/>
        </w:rPr>
      </w:pPr>
      <w:bookmarkStart w:id="1640" w:name="_Toc11509"/>
      <w:bookmarkStart w:id="1641" w:name="_Toc22530"/>
      <w:bookmarkStart w:id="1642" w:name="_Toc26846"/>
      <w:bookmarkStart w:id="1643" w:name="_Toc30255"/>
      <w:bookmarkStart w:id="1644" w:name="_Toc644"/>
      <w:r>
        <w:rPr>
          <w:rFonts w:hint="default" w:ascii="Times New Roman" w:hAnsi="Times New Roman" w:eastAsia="宋体" w:cs="Times New Roman"/>
          <w:i w:val="0"/>
          <w:iCs w:val="0"/>
          <w:caps w:val="0"/>
          <w:color w:val="auto"/>
          <w:spacing w:val="0"/>
          <w:sz w:val="24"/>
          <w:szCs w:val="24"/>
          <w:shd w:val="clear" w:fill="FFFFFF"/>
          <w:lang w:val="en-US" w:eastAsia="zh-CN"/>
        </w:rPr>
        <w:t>⑤</w:t>
      </w:r>
      <w:r>
        <w:rPr>
          <w:rFonts w:hint="default" w:ascii="Times New Roman" w:hAnsi="Times New Roman" w:eastAsia="宋体" w:cs="Times New Roman"/>
          <w:i w:val="0"/>
          <w:iCs w:val="0"/>
          <w:caps w:val="0"/>
          <w:color w:val="auto"/>
          <w:spacing w:val="0"/>
          <w:sz w:val="24"/>
          <w:szCs w:val="24"/>
          <w:shd w:val="clear" w:fill="FFFFFF"/>
        </w:rPr>
        <w:t>监测及评价结果</w:t>
      </w:r>
      <w:bookmarkEnd w:id="1640"/>
      <w:bookmarkEnd w:id="1641"/>
      <w:bookmarkEnd w:id="1642"/>
      <w:bookmarkEnd w:id="1643"/>
      <w:bookmarkEnd w:id="1644"/>
    </w:p>
    <w:p w14:paraId="7F1B236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本次环境空气监测及评价结果见表</w:t>
      </w:r>
      <w:r>
        <w:rPr>
          <w:rFonts w:hint="default" w:ascii="Times New Roman" w:hAnsi="Times New Roman" w:eastAsia="宋体" w:cs="Times New Roman"/>
          <w:i w:val="0"/>
          <w:iCs w:val="0"/>
          <w:caps w:val="0"/>
          <w:color w:val="auto"/>
          <w:spacing w:val="0"/>
          <w:sz w:val="24"/>
          <w:szCs w:val="24"/>
          <w:shd w:val="clear" w:fill="FFFFFF"/>
          <w:lang w:val="en-US" w:eastAsia="zh-CN"/>
        </w:rPr>
        <w:t>5.1</w:t>
      </w:r>
      <w:r>
        <w:rPr>
          <w:rFonts w:hint="default" w:ascii="Times New Roman" w:hAnsi="Times New Roman" w:eastAsia="宋体" w:cs="Times New Roman"/>
          <w:i w:val="0"/>
          <w:iCs w:val="0"/>
          <w:caps w:val="0"/>
          <w:color w:val="auto"/>
          <w:spacing w:val="0"/>
          <w:sz w:val="24"/>
          <w:szCs w:val="24"/>
          <w:shd w:val="clear" w:fill="FFFFFF"/>
        </w:rPr>
        <w:t>-3。</w:t>
      </w:r>
    </w:p>
    <w:p w14:paraId="03A833D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i w:val="0"/>
          <w:iCs w:val="0"/>
          <w:caps w:val="0"/>
          <w:color w:val="auto"/>
          <w:spacing w:val="0"/>
          <w:sz w:val="21"/>
          <w:szCs w:val="21"/>
          <w:shd w:val="clear" w:fill="FFFFFF"/>
        </w:rPr>
        <w:t>表</w:t>
      </w:r>
      <w:r>
        <w:rPr>
          <w:rFonts w:hint="default" w:ascii="Times New Roman" w:hAnsi="Times New Roman" w:eastAsia="宋体" w:cs="Times New Roman"/>
          <w:b/>
          <w:bCs/>
          <w:i w:val="0"/>
          <w:iCs w:val="0"/>
          <w:caps w:val="0"/>
          <w:color w:val="auto"/>
          <w:spacing w:val="0"/>
          <w:sz w:val="21"/>
          <w:szCs w:val="21"/>
          <w:shd w:val="clear" w:fill="FFFFFF"/>
          <w:lang w:val="en-US" w:eastAsia="zh-CN"/>
        </w:rPr>
        <w:t>5.1</w:t>
      </w:r>
      <w:r>
        <w:rPr>
          <w:rFonts w:hint="default" w:ascii="Times New Roman" w:hAnsi="Times New Roman" w:eastAsia="宋体" w:cs="Times New Roman"/>
          <w:b/>
          <w:bCs/>
          <w:i w:val="0"/>
          <w:iCs w:val="0"/>
          <w:caps w:val="0"/>
          <w:color w:val="auto"/>
          <w:spacing w:val="0"/>
          <w:sz w:val="21"/>
          <w:szCs w:val="21"/>
          <w:shd w:val="clear" w:fill="FFFFFF"/>
        </w:rPr>
        <w:t>-3项目环境空气评价</w:t>
      </w:r>
      <w:r>
        <w:rPr>
          <w:rFonts w:hint="default" w:ascii="Times New Roman" w:hAnsi="Times New Roman" w:eastAsia="宋体" w:cs="Times New Roman"/>
          <w:b/>
          <w:bCs/>
          <w:i w:val="0"/>
          <w:iCs w:val="0"/>
          <w:caps w:val="0"/>
          <w:color w:val="auto"/>
          <w:spacing w:val="0"/>
          <w:sz w:val="21"/>
          <w:szCs w:val="21"/>
          <w:shd w:val="clear" w:fill="FFFFFF"/>
          <w:lang w:val="en-US" w:eastAsia="zh-CN"/>
        </w:rPr>
        <w:t>监测</w:t>
      </w:r>
      <w:r>
        <w:rPr>
          <w:rFonts w:hint="default" w:ascii="Times New Roman" w:hAnsi="Times New Roman" w:eastAsia="宋体" w:cs="Times New Roman"/>
          <w:b/>
          <w:bCs/>
          <w:i w:val="0"/>
          <w:iCs w:val="0"/>
          <w:caps w:val="0"/>
          <w:color w:val="auto"/>
          <w:spacing w:val="0"/>
          <w:sz w:val="21"/>
          <w:szCs w:val="21"/>
          <w:shd w:val="clear" w:fill="FFFFFF"/>
        </w:rPr>
        <w:t>结果一览表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42"/>
        <w:gridCol w:w="1329"/>
        <w:gridCol w:w="1546"/>
        <w:gridCol w:w="1400"/>
        <w:gridCol w:w="1373"/>
      </w:tblGrid>
      <w:tr w14:paraId="26A70E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D7D7D7" w:themeFill="background1" w:themeFillShade="D8"/>
            <w:vAlign w:val="center"/>
          </w:tcPr>
          <w:p w14:paraId="03062D0A">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采样时间</w:t>
            </w:r>
          </w:p>
        </w:tc>
        <w:tc>
          <w:tcPr>
            <w:tcW w:w="1660" w:type="dxa"/>
            <w:shd w:val="clear" w:color="auto" w:fill="D7D7D7" w:themeFill="background1" w:themeFillShade="D8"/>
            <w:vAlign w:val="center"/>
          </w:tcPr>
          <w:p w14:paraId="000B3907">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检测点位</w:t>
            </w:r>
          </w:p>
        </w:tc>
        <w:tc>
          <w:tcPr>
            <w:tcW w:w="1660" w:type="dxa"/>
            <w:shd w:val="clear" w:color="auto" w:fill="D7D7D7" w:themeFill="background1" w:themeFillShade="D8"/>
            <w:vAlign w:val="center"/>
          </w:tcPr>
          <w:p w14:paraId="03B32071">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检测项目</w:t>
            </w:r>
          </w:p>
        </w:tc>
        <w:tc>
          <w:tcPr>
            <w:tcW w:w="1660" w:type="dxa"/>
            <w:shd w:val="clear" w:color="auto" w:fill="D7D7D7" w:themeFill="background1" w:themeFillShade="D8"/>
            <w:vAlign w:val="center"/>
          </w:tcPr>
          <w:p w14:paraId="0CB58857">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采样时段</w:t>
            </w:r>
          </w:p>
        </w:tc>
        <w:tc>
          <w:tcPr>
            <w:tcW w:w="1661" w:type="dxa"/>
            <w:shd w:val="clear" w:color="auto" w:fill="D7D7D7" w:themeFill="background1" w:themeFillShade="D8"/>
            <w:vAlign w:val="center"/>
          </w:tcPr>
          <w:p w14:paraId="6633EF77">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检测结果</w:t>
            </w:r>
          </w:p>
        </w:tc>
        <w:tc>
          <w:tcPr>
            <w:tcW w:w="1661" w:type="dxa"/>
            <w:shd w:val="clear" w:color="auto" w:fill="D7D7D7" w:themeFill="background1" w:themeFillShade="D8"/>
            <w:vAlign w:val="center"/>
          </w:tcPr>
          <w:p w14:paraId="31218B71">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标准限值</w:t>
            </w:r>
          </w:p>
        </w:tc>
      </w:tr>
      <w:tr w14:paraId="1B847D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4D71CC3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2022.10.31</w:t>
            </w:r>
          </w:p>
        </w:tc>
        <w:tc>
          <w:tcPr>
            <w:tcW w:w="1660" w:type="dxa"/>
            <w:vMerge w:val="restart"/>
            <w:vAlign w:val="center"/>
          </w:tcPr>
          <w:p w14:paraId="0E333DA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A1项目所在地厂界下风向</w:t>
            </w:r>
          </w:p>
        </w:tc>
        <w:tc>
          <w:tcPr>
            <w:tcW w:w="1660" w:type="dxa"/>
            <w:vAlign w:val="center"/>
          </w:tcPr>
          <w:p w14:paraId="379DEAC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09D72FC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356EEF3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0.16</w:t>
            </w:r>
          </w:p>
        </w:tc>
        <w:tc>
          <w:tcPr>
            <w:tcW w:w="1661" w:type="dxa"/>
            <w:vAlign w:val="center"/>
          </w:tcPr>
          <w:p w14:paraId="440D845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64F9C9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1C8E38B9">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2A8DDB26">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54C2059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6970561F">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6DBE703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0.008</w:t>
            </w:r>
          </w:p>
        </w:tc>
        <w:tc>
          <w:tcPr>
            <w:tcW w:w="1661" w:type="dxa"/>
            <w:vAlign w:val="center"/>
          </w:tcPr>
          <w:p w14:paraId="7A29219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31A236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7D7E50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2022.11.01</w:t>
            </w:r>
          </w:p>
        </w:tc>
        <w:tc>
          <w:tcPr>
            <w:tcW w:w="1660" w:type="dxa"/>
            <w:vMerge w:val="continue"/>
            <w:vAlign w:val="center"/>
          </w:tcPr>
          <w:p w14:paraId="15FC5FDD">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183D5D5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155CD4D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2D1F828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0.15</w:t>
            </w:r>
          </w:p>
        </w:tc>
        <w:tc>
          <w:tcPr>
            <w:tcW w:w="1661" w:type="dxa"/>
            <w:vAlign w:val="center"/>
          </w:tcPr>
          <w:p w14:paraId="19184DF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65E75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7F45A94C">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7ED09EEA">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6F2CCDF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74D18063">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6428D96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0.009</w:t>
            </w:r>
          </w:p>
        </w:tc>
        <w:tc>
          <w:tcPr>
            <w:tcW w:w="1661" w:type="dxa"/>
            <w:vAlign w:val="center"/>
          </w:tcPr>
          <w:p w14:paraId="4759CBC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122AA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6157215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2022.11.02</w:t>
            </w:r>
          </w:p>
        </w:tc>
        <w:tc>
          <w:tcPr>
            <w:tcW w:w="1660" w:type="dxa"/>
            <w:vMerge w:val="continue"/>
            <w:vAlign w:val="center"/>
          </w:tcPr>
          <w:p w14:paraId="6C802CC8">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42D22D1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7F2D6B2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6CC9966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0.11</w:t>
            </w:r>
          </w:p>
        </w:tc>
        <w:tc>
          <w:tcPr>
            <w:tcW w:w="1661" w:type="dxa"/>
            <w:vAlign w:val="center"/>
          </w:tcPr>
          <w:p w14:paraId="7EC5159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5DAA9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30734FC2">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135BE7DC">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2A22597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53C1D69F">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4632CCD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0.007</w:t>
            </w:r>
          </w:p>
        </w:tc>
        <w:tc>
          <w:tcPr>
            <w:tcW w:w="1661" w:type="dxa"/>
            <w:vAlign w:val="center"/>
          </w:tcPr>
          <w:p w14:paraId="7D0F13C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0872A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7602B67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2022.11.03</w:t>
            </w:r>
          </w:p>
        </w:tc>
        <w:tc>
          <w:tcPr>
            <w:tcW w:w="1660" w:type="dxa"/>
            <w:vMerge w:val="continue"/>
            <w:vAlign w:val="center"/>
          </w:tcPr>
          <w:p w14:paraId="5D32C745">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5D6068F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0BD60BD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717E86B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0.15</w:t>
            </w:r>
          </w:p>
        </w:tc>
        <w:tc>
          <w:tcPr>
            <w:tcW w:w="1661" w:type="dxa"/>
            <w:vAlign w:val="center"/>
          </w:tcPr>
          <w:p w14:paraId="02940CF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5BEB8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63BB17F9">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59ADC4AA">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051938F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6BDD9723">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27E3F5F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0.009</w:t>
            </w:r>
          </w:p>
        </w:tc>
        <w:tc>
          <w:tcPr>
            <w:tcW w:w="1661" w:type="dxa"/>
            <w:vAlign w:val="center"/>
          </w:tcPr>
          <w:p w14:paraId="24D564F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1E7270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36CF051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2022.11.04</w:t>
            </w:r>
          </w:p>
        </w:tc>
        <w:tc>
          <w:tcPr>
            <w:tcW w:w="1660" w:type="dxa"/>
            <w:vMerge w:val="continue"/>
            <w:vAlign w:val="center"/>
          </w:tcPr>
          <w:p w14:paraId="71CD5CE5">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1C91F91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7591F47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4FBECE3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0.14</w:t>
            </w:r>
          </w:p>
        </w:tc>
        <w:tc>
          <w:tcPr>
            <w:tcW w:w="1661" w:type="dxa"/>
            <w:vAlign w:val="center"/>
          </w:tcPr>
          <w:p w14:paraId="72D4FAD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5CD42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0E31A3E1">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5B6440C2">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4334956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4E2BA2AE">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23916C1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0.006</w:t>
            </w:r>
          </w:p>
        </w:tc>
        <w:tc>
          <w:tcPr>
            <w:tcW w:w="1661" w:type="dxa"/>
            <w:vAlign w:val="center"/>
          </w:tcPr>
          <w:p w14:paraId="74EB6B6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052F0E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774A0F3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2022.11.05</w:t>
            </w:r>
          </w:p>
        </w:tc>
        <w:tc>
          <w:tcPr>
            <w:tcW w:w="1660" w:type="dxa"/>
            <w:vMerge w:val="continue"/>
            <w:vAlign w:val="center"/>
          </w:tcPr>
          <w:p w14:paraId="39E5F374">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043B953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2C3EB22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425F126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0.16</w:t>
            </w:r>
          </w:p>
        </w:tc>
        <w:tc>
          <w:tcPr>
            <w:tcW w:w="1661" w:type="dxa"/>
            <w:vAlign w:val="center"/>
          </w:tcPr>
          <w:p w14:paraId="5D0D40B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5F0C7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1FC2E6B5">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0F17B8F6">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282C9F4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43EF8F12">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035A411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0.009</w:t>
            </w:r>
          </w:p>
        </w:tc>
        <w:tc>
          <w:tcPr>
            <w:tcW w:w="1661" w:type="dxa"/>
            <w:vAlign w:val="center"/>
          </w:tcPr>
          <w:p w14:paraId="578C0F0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3CF7EC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restart"/>
            <w:vAlign w:val="center"/>
          </w:tcPr>
          <w:p w14:paraId="6634805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2022.11.06</w:t>
            </w:r>
          </w:p>
        </w:tc>
        <w:tc>
          <w:tcPr>
            <w:tcW w:w="1660" w:type="dxa"/>
            <w:vMerge w:val="continue"/>
            <w:vAlign w:val="center"/>
          </w:tcPr>
          <w:p w14:paraId="0EB070C2">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32A52A9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w:t>
            </w:r>
          </w:p>
        </w:tc>
        <w:tc>
          <w:tcPr>
            <w:tcW w:w="1660" w:type="dxa"/>
            <w:vMerge w:val="restart"/>
            <w:vAlign w:val="center"/>
          </w:tcPr>
          <w:p w14:paraId="6A55C24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10:01-11:01</w:t>
            </w:r>
          </w:p>
        </w:tc>
        <w:tc>
          <w:tcPr>
            <w:tcW w:w="1661" w:type="dxa"/>
            <w:vAlign w:val="center"/>
          </w:tcPr>
          <w:p w14:paraId="1B2456A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0.12</w:t>
            </w:r>
          </w:p>
        </w:tc>
        <w:tc>
          <w:tcPr>
            <w:tcW w:w="1661" w:type="dxa"/>
            <w:vAlign w:val="center"/>
          </w:tcPr>
          <w:p w14:paraId="4333DFF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w:t>
            </w:r>
          </w:p>
        </w:tc>
      </w:tr>
      <w:tr w14:paraId="379AC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vMerge w:val="continue"/>
            <w:vAlign w:val="center"/>
          </w:tcPr>
          <w:p w14:paraId="6A343CB4">
            <w:pPr>
              <w:jc w:val="center"/>
              <w:rPr>
                <w:rFonts w:hint="default" w:ascii="Times New Roman" w:hAnsi="Times New Roman" w:eastAsia="宋体" w:cs="Times New Roman"/>
                <w:b w:val="0"/>
                <w:bCs w:val="0"/>
                <w:color w:val="auto"/>
                <w:vertAlign w:val="baseline"/>
                <w:lang w:val="en-US" w:eastAsia="zh-CN"/>
              </w:rPr>
            </w:pPr>
          </w:p>
        </w:tc>
        <w:tc>
          <w:tcPr>
            <w:tcW w:w="1660" w:type="dxa"/>
            <w:vMerge w:val="continue"/>
            <w:vAlign w:val="center"/>
          </w:tcPr>
          <w:p w14:paraId="6AAFA248">
            <w:pPr>
              <w:jc w:val="center"/>
              <w:rPr>
                <w:rFonts w:hint="default" w:ascii="Times New Roman" w:hAnsi="Times New Roman" w:eastAsia="宋体" w:cs="Times New Roman"/>
                <w:b w:val="0"/>
                <w:bCs w:val="0"/>
                <w:color w:val="auto"/>
                <w:vertAlign w:val="baseline"/>
                <w:lang w:val="en-US" w:eastAsia="zh-CN"/>
              </w:rPr>
            </w:pPr>
          </w:p>
        </w:tc>
        <w:tc>
          <w:tcPr>
            <w:tcW w:w="1660" w:type="dxa"/>
            <w:vAlign w:val="center"/>
          </w:tcPr>
          <w:p w14:paraId="20FCBC2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硫化氢</w:t>
            </w:r>
          </w:p>
        </w:tc>
        <w:tc>
          <w:tcPr>
            <w:tcW w:w="1660" w:type="dxa"/>
            <w:vMerge w:val="continue"/>
            <w:vAlign w:val="center"/>
          </w:tcPr>
          <w:p w14:paraId="18B79F4B">
            <w:pPr>
              <w:jc w:val="center"/>
              <w:rPr>
                <w:rFonts w:hint="default" w:ascii="Times New Roman" w:hAnsi="Times New Roman" w:eastAsia="宋体" w:cs="Times New Roman"/>
                <w:b w:val="0"/>
                <w:bCs w:val="0"/>
                <w:color w:val="auto"/>
                <w:vertAlign w:val="baseline"/>
                <w:lang w:val="en-US" w:eastAsia="zh-CN"/>
              </w:rPr>
            </w:pPr>
          </w:p>
        </w:tc>
        <w:tc>
          <w:tcPr>
            <w:tcW w:w="1661" w:type="dxa"/>
            <w:vAlign w:val="center"/>
          </w:tcPr>
          <w:p w14:paraId="385BE04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0.007</w:t>
            </w:r>
          </w:p>
        </w:tc>
        <w:tc>
          <w:tcPr>
            <w:tcW w:w="1661" w:type="dxa"/>
            <w:vAlign w:val="center"/>
          </w:tcPr>
          <w:p w14:paraId="217CA5E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bl>
    <w:p w14:paraId="3B38DBE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aps w:val="0"/>
          <w:color w:val="auto"/>
          <w:spacing w:val="0"/>
          <w:sz w:val="24"/>
          <w:szCs w:val="24"/>
          <w:shd w:val="clear" w:fill="FFFFFF"/>
        </w:rPr>
        <w:t>由表4.2-3评价结果表明，评价区域内氨气、硫化氢</w:t>
      </w:r>
      <w:r>
        <w:rPr>
          <w:rFonts w:hint="default" w:ascii="Times New Roman" w:hAnsi="Times New Roman" w:eastAsia="宋体" w:cs="Times New Roman"/>
          <w:i w:val="0"/>
          <w:iCs w:val="0"/>
          <w:caps w:val="0"/>
          <w:color w:val="auto"/>
          <w:spacing w:val="0"/>
          <w:sz w:val="24"/>
          <w:szCs w:val="24"/>
          <w:shd w:val="clear" w:fill="FFFFFF"/>
          <w:lang w:val="en-US" w:eastAsia="zh-CN"/>
        </w:rPr>
        <w:t>环境空气现状均满足《环境影响评价技术导则 大气环境》（HJ2.2-2018）附录D要求</w:t>
      </w:r>
      <w:r>
        <w:rPr>
          <w:rFonts w:hint="default" w:ascii="Times New Roman" w:hAnsi="Times New Roman" w:eastAsia="宋体" w:cs="Times New Roman"/>
          <w:i w:val="0"/>
          <w:iCs w:val="0"/>
          <w:caps w:val="0"/>
          <w:color w:val="auto"/>
          <w:spacing w:val="0"/>
          <w:sz w:val="24"/>
          <w:szCs w:val="24"/>
          <w:shd w:val="clear" w:fill="FFFFFF"/>
        </w:rPr>
        <w:t>，说明评价区域内环境空气质量良好。</w:t>
      </w:r>
    </w:p>
    <w:p w14:paraId="117E2998">
      <w:pPr>
        <w:pStyle w:val="7"/>
        <w:bidi w:val="0"/>
        <w:rPr>
          <w:rFonts w:hint="default" w:ascii="Times New Roman" w:hAnsi="Times New Roman" w:eastAsia="宋体" w:cs="Times New Roman"/>
          <w:color w:val="auto"/>
        </w:rPr>
      </w:pPr>
      <w:bookmarkStart w:id="1645" w:name="_Toc23079"/>
      <w:bookmarkEnd w:id="1645"/>
      <w:bookmarkStart w:id="1646" w:name="_Toc17551"/>
      <w:bookmarkEnd w:id="1646"/>
      <w:bookmarkStart w:id="1647" w:name="_Toc8376"/>
      <w:bookmarkEnd w:id="1647"/>
      <w:bookmarkStart w:id="1648" w:name="_Toc24087"/>
      <w:bookmarkEnd w:id="1648"/>
      <w:bookmarkStart w:id="1649" w:name="_Toc12902"/>
      <w:bookmarkEnd w:id="1649"/>
      <w:bookmarkStart w:id="1650" w:name="_Toc3898"/>
      <w:bookmarkEnd w:id="1650"/>
      <w:bookmarkStart w:id="1651" w:name="_Toc29271"/>
      <w:bookmarkEnd w:id="1651"/>
      <w:bookmarkStart w:id="1652" w:name="_Toc23848"/>
      <w:bookmarkEnd w:id="1652"/>
      <w:bookmarkStart w:id="1653" w:name="_Toc1030"/>
      <w:bookmarkEnd w:id="1653"/>
      <w:bookmarkStart w:id="1654" w:name="_Toc14094"/>
      <w:bookmarkEnd w:id="1654"/>
      <w:bookmarkStart w:id="1655" w:name="_Toc12673"/>
      <w:bookmarkEnd w:id="1655"/>
      <w:bookmarkStart w:id="1656" w:name="_Toc15352"/>
      <w:bookmarkEnd w:id="1656"/>
      <w:bookmarkStart w:id="1657" w:name="_Toc19558"/>
      <w:bookmarkStart w:id="1658" w:name="_Toc4828"/>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.2地表水环境质量现状调查</w:t>
      </w:r>
      <w:bookmarkEnd w:id="1657"/>
      <w:bookmarkEnd w:id="1658"/>
    </w:p>
    <w:p w14:paraId="47F75E2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color w:val="auto"/>
          <w:sz w:val="24"/>
          <w:szCs w:val="24"/>
        </w:rPr>
      </w:pPr>
      <w:bookmarkStart w:id="1659" w:name="_Toc24990"/>
      <w:bookmarkStart w:id="1660" w:name="_Toc9876"/>
      <w:bookmarkStart w:id="1661" w:name="_Toc20005"/>
      <w:bookmarkStart w:id="1662" w:name="_Toc14276"/>
      <w:bookmarkStart w:id="1663" w:name="_Toc9690"/>
      <w:r>
        <w:rPr>
          <w:rFonts w:hint="default" w:ascii="Times New Roman" w:hAnsi="Times New Roman" w:eastAsia="宋体" w:cs="Times New Roman"/>
          <w:i w:val="0"/>
          <w:iCs w:val="0"/>
          <w:caps w:val="0"/>
          <w:color w:val="auto"/>
          <w:spacing w:val="0"/>
          <w:sz w:val="24"/>
          <w:szCs w:val="24"/>
          <w:shd w:val="clear" w:fill="FFFFFF"/>
        </w:rPr>
        <w:t>1、区域达标性判定</w:t>
      </w:r>
      <w:bookmarkEnd w:id="1659"/>
      <w:bookmarkEnd w:id="1660"/>
      <w:bookmarkEnd w:id="1661"/>
      <w:bookmarkEnd w:id="1662"/>
      <w:bookmarkEnd w:id="1663"/>
    </w:p>
    <w:p w14:paraId="794A9992">
      <w:pPr>
        <w:pStyle w:val="11"/>
        <w:spacing w:before="0" w:after="0" w:line="360" w:lineRule="auto"/>
        <w:ind w:right="0" w:firstLine="440" w:firstLineChars="200"/>
        <w:jc w:val="left"/>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本项目废水经污水处理设施处理达到《医疗机构水污染物排放标准》（GB18466-2005）预处理标准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及《污水排入城镇下水道水质标准》（GB/T31962-2015）表（1）标准后</w:t>
      </w:r>
      <w:r>
        <w:rPr>
          <w:rFonts w:hint="default" w:ascii="Times New Roman" w:hAnsi="Times New Roman" w:eastAsia="宋体" w:cs="Times New Roman"/>
          <w:bCs/>
          <w:color w:val="auto"/>
          <w:sz w:val="22"/>
          <w:szCs w:val="22"/>
          <w:highlight w:val="none"/>
          <w:lang w:val="en-US" w:eastAsia="zh-CN"/>
        </w:rPr>
        <w:t>通过市政污水管网排入大英县城市生活污水处理厂处理达到《四川省岷江、沱江流域水污染物排放标准》（DB51/2311-2016）表1“城镇污水处理厂”标准，总磷、粪大肠菌群、石油类达《地表水环境质量标准》（GB3838-2002）III类标准，排入郪江。</w:t>
      </w:r>
    </w:p>
    <w:p w14:paraId="6138E2A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2"/>
          <w:szCs w:val="22"/>
          <w:highlight w:val="none"/>
          <w:lang w:val="en-US" w:eastAsia="zh-CN"/>
        </w:rPr>
        <w:t>根据遂宁市生态环境局2022年1月17日公布的《2021年遂宁市环境质量公告》：本年度，遂宁市9个国、省控地表水监测断面（含2个长江经济带断面和1个趋势科研断面）水环境质量状况、主要污染指标、环比和同比情况见下表。</w:t>
      </w:r>
    </w:p>
    <w:p w14:paraId="72D938B3">
      <w:pPr>
        <w:pStyle w:val="19"/>
        <w:keepNext w:val="0"/>
        <w:keepLines w:val="0"/>
        <w:pageBreakBefore w:val="0"/>
        <w:kinsoku/>
        <w:wordWrap/>
        <w:overflowPunct/>
        <w:topLinePunct w:val="0"/>
        <w:autoSpaceDE/>
        <w:autoSpaceDN/>
        <w:bidi w:val="0"/>
        <w:adjustRightInd/>
        <w:snapToGrid/>
        <w:spacing w:before="0" w:after="0" w:line="360" w:lineRule="auto"/>
        <w:ind w:left="0"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表5.1-4 2021年大英县地表水环境质量公告数据</w:t>
      </w:r>
    </w:p>
    <w:tbl>
      <w:tblPr>
        <w:tblStyle w:val="20"/>
        <w:tblW w:w="80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030"/>
        <w:gridCol w:w="903"/>
        <w:gridCol w:w="1044"/>
        <w:gridCol w:w="518"/>
        <w:gridCol w:w="724"/>
        <w:gridCol w:w="724"/>
        <w:gridCol w:w="1541"/>
        <w:gridCol w:w="1593"/>
      </w:tblGrid>
      <w:tr w14:paraId="055D0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1030" w:type="dxa"/>
            <w:shd w:val="clear" w:color="auto" w:fill="D7D7D7" w:themeFill="background1" w:themeFillShade="D8"/>
            <w:noWrap w:val="0"/>
            <w:tcMar>
              <w:top w:w="0" w:type="dxa"/>
              <w:left w:w="0" w:type="dxa"/>
              <w:bottom w:w="0" w:type="dxa"/>
              <w:right w:w="0" w:type="dxa"/>
            </w:tcMar>
            <w:vAlign w:val="center"/>
          </w:tcPr>
          <w:p w14:paraId="2A742E2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断面名称</w:t>
            </w:r>
          </w:p>
        </w:tc>
        <w:tc>
          <w:tcPr>
            <w:tcW w:w="903" w:type="dxa"/>
            <w:shd w:val="clear" w:color="auto" w:fill="D7D7D7" w:themeFill="background1" w:themeFillShade="D8"/>
            <w:noWrap w:val="0"/>
            <w:tcMar>
              <w:top w:w="0" w:type="dxa"/>
              <w:left w:w="0" w:type="dxa"/>
              <w:bottom w:w="0" w:type="dxa"/>
              <w:right w:w="0" w:type="dxa"/>
            </w:tcMar>
            <w:vAlign w:val="center"/>
          </w:tcPr>
          <w:p w14:paraId="4B82937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所在地</w:t>
            </w:r>
          </w:p>
        </w:tc>
        <w:tc>
          <w:tcPr>
            <w:tcW w:w="1044" w:type="dxa"/>
            <w:shd w:val="clear" w:color="auto" w:fill="D7D7D7" w:themeFill="background1" w:themeFillShade="D8"/>
            <w:noWrap w:val="0"/>
            <w:tcMar>
              <w:top w:w="0" w:type="dxa"/>
              <w:left w:w="0" w:type="dxa"/>
              <w:bottom w:w="0" w:type="dxa"/>
              <w:right w:w="0" w:type="dxa"/>
            </w:tcMar>
            <w:vAlign w:val="center"/>
          </w:tcPr>
          <w:p w14:paraId="46C75EF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断面类别</w:t>
            </w:r>
          </w:p>
        </w:tc>
        <w:tc>
          <w:tcPr>
            <w:tcW w:w="518" w:type="dxa"/>
            <w:shd w:val="clear" w:color="auto" w:fill="D7D7D7" w:themeFill="background1" w:themeFillShade="D8"/>
            <w:noWrap w:val="0"/>
            <w:tcMar>
              <w:top w:w="0" w:type="dxa"/>
              <w:left w:w="0" w:type="dxa"/>
              <w:bottom w:w="0" w:type="dxa"/>
              <w:right w:w="0" w:type="dxa"/>
            </w:tcMar>
            <w:vAlign w:val="center"/>
          </w:tcPr>
          <w:p w14:paraId="4CAF34E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规定</w:t>
            </w:r>
          </w:p>
          <w:p w14:paraId="0EF82B2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724" w:type="dxa"/>
            <w:shd w:val="clear" w:color="auto" w:fill="D7D7D7" w:themeFill="background1" w:themeFillShade="D8"/>
            <w:noWrap w:val="0"/>
            <w:tcMar>
              <w:top w:w="0" w:type="dxa"/>
              <w:left w:w="0" w:type="dxa"/>
              <w:bottom w:w="0" w:type="dxa"/>
              <w:right w:w="0" w:type="dxa"/>
            </w:tcMar>
            <w:vAlign w:val="center"/>
          </w:tcPr>
          <w:p w14:paraId="0384F7A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上年度</w:t>
            </w:r>
          </w:p>
          <w:p w14:paraId="0822951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724" w:type="dxa"/>
            <w:shd w:val="clear" w:color="auto" w:fill="D7D7D7" w:themeFill="background1" w:themeFillShade="D8"/>
            <w:noWrap w:val="0"/>
            <w:tcMar>
              <w:top w:w="0" w:type="dxa"/>
              <w:left w:w="0" w:type="dxa"/>
              <w:bottom w:w="0" w:type="dxa"/>
              <w:right w:w="0" w:type="dxa"/>
            </w:tcMar>
            <w:vAlign w:val="center"/>
          </w:tcPr>
          <w:p w14:paraId="1783E35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本年度类别</w:t>
            </w:r>
          </w:p>
        </w:tc>
        <w:tc>
          <w:tcPr>
            <w:tcW w:w="1541" w:type="dxa"/>
            <w:shd w:val="clear" w:color="auto" w:fill="D7D7D7" w:themeFill="background1" w:themeFillShade="D8"/>
            <w:noWrap w:val="0"/>
            <w:tcMar>
              <w:top w:w="0" w:type="dxa"/>
              <w:left w:w="0" w:type="dxa"/>
              <w:bottom w:w="0" w:type="dxa"/>
              <w:right w:w="0" w:type="dxa"/>
            </w:tcMar>
            <w:vAlign w:val="center"/>
          </w:tcPr>
          <w:p w14:paraId="74495E3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主要污染指标/超标倍数</w:t>
            </w:r>
          </w:p>
        </w:tc>
        <w:tc>
          <w:tcPr>
            <w:tcW w:w="1593" w:type="dxa"/>
            <w:shd w:val="clear" w:color="auto" w:fill="D7D7D7" w:themeFill="background1" w:themeFillShade="D8"/>
            <w:noWrap w:val="0"/>
            <w:tcMar>
              <w:top w:w="0" w:type="dxa"/>
              <w:left w:w="0" w:type="dxa"/>
              <w:bottom w:w="0" w:type="dxa"/>
              <w:right w:w="0" w:type="dxa"/>
            </w:tcMar>
            <w:vAlign w:val="center"/>
          </w:tcPr>
          <w:p w14:paraId="09DDE97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单独评价指标/超标倍数</w:t>
            </w:r>
          </w:p>
        </w:tc>
      </w:tr>
      <w:tr w14:paraId="09EBCA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58AF4EB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红江渡口</w:t>
            </w:r>
          </w:p>
        </w:tc>
        <w:tc>
          <w:tcPr>
            <w:tcW w:w="903" w:type="dxa"/>
            <w:noWrap w:val="0"/>
            <w:tcMar>
              <w:top w:w="0" w:type="dxa"/>
              <w:left w:w="0" w:type="dxa"/>
              <w:bottom w:w="0" w:type="dxa"/>
              <w:right w:w="0" w:type="dxa"/>
            </w:tcMar>
            <w:vAlign w:val="center"/>
          </w:tcPr>
          <w:p w14:paraId="0C3046B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蓬溪县</w:t>
            </w:r>
          </w:p>
        </w:tc>
        <w:tc>
          <w:tcPr>
            <w:tcW w:w="1044" w:type="dxa"/>
            <w:noWrap w:val="0"/>
            <w:tcMar>
              <w:top w:w="0" w:type="dxa"/>
              <w:left w:w="0" w:type="dxa"/>
              <w:bottom w:w="0" w:type="dxa"/>
              <w:right w:w="0" w:type="dxa"/>
            </w:tcMar>
            <w:vAlign w:val="center"/>
          </w:tcPr>
          <w:p w14:paraId="1810F5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国控</w:t>
            </w:r>
          </w:p>
        </w:tc>
        <w:tc>
          <w:tcPr>
            <w:tcW w:w="518" w:type="dxa"/>
            <w:noWrap w:val="0"/>
            <w:tcMar>
              <w:top w:w="0" w:type="dxa"/>
              <w:left w:w="0" w:type="dxa"/>
              <w:bottom w:w="0" w:type="dxa"/>
              <w:right w:w="0" w:type="dxa"/>
            </w:tcMar>
            <w:vAlign w:val="center"/>
          </w:tcPr>
          <w:p w14:paraId="1D24F3E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7E3D82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724" w:type="dxa"/>
            <w:noWrap w:val="0"/>
            <w:tcMar>
              <w:top w:w="0" w:type="dxa"/>
              <w:left w:w="0" w:type="dxa"/>
              <w:bottom w:w="0" w:type="dxa"/>
              <w:right w:w="0" w:type="dxa"/>
            </w:tcMar>
            <w:vAlign w:val="center"/>
          </w:tcPr>
          <w:p w14:paraId="353174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1541" w:type="dxa"/>
            <w:noWrap w:val="0"/>
            <w:tcMar>
              <w:top w:w="0" w:type="dxa"/>
              <w:left w:w="0" w:type="dxa"/>
              <w:bottom w:w="0" w:type="dxa"/>
              <w:right w:w="0" w:type="dxa"/>
            </w:tcMar>
            <w:vAlign w:val="center"/>
          </w:tcPr>
          <w:p w14:paraId="738331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761E7B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3DB0C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7B3B1A7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玉溪</w:t>
            </w:r>
          </w:p>
        </w:tc>
        <w:tc>
          <w:tcPr>
            <w:tcW w:w="903" w:type="dxa"/>
            <w:noWrap w:val="0"/>
            <w:tcMar>
              <w:top w:w="0" w:type="dxa"/>
              <w:left w:w="0" w:type="dxa"/>
              <w:bottom w:w="0" w:type="dxa"/>
              <w:right w:w="0" w:type="dxa"/>
            </w:tcMar>
            <w:vAlign w:val="center"/>
          </w:tcPr>
          <w:p w14:paraId="4D03DDD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重庆潼南</w:t>
            </w:r>
          </w:p>
        </w:tc>
        <w:tc>
          <w:tcPr>
            <w:tcW w:w="1044" w:type="dxa"/>
            <w:noWrap w:val="0"/>
            <w:tcMar>
              <w:top w:w="0" w:type="dxa"/>
              <w:left w:w="0" w:type="dxa"/>
              <w:bottom w:w="0" w:type="dxa"/>
              <w:right w:w="0" w:type="dxa"/>
            </w:tcMar>
            <w:vAlign w:val="center"/>
          </w:tcPr>
          <w:p w14:paraId="5B36DF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国控</w:t>
            </w:r>
          </w:p>
        </w:tc>
        <w:tc>
          <w:tcPr>
            <w:tcW w:w="518" w:type="dxa"/>
            <w:noWrap w:val="0"/>
            <w:tcMar>
              <w:top w:w="0" w:type="dxa"/>
              <w:left w:w="0" w:type="dxa"/>
              <w:bottom w:w="0" w:type="dxa"/>
              <w:right w:w="0" w:type="dxa"/>
            </w:tcMar>
            <w:vAlign w:val="center"/>
          </w:tcPr>
          <w:p w14:paraId="309B8B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4D1F77B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724" w:type="dxa"/>
            <w:noWrap w:val="0"/>
            <w:tcMar>
              <w:top w:w="0" w:type="dxa"/>
              <w:left w:w="0" w:type="dxa"/>
              <w:bottom w:w="0" w:type="dxa"/>
              <w:right w:w="0" w:type="dxa"/>
            </w:tcMar>
            <w:vAlign w:val="center"/>
          </w:tcPr>
          <w:p w14:paraId="07F2958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1541" w:type="dxa"/>
            <w:noWrap w:val="0"/>
            <w:tcMar>
              <w:top w:w="0" w:type="dxa"/>
              <w:left w:w="0" w:type="dxa"/>
              <w:bottom w:w="0" w:type="dxa"/>
              <w:right w:w="0" w:type="dxa"/>
            </w:tcMar>
            <w:vAlign w:val="center"/>
          </w:tcPr>
          <w:p w14:paraId="62ADEF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51A37B9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102A2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315597E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跑马滩</w:t>
            </w:r>
          </w:p>
        </w:tc>
        <w:tc>
          <w:tcPr>
            <w:tcW w:w="903" w:type="dxa"/>
            <w:noWrap w:val="0"/>
            <w:tcMar>
              <w:top w:w="0" w:type="dxa"/>
              <w:left w:w="0" w:type="dxa"/>
              <w:bottom w:w="0" w:type="dxa"/>
              <w:right w:w="0" w:type="dxa"/>
            </w:tcMar>
            <w:vAlign w:val="center"/>
          </w:tcPr>
          <w:p w14:paraId="678AF96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安居区</w:t>
            </w:r>
          </w:p>
        </w:tc>
        <w:tc>
          <w:tcPr>
            <w:tcW w:w="1044" w:type="dxa"/>
            <w:noWrap w:val="0"/>
            <w:tcMar>
              <w:top w:w="0" w:type="dxa"/>
              <w:left w:w="0" w:type="dxa"/>
              <w:bottom w:w="0" w:type="dxa"/>
              <w:right w:w="0" w:type="dxa"/>
            </w:tcMar>
            <w:vAlign w:val="center"/>
          </w:tcPr>
          <w:p w14:paraId="605B035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国控</w:t>
            </w:r>
          </w:p>
        </w:tc>
        <w:tc>
          <w:tcPr>
            <w:tcW w:w="518" w:type="dxa"/>
            <w:noWrap w:val="0"/>
            <w:tcMar>
              <w:top w:w="0" w:type="dxa"/>
              <w:left w:w="0" w:type="dxa"/>
              <w:bottom w:w="0" w:type="dxa"/>
              <w:right w:w="0" w:type="dxa"/>
            </w:tcMar>
            <w:vAlign w:val="center"/>
          </w:tcPr>
          <w:p w14:paraId="5EB5ADA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522AF5B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2C86CD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1541" w:type="dxa"/>
            <w:noWrap w:val="0"/>
            <w:tcMar>
              <w:top w:w="0" w:type="dxa"/>
              <w:left w:w="0" w:type="dxa"/>
              <w:bottom w:w="0" w:type="dxa"/>
              <w:right w:w="0" w:type="dxa"/>
            </w:tcMar>
            <w:vAlign w:val="center"/>
          </w:tcPr>
          <w:p w14:paraId="4DF4DFE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40273D0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6F5C8F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706490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大安</w:t>
            </w:r>
          </w:p>
        </w:tc>
        <w:tc>
          <w:tcPr>
            <w:tcW w:w="903" w:type="dxa"/>
            <w:noWrap w:val="0"/>
            <w:tcMar>
              <w:top w:w="0" w:type="dxa"/>
              <w:left w:w="0" w:type="dxa"/>
              <w:bottom w:w="0" w:type="dxa"/>
              <w:right w:w="0" w:type="dxa"/>
            </w:tcMar>
            <w:vAlign w:val="center"/>
          </w:tcPr>
          <w:p w14:paraId="65C326A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安居区</w:t>
            </w:r>
          </w:p>
        </w:tc>
        <w:tc>
          <w:tcPr>
            <w:tcW w:w="1044" w:type="dxa"/>
            <w:noWrap w:val="0"/>
            <w:tcMar>
              <w:top w:w="0" w:type="dxa"/>
              <w:left w:w="0" w:type="dxa"/>
              <w:bottom w:w="0" w:type="dxa"/>
              <w:right w:w="0" w:type="dxa"/>
            </w:tcMar>
            <w:vAlign w:val="center"/>
          </w:tcPr>
          <w:p w14:paraId="574D99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国控</w:t>
            </w:r>
          </w:p>
        </w:tc>
        <w:tc>
          <w:tcPr>
            <w:tcW w:w="518" w:type="dxa"/>
            <w:noWrap w:val="0"/>
            <w:tcMar>
              <w:top w:w="0" w:type="dxa"/>
              <w:left w:w="0" w:type="dxa"/>
              <w:bottom w:w="0" w:type="dxa"/>
              <w:right w:w="0" w:type="dxa"/>
            </w:tcMar>
            <w:vAlign w:val="center"/>
          </w:tcPr>
          <w:p w14:paraId="7DB8484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4603172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1A8ED0C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1541" w:type="dxa"/>
            <w:noWrap w:val="0"/>
            <w:tcMar>
              <w:top w:w="0" w:type="dxa"/>
              <w:left w:w="0" w:type="dxa"/>
              <w:bottom w:w="0" w:type="dxa"/>
              <w:right w:w="0" w:type="dxa"/>
            </w:tcMar>
            <w:vAlign w:val="center"/>
          </w:tcPr>
          <w:p w14:paraId="4B1D849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0D16F28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3B5C05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751DA06A">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郪江口</w:t>
            </w:r>
          </w:p>
        </w:tc>
        <w:tc>
          <w:tcPr>
            <w:tcW w:w="903" w:type="dxa"/>
            <w:noWrap w:val="0"/>
            <w:tcMar>
              <w:top w:w="0" w:type="dxa"/>
              <w:left w:w="0" w:type="dxa"/>
              <w:bottom w:w="0" w:type="dxa"/>
              <w:right w:w="0" w:type="dxa"/>
            </w:tcMar>
            <w:vAlign w:val="center"/>
          </w:tcPr>
          <w:p w14:paraId="64742676">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大英县</w:t>
            </w:r>
          </w:p>
        </w:tc>
        <w:tc>
          <w:tcPr>
            <w:tcW w:w="1044" w:type="dxa"/>
            <w:noWrap w:val="0"/>
            <w:tcMar>
              <w:top w:w="0" w:type="dxa"/>
              <w:left w:w="0" w:type="dxa"/>
              <w:bottom w:w="0" w:type="dxa"/>
              <w:right w:w="0" w:type="dxa"/>
            </w:tcMar>
            <w:vAlign w:val="center"/>
          </w:tcPr>
          <w:p w14:paraId="0822C41E">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国控</w:t>
            </w:r>
          </w:p>
        </w:tc>
        <w:tc>
          <w:tcPr>
            <w:tcW w:w="518" w:type="dxa"/>
            <w:noWrap w:val="0"/>
            <w:tcMar>
              <w:top w:w="0" w:type="dxa"/>
              <w:left w:w="0" w:type="dxa"/>
              <w:bottom w:w="0" w:type="dxa"/>
              <w:right w:w="0" w:type="dxa"/>
            </w:tcMar>
            <w:vAlign w:val="center"/>
          </w:tcPr>
          <w:p w14:paraId="48788270">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Ⅲ</w:t>
            </w:r>
          </w:p>
        </w:tc>
        <w:tc>
          <w:tcPr>
            <w:tcW w:w="724" w:type="dxa"/>
            <w:noWrap w:val="0"/>
            <w:tcMar>
              <w:top w:w="0" w:type="dxa"/>
              <w:left w:w="0" w:type="dxa"/>
              <w:bottom w:w="0" w:type="dxa"/>
              <w:right w:w="0" w:type="dxa"/>
            </w:tcMar>
            <w:vAlign w:val="center"/>
          </w:tcPr>
          <w:p w14:paraId="1933DC43">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Ⅲ</w:t>
            </w:r>
          </w:p>
        </w:tc>
        <w:tc>
          <w:tcPr>
            <w:tcW w:w="724" w:type="dxa"/>
            <w:noWrap w:val="0"/>
            <w:tcMar>
              <w:top w:w="0" w:type="dxa"/>
              <w:left w:w="0" w:type="dxa"/>
              <w:bottom w:w="0" w:type="dxa"/>
              <w:right w:w="0" w:type="dxa"/>
            </w:tcMar>
            <w:vAlign w:val="center"/>
          </w:tcPr>
          <w:p w14:paraId="29AF57F4">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Ⅲ</w:t>
            </w:r>
          </w:p>
        </w:tc>
        <w:tc>
          <w:tcPr>
            <w:tcW w:w="1541" w:type="dxa"/>
            <w:noWrap w:val="0"/>
            <w:tcMar>
              <w:top w:w="0" w:type="dxa"/>
              <w:left w:w="0" w:type="dxa"/>
              <w:bottom w:w="0" w:type="dxa"/>
              <w:right w:w="0" w:type="dxa"/>
            </w:tcMar>
            <w:vAlign w:val="center"/>
          </w:tcPr>
          <w:p w14:paraId="30FD970D">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p>
        </w:tc>
        <w:tc>
          <w:tcPr>
            <w:tcW w:w="1593" w:type="dxa"/>
            <w:noWrap w:val="0"/>
            <w:tcMar>
              <w:top w:w="0" w:type="dxa"/>
              <w:left w:w="0" w:type="dxa"/>
              <w:bottom w:w="0" w:type="dxa"/>
              <w:right w:w="0" w:type="dxa"/>
            </w:tcMar>
            <w:vAlign w:val="center"/>
          </w:tcPr>
          <w:p w14:paraId="2CB6310B">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p>
        </w:tc>
      </w:tr>
      <w:tr w14:paraId="5E7E6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75" w:hRule="atLeast"/>
          <w:jc w:val="center"/>
        </w:trPr>
        <w:tc>
          <w:tcPr>
            <w:tcW w:w="1030" w:type="dxa"/>
            <w:noWrap w:val="0"/>
            <w:tcMar>
              <w:top w:w="0" w:type="dxa"/>
              <w:left w:w="0" w:type="dxa"/>
              <w:bottom w:w="0" w:type="dxa"/>
              <w:right w:w="0" w:type="dxa"/>
            </w:tcMar>
            <w:vAlign w:val="center"/>
          </w:tcPr>
          <w:p w14:paraId="0700016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梓江大桥</w:t>
            </w:r>
          </w:p>
        </w:tc>
        <w:tc>
          <w:tcPr>
            <w:tcW w:w="903" w:type="dxa"/>
            <w:noWrap w:val="0"/>
            <w:tcMar>
              <w:top w:w="0" w:type="dxa"/>
              <w:left w:w="0" w:type="dxa"/>
              <w:bottom w:w="0" w:type="dxa"/>
              <w:right w:w="0" w:type="dxa"/>
            </w:tcMar>
            <w:vAlign w:val="center"/>
          </w:tcPr>
          <w:p w14:paraId="74E0A8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射洪市</w:t>
            </w:r>
          </w:p>
        </w:tc>
        <w:tc>
          <w:tcPr>
            <w:tcW w:w="1044" w:type="dxa"/>
            <w:noWrap w:val="0"/>
            <w:tcMar>
              <w:top w:w="0" w:type="dxa"/>
              <w:left w:w="0" w:type="dxa"/>
              <w:bottom w:w="0" w:type="dxa"/>
              <w:right w:w="0" w:type="dxa"/>
            </w:tcMar>
            <w:vAlign w:val="center"/>
          </w:tcPr>
          <w:p w14:paraId="720F808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国控</w:t>
            </w:r>
          </w:p>
        </w:tc>
        <w:tc>
          <w:tcPr>
            <w:tcW w:w="518" w:type="dxa"/>
            <w:noWrap w:val="0"/>
            <w:tcMar>
              <w:top w:w="0" w:type="dxa"/>
              <w:left w:w="0" w:type="dxa"/>
              <w:bottom w:w="0" w:type="dxa"/>
              <w:right w:w="0" w:type="dxa"/>
            </w:tcMar>
            <w:vAlign w:val="center"/>
          </w:tcPr>
          <w:p w14:paraId="52918E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1D2EA06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724" w:type="dxa"/>
            <w:noWrap w:val="0"/>
            <w:tcMar>
              <w:top w:w="0" w:type="dxa"/>
              <w:left w:w="0" w:type="dxa"/>
              <w:bottom w:w="0" w:type="dxa"/>
              <w:right w:w="0" w:type="dxa"/>
            </w:tcMar>
            <w:vAlign w:val="center"/>
          </w:tcPr>
          <w:p w14:paraId="1DF0149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1541" w:type="dxa"/>
            <w:noWrap w:val="0"/>
            <w:tcMar>
              <w:top w:w="0" w:type="dxa"/>
              <w:left w:w="0" w:type="dxa"/>
              <w:bottom w:w="0" w:type="dxa"/>
              <w:right w:w="0" w:type="dxa"/>
            </w:tcMar>
            <w:vAlign w:val="center"/>
          </w:tcPr>
          <w:p w14:paraId="4C95FAA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124492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79F52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1030" w:type="dxa"/>
            <w:noWrap w:val="0"/>
            <w:tcMar>
              <w:top w:w="0" w:type="dxa"/>
              <w:left w:w="0" w:type="dxa"/>
              <w:bottom w:w="0" w:type="dxa"/>
              <w:right w:w="0" w:type="dxa"/>
            </w:tcMar>
            <w:vAlign w:val="center"/>
          </w:tcPr>
          <w:p w14:paraId="70D7FBE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白鹤桥</w:t>
            </w:r>
          </w:p>
        </w:tc>
        <w:tc>
          <w:tcPr>
            <w:tcW w:w="903" w:type="dxa"/>
            <w:noWrap w:val="0"/>
            <w:tcMar>
              <w:top w:w="0" w:type="dxa"/>
              <w:left w:w="0" w:type="dxa"/>
              <w:bottom w:w="0" w:type="dxa"/>
              <w:right w:w="0" w:type="dxa"/>
            </w:tcMar>
            <w:vAlign w:val="center"/>
          </w:tcPr>
          <w:p w14:paraId="730AB4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安居区</w:t>
            </w:r>
          </w:p>
        </w:tc>
        <w:tc>
          <w:tcPr>
            <w:tcW w:w="1044" w:type="dxa"/>
            <w:noWrap w:val="0"/>
            <w:tcMar>
              <w:top w:w="0" w:type="dxa"/>
              <w:left w:w="0" w:type="dxa"/>
              <w:bottom w:w="0" w:type="dxa"/>
              <w:right w:w="0" w:type="dxa"/>
            </w:tcMar>
            <w:vAlign w:val="center"/>
          </w:tcPr>
          <w:p w14:paraId="5D8A56F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省控（</w:t>
            </w:r>
            <w:r>
              <w:rPr>
                <w:rFonts w:hint="default" w:ascii="Times New Roman" w:hAnsi="Times New Roman" w:eastAsia="宋体" w:cs="Times New Roman"/>
                <w:color w:val="auto"/>
                <w:sz w:val="21"/>
                <w:szCs w:val="21"/>
              </w:rPr>
              <w:t>长江经济带</w:t>
            </w:r>
            <w:r>
              <w:rPr>
                <w:rFonts w:hint="default" w:ascii="Times New Roman" w:hAnsi="Times New Roman" w:eastAsia="宋体" w:cs="Times New Roman"/>
                <w:color w:val="auto"/>
                <w:sz w:val="21"/>
                <w:szCs w:val="21"/>
                <w:lang w:eastAsia="zh-CN"/>
              </w:rPr>
              <w:t>）</w:t>
            </w:r>
          </w:p>
        </w:tc>
        <w:tc>
          <w:tcPr>
            <w:tcW w:w="518" w:type="dxa"/>
            <w:noWrap w:val="0"/>
            <w:tcMar>
              <w:top w:w="0" w:type="dxa"/>
              <w:left w:w="0" w:type="dxa"/>
              <w:bottom w:w="0" w:type="dxa"/>
              <w:right w:w="0" w:type="dxa"/>
            </w:tcMar>
            <w:vAlign w:val="center"/>
          </w:tcPr>
          <w:p w14:paraId="7904CB1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790FE3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724" w:type="dxa"/>
            <w:noWrap w:val="0"/>
            <w:tcMar>
              <w:top w:w="0" w:type="dxa"/>
              <w:left w:w="0" w:type="dxa"/>
              <w:bottom w:w="0" w:type="dxa"/>
              <w:right w:w="0" w:type="dxa"/>
            </w:tcMar>
            <w:vAlign w:val="center"/>
          </w:tcPr>
          <w:p w14:paraId="13A405F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1541" w:type="dxa"/>
            <w:noWrap w:val="0"/>
            <w:tcMar>
              <w:top w:w="0" w:type="dxa"/>
              <w:left w:w="0" w:type="dxa"/>
              <w:bottom w:w="0" w:type="dxa"/>
              <w:right w:w="0" w:type="dxa"/>
            </w:tcMar>
            <w:vAlign w:val="center"/>
          </w:tcPr>
          <w:p w14:paraId="413083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593" w:type="dxa"/>
            <w:noWrap w:val="0"/>
            <w:tcMar>
              <w:top w:w="0" w:type="dxa"/>
              <w:left w:w="0" w:type="dxa"/>
              <w:bottom w:w="0" w:type="dxa"/>
              <w:right w:w="0" w:type="dxa"/>
            </w:tcMar>
            <w:vAlign w:val="center"/>
          </w:tcPr>
          <w:p w14:paraId="169C39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14:paraId="7DF7F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1030" w:type="dxa"/>
            <w:noWrap w:val="0"/>
            <w:tcMar>
              <w:top w:w="0" w:type="dxa"/>
              <w:left w:w="0" w:type="dxa"/>
              <w:bottom w:w="0" w:type="dxa"/>
              <w:right w:w="0" w:type="dxa"/>
            </w:tcMar>
            <w:vAlign w:val="center"/>
          </w:tcPr>
          <w:p w14:paraId="1FB265C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涪山坝</w:t>
            </w:r>
          </w:p>
        </w:tc>
        <w:tc>
          <w:tcPr>
            <w:tcW w:w="903" w:type="dxa"/>
            <w:noWrap w:val="0"/>
            <w:tcMar>
              <w:top w:w="0" w:type="dxa"/>
              <w:left w:w="0" w:type="dxa"/>
              <w:bottom w:w="0" w:type="dxa"/>
              <w:right w:w="0" w:type="dxa"/>
            </w:tcMar>
            <w:vAlign w:val="center"/>
          </w:tcPr>
          <w:p w14:paraId="60A30B9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蓬溪县</w:t>
            </w:r>
          </w:p>
        </w:tc>
        <w:tc>
          <w:tcPr>
            <w:tcW w:w="1044" w:type="dxa"/>
            <w:noWrap w:val="0"/>
            <w:tcMar>
              <w:top w:w="0" w:type="dxa"/>
              <w:left w:w="0" w:type="dxa"/>
              <w:bottom w:w="0" w:type="dxa"/>
              <w:right w:w="0" w:type="dxa"/>
            </w:tcMar>
            <w:vAlign w:val="center"/>
          </w:tcPr>
          <w:p w14:paraId="5D2302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省控（</w:t>
            </w:r>
            <w:r>
              <w:rPr>
                <w:rFonts w:hint="default" w:ascii="Times New Roman" w:hAnsi="Times New Roman" w:eastAsia="宋体" w:cs="Times New Roman"/>
                <w:color w:val="auto"/>
                <w:sz w:val="21"/>
                <w:szCs w:val="21"/>
              </w:rPr>
              <w:t>长江经济带</w:t>
            </w:r>
            <w:r>
              <w:rPr>
                <w:rFonts w:hint="default" w:ascii="Times New Roman" w:hAnsi="Times New Roman" w:eastAsia="宋体" w:cs="Times New Roman"/>
                <w:color w:val="auto"/>
                <w:sz w:val="21"/>
                <w:szCs w:val="21"/>
                <w:lang w:eastAsia="zh-CN"/>
              </w:rPr>
              <w:t>）</w:t>
            </w:r>
          </w:p>
        </w:tc>
        <w:tc>
          <w:tcPr>
            <w:tcW w:w="518" w:type="dxa"/>
            <w:noWrap w:val="0"/>
            <w:tcMar>
              <w:top w:w="0" w:type="dxa"/>
              <w:left w:w="0" w:type="dxa"/>
              <w:bottom w:w="0" w:type="dxa"/>
              <w:right w:w="0" w:type="dxa"/>
            </w:tcMar>
            <w:vAlign w:val="center"/>
          </w:tcPr>
          <w:p w14:paraId="4A8048B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3A0F9E5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Ⅴ</w:t>
            </w:r>
          </w:p>
        </w:tc>
        <w:tc>
          <w:tcPr>
            <w:tcW w:w="724" w:type="dxa"/>
            <w:noWrap w:val="0"/>
            <w:tcMar>
              <w:top w:w="0" w:type="dxa"/>
              <w:left w:w="0" w:type="dxa"/>
              <w:bottom w:w="0" w:type="dxa"/>
              <w:right w:w="0" w:type="dxa"/>
            </w:tcMar>
            <w:vAlign w:val="center"/>
          </w:tcPr>
          <w:p w14:paraId="0386C72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Ⅳ</w:t>
            </w:r>
          </w:p>
        </w:tc>
        <w:tc>
          <w:tcPr>
            <w:tcW w:w="1541" w:type="dxa"/>
            <w:noWrap w:val="0"/>
            <w:tcMar>
              <w:top w:w="0" w:type="dxa"/>
              <w:left w:w="0" w:type="dxa"/>
              <w:bottom w:w="0" w:type="dxa"/>
              <w:right w:w="0" w:type="dxa"/>
            </w:tcMar>
            <w:vAlign w:val="center"/>
          </w:tcPr>
          <w:p w14:paraId="370E130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593" w:type="dxa"/>
            <w:noWrap w:val="0"/>
            <w:tcMar>
              <w:top w:w="0" w:type="dxa"/>
              <w:left w:w="0" w:type="dxa"/>
              <w:bottom w:w="0" w:type="dxa"/>
              <w:right w:w="0" w:type="dxa"/>
            </w:tcMar>
            <w:vAlign w:val="center"/>
          </w:tcPr>
          <w:p w14:paraId="32C765B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2F3A5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9" w:hRule="atLeast"/>
          <w:jc w:val="center"/>
        </w:trPr>
        <w:tc>
          <w:tcPr>
            <w:tcW w:w="1030" w:type="dxa"/>
            <w:noWrap w:val="0"/>
            <w:tcMar>
              <w:top w:w="0" w:type="dxa"/>
              <w:left w:w="0" w:type="dxa"/>
              <w:bottom w:w="0" w:type="dxa"/>
              <w:right w:w="0" w:type="dxa"/>
            </w:tcMar>
            <w:vAlign w:val="center"/>
          </w:tcPr>
          <w:p w14:paraId="3F1D529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米家桥</w:t>
            </w:r>
          </w:p>
        </w:tc>
        <w:tc>
          <w:tcPr>
            <w:tcW w:w="903" w:type="dxa"/>
            <w:noWrap w:val="0"/>
            <w:tcMar>
              <w:top w:w="0" w:type="dxa"/>
              <w:left w:w="0" w:type="dxa"/>
              <w:bottom w:w="0" w:type="dxa"/>
              <w:right w:w="0" w:type="dxa"/>
            </w:tcMar>
            <w:vAlign w:val="center"/>
          </w:tcPr>
          <w:p w14:paraId="77FA048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船山区</w:t>
            </w:r>
          </w:p>
        </w:tc>
        <w:tc>
          <w:tcPr>
            <w:tcW w:w="1044" w:type="dxa"/>
            <w:noWrap w:val="0"/>
            <w:tcMar>
              <w:top w:w="0" w:type="dxa"/>
              <w:left w:w="0" w:type="dxa"/>
              <w:bottom w:w="0" w:type="dxa"/>
              <w:right w:w="0" w:type="dxa"/>
            </w:tcMar>
            <w:vAlign w:val="center"/>
          </w:tcPr>
          <w:p w14:paraId="77B7477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省控（趋势科研）</w:t>
            </w:r>
          </w:p>
        </w:tc>
        <w:tc>
          <w:tcPr>
            <w:tcW w:w="518" w:type="dxa"/>
            <w:noWrap w:val="0"/>
            <w:tcMar>
              <w:top w:w="0" w:type="dxa"/>
              <w:left w:w="0" w:type="dxa"/>
              <w:bottom w:w="0" w:type="dxa"/>
              <w:right w:w="0" w:type="dxa"/>
            </w:tcMar>
            <w:vAlign w:val="center"/>
          </w:tcPr>
          <w:p w14:paraId="32CF30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Ⅲ</w:t>
            </w:r>
          </w:p>
        </w:tc>
        <w:tc>
          <w:tcPr>
            <w:tcW w:w="724" w:type="dxa"/>
            <w:noWrap w:val="0"/>
            <w:tcMar>
              <w:top w:w="0" w:type="dxa"/>
              <w:left w:w="0" w:type="dxa"/>
              <w:bottom w:w="0" w:type="dxa"/>
              <w:right w:w="0" w:type="dxa"/>
            </w:tcMar>
            <w:vAlign w:val="center"/>
          </w:tcPr>
          <w:p w14:paraId="5833EBA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724" w:type="dxa"/>
            <w:noWrap w:val="0"/>
            <w:tcMar>
              <w:top w:w="0" w:type="dxa"/>
              <w:left w:w="0" w:type="dxa"/>
              <w:bottom w:w="0" w:type="dxa"/>
              <w:right w:w="0" w:type="dxa"/>
            </w:tcMar>
            <w:vAlign w:val="center"/>
          </w:tcPr>
          <w:p w14:paraId="37EC310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Ⅱ</w:t>
            </w:r>
          </w:p>
        </w:tc>
        <w:tc>
          <w:tcPr>
            <w:tcW w:w="1541" w:type="dxa"/>
            <w:noWrap w:val="0"/>
            <w:tcMar>
              <w:top w:w="0" w:type="dxa"/>
              <w:left w:w="0" w:type="dxa"/>
              <w:bottom w:w="0" w:type="dxa"/>
              <w:right w:w="0" w:type="dxa"/>
            </w:tcMar>
            <w:vAlign w:val="center"/>
          </w:tcPr>
          <w:p w14:paraId="78F65A2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593" w:type="dxa"/>
            <w:noWrap w:val="0"/>
            <w:tcMar>
              <w:top w:w="0" w:type="dxa"/>
              <w:left w:w="0" w:type="dxa"/>
              <w:bottom w:w="0" w:type="dxa"/>
              <w:right w:w="0" w:type="dxa"/>
            </w:tcMar>
            <w:vAlign w:val="center"/>
          </w:tcPr>
          <w:p w14:paraId="63E12B7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16E5C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99" w:hRule="atLeast"/>
          <w:jc w:val="center"/>
        </w:trPr>
        <w:tc>
          <w:tcPr>
            <w:tcW w:w="8077" w:type="dxa"/>
            <w:gridSpan w:val="8"/>
            <w:noWrap w:val="0"/>
            <w:tcMar>
              <w:top w:w="0" w:type="dxa"/>
              <w:left w:w="0" w:type="dxa"/>
              <w:bottom w:w="0" w:type="dxa"/>
              <w:right w:w="0" w:type="dxa"/>
            </w:tcMar>
            <w:vAlign w:val="top"/>
          </w:tcPr>
          <w:p w14:paraId="300038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注：1.地表水环境评价执行《地表水环境质量标准》（GB3838-2002）和《地表水环境质量评价办法（试行）》（环办</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22号）。</w:t>
            </w:r>
          </w:p>
          <w:p w14:paraId="426F93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2.21项评价指标为：pH、溶解氧、高锰酸盐指数、五日生化需氧量、氨氮、石油类、挥发酚、汞、铅、镉、阴离子表面活性剂、铬（六价）、氟化物、总磷、氰化物、硫化物、砷、化学需氧量、铜、锌、硒。</w:t>
            </w:r>
          </w:p>
          <w:p w14:paraId="4B6D90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3.超过Ⅲ类水质标准的指标为断面污染指标，取超标倍数最大的前三项为主要污染指标。</w:t>
            </w:r>
          </w:p>
          <w:p w14:paraId="03D462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4．红江渡口、玉溪、跑马滩、大安、郪江口和梓江大桥6个国控断面采用国家反馈的采测分离数据（含部分市级监测数据）进行评价。</w:t>
            </w:r>
          </w:p>
        </w:tc>
      </w:tr>
    </w:tbl>
    <w:p w14:paraId="795D55AB">
      <w:pPr>
        <w:pStyle w:val="11"/>
        <w:spacing w:before="0" w:after="0" w:line="360" w:lineRule="auto"/>
        <w:ind w:right="0"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根据上表可知，区域地表水（郪江口监测断面）环境能满足《地表水环境质量标准》（GB3838-2002）中的III类水域标准要求。因此，项目所在区域地表水环境质量现状良好。</w:t>
      </w:r>
    </w:p>
    <w:p w14:paraId="4BB4366C">
      <w:pPr>
        <w:pStyle w:val="7"/>
        <w:bidi w:val="0"/>
        <w:outlineLvl w:val="1"/>
        <w:rPr>
          <w:rFonts w:hint="default" w:ascii="Times New Roman" w:hAnsi="Times New Roman" w:eastAsia="宋体" w:cs="Times New Roman"/>
          <w:color w:val="auto"/>
        </w:rPr>
      </w:pPr>
      <w:bookmarkStart w:id="1664" w:name="_Toc28712"/>
      <w:bookmarkEnd w:id="1664"/>
      <w:bookmarkStart w:id="1665" w:name="_Toc2351"/>
      <w:bookmarkEnd w:id="1665"/>
      <w:bookmarkStart w:id="1666" w:name="_Toc18407"/>
      <w:bookmarkEnd w:id="1666"/>
      <w:bookmarkStart w:id="1667" w:name="_Toc7897"/>
      <w:bookmarkEnd w:id="1667"/>
      <w:bookmarkStart w:id="1668" w:name="_Toc9906"/>
      <w:bookmarkEnd w:id="1668"/>
      <w:bookmarkStart w:id="1669" w:name="_Toc21381"/>
      <w:bookmarkEnd w:id="1669"/>
      <w:bookmarkStart w:id="1670" w:name="_Toc8643"/>
      <w:bookmarkEnd w:id="1670"/>
      <w:bookmarkStart w:id="1671" w:name="_Toc19715"/>
      <w:bookmarkEnd w:id="1671"/>
      <w:bookmarkStart w:id="1672" w:name="_Toc13858"/>
      <w:bookmarkEnd w:id="1672"/>
      <w:bookmarkStart w:id="1673" w:name="_Toc5721"/>
      <w:bookmarkEnd w:id="1673"/>
      <w:bookmarkStart w:id="1674" w:name="_Toc11365"/>
      <w:bookmarkEnd w:id="1674"/>
      <w:bookmarkStart w:id="1675" w:name="_Toc27813"/>
      <w:bookmarkEnd w:id="1675"/>
      <w:bookmarkStart w:id="1676" w:name="_Toc13666"/>
      <w:bookmarkStart w:id="1677" w:name="_Toc39"/>
      <w:bookmarkStart w:id="1678" w:name="_Toc7986"/>
      <w:r>
        <w:rPr>
          <w:rFonts w:hint="default" w:ascii="Times New Roman" w:hAnsi="Times New Roman" w:eastAsia="宋体" w:cs="Times New Roman"/>
          <w:color w:val="auto"/>
          <w:lang w:val="en-US" w:eastAsia="zh-CN"/>
        </w:rPr>
        <w:t>5.1</w:t>
      </w:r>
      <w:r>
        <w:rPr>
          <w:rFonts w:hint="default" w:ascii="Times New Roman" w:hAnsi="Times New Roman" w:eastAsia="宋体" w:cs="Times New Roman"/>
          <w:color w:val="auto"/>
        </w:rPr>
        <w:t>.3声环境现状调查</w:t>
      </w:r>
      <w:bookmarkEnd w:id="1676"/>
      <w:bookmarkEnd w:id="1677"/>
      <w:bookmarkEnd w:id="1678"/>
    </w:p>
    <w:p w14:paraId="588F757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成都成检环境检测有限公司</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于</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2022年10月31日-11月6</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日对项目地环境噪声开展了现场检测工作，监测 2 天，每天昼间、夜间各监测1次。监测方法按《声环境质量标准》（GB3096-2008）测试各个测点的等效连续 A 声级。</w:t>
      </w:r>
    </w:p>
    <w:p w14:paraId="3392334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679" w:name="_Toc14155"/>
      <w:bookmarkStart w:id="1680" w:name="_Toc6509"/>
      <w:bookmarkStart w:id="1681" w:name="_Toc5429"/>
      <w:bookmarkStart w:id="1682" w:name="_Toc1755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（1）监测布点</w:t>
      </w:r>
      <w:bookmarkEnd w:id="1679"/>
      <w:bookmarkEnd w:id="1680"/>
      <w:bookmarkEnd w:id="1681"/>
      <w:bookmarkEnd w:id="1682"/>
    </w:p>
    <w:p w14:paraId="378A4813">
      <w:pPr>
        <w:keepNext w:val="0"/>
        <w:keepLines w:val="0"/>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表5.1-5 噪声监测点位</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600"/>
        <w:gridCol w:w="1213"/>
        <w:gridCol w:w="1319"/>
      </w:tblGrid>
      <w:tr w14:paraId="63E9B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D7D7D7" w:themeFill="background1" w:themeFillShade="D8"/>
            <w:vAlign w:val="center"/>
          </w:tcPr>
          <w:p w14:paraId="52DBF39E">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 w:val="21"/>
                <w:szCs w:val="21"/>
                <w:vertAlign w:val="baseline"/>
                <w:lang w:val="en-US" w:eastAsia="zh-CN"/>
              </w:rPr>
              <w:t>检测类别</w:t>
            </w:r>
          </w:p>
        </w:tc>
        <w:tc>
          <w:tcPr>
            <w:tcW w:w="4600" w:type="dxa"/>
            <w:shd w:val="clear" w:color="auto" w:fill="D7D7D7" w:themeFill="background1" w:themeFillShade="D8"/>
            <w:vAlign w:val="center"/>
          </w:tcPr>
          <w:p w14:paraId="32DA7B9B">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 w:val="21"/>
                <w:szCs w:val="21"/>
                <w:vertAlign w:val="baseline"/>
                <w:lang w:val="en-US" w:eastAsia="zh-CN"/>
              </w:rPr>
              <w:t>检测点位</w:t>
            </w:r>
          </w:p>
        </w:tc>
        <w:tc>
          <w:tcPr>
            <w:tcW w:w="1213" w:type="dxa"/>
            <w:shd w:val="clear" w:color="auto" w:fill="D7D7D7" w:themeFill="background1" w:themeFillShade="D8"/>
            <w:vAlign w:val="center"/>
          </w:tcPr>
          <w:p w14:paraId="54DBC30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 w:val="21"/>
                <w:szCs w:val="21"/>
                <w:vertAlign w:val="baseline"/>
                <w:lang w:val="en-US" w:eastAsia="zh-CN"/>
              </w:rPr>
              <w:t>检测项目</w:t>
            </w:r>
          </w:p>
        </w:tc>
        <w:tc>
          <w:tcPr>
            <w:tcW w:w="1319" w:type="dxa"/>
            <w:shd w:val="clear" w:color="auto" w:fill="D7D7D7" w:themeFill="background1" w:themeFillShade="D8"/>
            <w:vAlign w:val="center"/>
          </w:tcPr>
          <w:p w14:paraId="3879E367">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 w:val="21"/>
                <w:szCs w:val="21"/>
                <w:vertAlign w:val="baseline"/>
                <w:lang w:val="en-US" w:eastAsia="zh-CN"/>
              </w:rPr>
              <w:t>检测频次</w:t>
            </w:r>
          </w:p>
        </w:tc>
      </w:tr>
      <w:tr w14:paraId="56280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1D233AA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噪声</w:t>
            </w:r>
          </w:p>
        </w:tc>
        <w:tc>
          <w:tcPr>
            <w:tcW w:w="4600" w:type="dxa"/>
            <w:vAlign w:val="center"/>
          </w:tcPr>
          <w:p w14:paraId="1B9AAA35">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N1项目所在地西侧厂界外1m高1.2m处</w:t>
            </w:r>
          </w:p>
        </w:tc>
        <w:tc>
          <w:tcPr>
            <w:tcW w:w="1213" w:type="dxa"/>
            <w:vMerge w:val="restart"/>
            <w:vAlign w:val="center"/>
          </w:tcPr>
          <w:p w14:paraId="4646839A">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环境噪声</w:t>
            </w:r>
          </w:p>
        </w:tc>
        <w:tc>
          <w:tcPr>
            <w:tcW w:w="1319" w:type="dxa"/>
            <w:vMerge w:val="restart"/>
            <w:vAlign w:val="center"/>
          </w:tcPr>
          <w:p w14:paraId="149A83DC">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检测2天</w:t>
            </w:r>
          </w:p>
          <w:p w14:paraId="2D5AC28E">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昼夜各1次</w:t>
            </w:r>
          </w:p>
        </w:tc>
      </w:tr>
      <w:tr w14:paraId="01F19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04C0CECE">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6E170147">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N2项目所在地西北侧厂界外1m高1.2m处</w:t>
            </w:r>
          </w:p>
        </w:tc>
        <w:tc>
          <w:tcPr>
            <w:tcW w:w="1213" w:type="dxa"/>
            <w:vMerge w:val="continue"/>
            <w:vAlign w:val="center"/>
          </w:tcPr>
          <w:p w14:paraId="1843191E">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6ED3FCC9">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46AE3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778B3BF2">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34E0794B">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N3项目所在地北侧厂界外1m高1.2m处</w:t>
            </w:r>
          </w:p>
        </w:tc>
        <w:tc>
          <w:tcPr>
            <w:tcW w:w="1213" w:type="dxa"/>
            <w:vMerge w:val="continue"/>
            <w:vAlign w:val="center"/>
          </w:tcPr>
          <w:p w14:paraId="56051958">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0E1B5AB4">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2F7F96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43BF1B0D">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05977E8A">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N4项目所在地东北侧厂界外1m高1.2m处</w:t>
            </w:r>
          </w:p>
        </w:tc>
        <w:tc>
          <w:tcPr>
            <w:tcW w:w="1213" w:type="dxa"/>
            <w:vMerge w:val="continue"/>
            <w:vAlign w:val="center"/>
          </w:tcPr>
          <w:p w14:paraId="1CB7D56C">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76BD036D">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10BCD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4BD6FB29">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24C4A659">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N5项目所在地东侧厂界外1m高1.2m处</w:t>
            </w:r>
          </w:p>
        </w:tc>
        <w:tc>
          <w:tcPr>
            <w:tcW w:w="1213" w:type="dxa"/>
            <w:vMerge w:val="continue"/>
            <w:vAlign w:val="center"/>
          </w:tcPr>
          <w:p w14:paraId="7C5E95A7">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703C64E9">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46A65F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7FD6A9BE">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401F7C33">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N6项目所在地南侧厂界外1m高1.2m处</w:t>
            </w:r>
          </w:p>
        </w:tc>
        <w:tc>
          <w:tcPr>
            <w:tcW w:w="1213" w:type="dxa"/>
            <w:vMerge w:val="continue"/>
            <w:vAlign w:val="center"/>
          </w:tcPr>
          <w:p w14:paraId="53E5CAF5">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63DEF0E6">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7CCED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4E092166">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079E0D5C">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N7项目所在地西侧居民小区外1m高1.2m处</w:t>
            </w:r>
          </w:p>
        </w:tc>
        <w:tc>
          <w:tcPr>
            <w:tcW w:w="1213" w:type="dxa"/>
            <w:vMerge w:val="continue"/>
            <w:vAlign w:val="center"/>
          </w:tcPr>
          <w:p w14:paraId="2640D1E2">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0147AD45">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2E7F19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10D5C92C">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341D2E3F">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val="0"/>
                <w:bCs w:val="0"/>
                <w:color w:val="auto"/>
                <w:sz w:val="21"/>
                <w:szCs w:val="21"/>
                <w:vertAlign w:val="baseline"/>
                <w:lang w:val="en-US" w:eastAsia="zh-CN"/>
              </w:rPr>
              <w:t>N8项目所在地西南侧居民小区外1m高1.2m处</w:t>
            </w:r>
          </w:p>
        </w:tc>
        <w:tc>
          <w:tcPr>
            <w:tcW w:w="1213" w:type="dxa"/>
            <w:vMerge w:val="continue"/>
            <w:vAlign w:val="center"/>
          </w:tcPr>
          <w:p w14:paraId="3238A96D">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3F3135B6">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r w14:paraId="72EC4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6EC8BAAA">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4600" w:type="dxa"/>
            <w:vAlign w:val="center"/>
          </w:tcPr>
          <w:p w14:paraId="56ACD764">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N9项目所在地南侧居民门外1m高1.2m处</w:t>
            </w:r>
          </w:p>
        </w:tc>
        <w:tc>
          <w:tcPr>
            <w:tcW w:w="1213" w:type="dxa"/>
            <w:vMerge w:val="continue"/>
            <w:vAlign w:val="center"/>
          </w:tcPr>
          <w:p w14:paraId="0F3D119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c>
          <w:tcPr>
            <w:tcW w:w="1319" w:type="dxa"/>
            <w:vMerge w:val="continue"/>
            <w:vAlign w:val="center"/>
          </w:tcPr>
          <w:p w14:paraId="4860D32C">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p>
        </w:tc>
      </w:tr>
    </w:tbl>
    <w:p w14:paraId="0E5B809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outlineLvl w:val="2"/>
        <w:rPr>
          <w:rFonts w:hint="default" w:ascii="Times New Roman" w:hAnsi="Times New Roman" w:eastAsia="宋体" w:cs="Times New Roman"/>
          <w:color w:val="auto"/>
          <w:spacing w:val="2"/>
          <w:kern w:val="2"/>
          <w:sz w:val="21"/>
          <w:szCs w:val="24"/>
          <w:lang w:val="en-US" w:eastAsia="zh-CN" w:bidi="ar-SA"/>
        </w:rPr>
      </w:pPr>
      <w:bookmarkStart w:id="1683" w:name="_Toc4015"/>
      <w:bookmarkStart w:id="1684" w:name="_Toc2880"/>
      <w:bookmarkStart w:id="1685" w:name="_Toc402"/>
      <w:bookmarkStart w:id="1686" w:name="_Toc1626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（2）监测结果</w:t>
      </w:r>
      <w:bookmarkEnd w:id="1683"/>
      <w:bookmarkEnd w:id="1684"/>
      <w:bookmarkEnd w:id="1685"/>
      <w:bookmarkEnd w:id="1686"/>
    </w:p>
    <w:p w14:paraId="3212E50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i w:val="0"/>
          <w:iCs w:val="0"/>
          <w:caps w:val="0"/>
          <w:color w:val="auto"/>
          <w:spacing w:val="0"/>
          <w:sz w:val="21"/>
          <w:szCs w:val="21"/>
          <w:shd w:val="clear" w:fill="FFFFFF"/>
        </w:rPr>
        <w:t>表</w:t>
      </w:r>
      <w:r>
        <w:rPr>
          <w:rFonts w:hint="default" w:ascii="Times New Roman" w:hAnsi="Times New Roman" w:eastAsia="宋体" w:cs="Times New Roman"/>
          <w:b/>
          <w:bCs/>
          <w:i w:val="0"/>
          <w:iCs w:val="0"/>
          <w:caps w:val="0"/>
          <w:color w:val="auto"/>
          <w:spacing w:val="0"/>
          <w:sz w:val="21"/>
          <w:szCs w:val="21"/>
          <w:shd w:val="clear" w:fill="FFFFFF"/>
          <w:lang w:val="en-US" w:eastAsia="zh-CN"/>
        </w:rPr>
        <w:t>5.1-6</w:t>
      </w:r>
      <w:r>
        <w:rPr>
          <w:rFonts w:hint="default" w:ascii="Times New Roman" w:hAnsi="Times New Roman" w:eastAsia="宋体" w:cs="Times New Roman"/>
          <w:b/>
          <w:bCs/>
          <w:i w:val="0"/>
          <w:iCs w:val="0"/>
          <w:caps w:val="0"/>
          <w:color w:val="auto"/>
          <w:spacing w:val="0"/>
          <w:sz w:val="21"/>
          <w:szCs w:val="21"/>
          <w:shd w:val="clear" w:fill="FFFFFF"/>
        </w:rPr>
        <w:t>声环境现状监测结果</w:t>
      </w:r>
      <w:r>
        <w:rPr>
          <w:rFonts w:hint="default" w:ascii="Times New Roman" w:hAnsi="Times New Roman" w:eastAsia="宋体" w:cs="Times New Roman"/>
          <w:b/>
          <w:bCs/>
          <w:i w:val="0"/>
          <w:iCs w:val="0"/>
          <w:caps w:val="0"/>
          <w:color w:val="auto"/>
          <w:spacing w:val="0"/>
          <w:sz w:val="21"/>
          <w:szCs w:val="21"/>
          <w:shd w:val="clear" w:fill="FFFFFF"/>
          <w:lang w:val="en-US" w:eastAsia="zh-CN"/>
        </w:rPr>
        <w:t>表</w:t>
      </w:r>
      <w:r>
        <w:rPr>
          <w:rFonts w:hint="default" w:ascii="Times New Roman" w:hAnsi="Times New Roman" w:eastAsia="宋体" w:cs="Times New Roman"/>
          <w:b/>
          <w:bCs/>
          <w:i w:val="0"/>
          <w:iCs w:val="0"/>
          <w:caps w:val="0"/>
          <w:color w:val="auto"/>
          <w:spacing w:val="0"/>
          <w:sz w:val="21"/>
          <w:szCs w:val="21"/>
          <w:shd w:val="clear" w:fill="FFFFFF"/>
        </w:rPr>
        <w:t>（单位：dB（A））</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061"/>
        <w:gridCol w:w="4519"/>
        <w:gridCol w:w="888"/>
        <w:gridCol w:w="844"/>
      </w:tblGrid>
      <w:tr w14:paraId="2B739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restart"/>
            <w:shd w:val="clear" w:color="auto" w:fill="D7D7D7" w:themeFill="background1" w:themeFillShade="D8"/>
            <w:vAlign w:val="center"/>
          </w:tcPr>
          <w:p w14:paraId="45D0C9FE">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检测时间</w:t>
            </w:r>
          </w:p>
        </w:tc>
        <w:tc>
          <w:tcPr>
            <w:tcW w:w="1061" w:type="dxa"/>
            <w:vMerge w:val="restart"/>
            <w:shd w:val="clear" w:color="auto" w:fill="D7D7D7" w:themeFill="background1" w:themeFillShade="D8"/>
            <w:vAlign w:val="center"/>
          </w:tcPr>
          <w:p w14:paraId="0962E63D">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检测项目</w:t>
            </w:r>
          </w:p>
        </w:tc>
        <w:tc>
          <w:tcPr>
            <w:tcW w:w="4519" w:type="dxa"/>
            <w:vMerge w:val="restart"/>
            <w:shd w:val="clear" w:color="auto" w:fill="D7D7D7" w:themeFill="background1" w:themeFillShade="D8"/>
            <w:vAlign w:val="center"/>
          </w:tcPr>
          <w:p w14:paraId="57BFD684">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检测点位</w:t>
            </w:r>
          </w:p>
        </w:tc>
        <w:tc>
          <w:tcPr>
            <w:tcW w:w="1732" w:type="dxa"/>
            <w:gridSpan w:val="2"/>
            <w:shd w:val="clear" w:color="auto" w:fill="D7D7D7" w:themeFill="background1" w:themeFillShade="D8"/>
            <w:vAlign w:val="center"/>
          </w:tcPr>
          <w:p w14:paraId="1A79D5CE">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检测结果</w:t>
            </w:r>
          </w:p>
        </w:tc>
      </w:tr>
      <w:tr w14:paraId="26860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4" w:type="dxa"/>
            <w:vMerge w:val="continue"/>
            <w:shd w:val="clear" w:color="auto" w:fill="D7D7D7" w:themeFill="background1" w:themeFillShade="D8"/>
            <w:vAlign w:val="center"/>
          </w:tcPr>
          <w:p w14:paraId="7F2EDCE9">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shd w:val="clear" w:color="auto" w:fill="D7D7D7" w:themeFill="background1" w:themeFillShade="D8"/>
            <w:vAlign w:val="center"/>
          </w:tcPr>
          <w:p w14:paraId="608F119B">
            <w:pPr>
              <w:jc w:val="center"/>
              <w:rPr>
                <w:rFonts w:hint="default" w:ascii="Times New Roman" w:hAnsi="Times New Roman" w:eastAsia="宋体" w:cs="Times New Roman"/>
                <w:b w:val="0"/>
                <w:bCs w:val="0"/>
                <w:color w:val="auto"/>
                <w:vertAlign w:val="baseline"/>
                <w:lang w:val="en-US" w:eastAsia="zh-CN"/>
              </w:rPr>
            </w:pPr>
          </w:p>
        </w:tc>
        <w:tc>
          <w:tcPr>
            <w:tcW w:w="4519" w:type="dxa"/>
            <w:vMerge w:val="continue"/>
            <w:shd w:val="clear" w:color="auto" w:fill="D7D7D7" w:themeFill="background1" w:themeFillShade="D8"/>
            <w:vAlign w:val="center"/>
          </w:tcPr>
          <w:p w14:paraId="4B42E19A">
            <w:pPr>
              <w:jc w:val="center"/>
              <w:rPr>
                <w:rFonts w:hint="default" w:ascii="Times New Roman" w:hAnsi="Times New Roman" w:eastAsia="宋体" w:cs="Times New Roman"/>
                <w:b w:val="0"/>
                <w:bCs w:val="0"/>
                <w:color w:val="auto"/>
                <w:vertAlign w:val="baseline"/>
                <w:lang w:val="en-US" w:eastAsia="zh-CN"/>
              </w:rPr>
            </w:pPr>
          </w:p>
        </w:tc>
        <w:tc>
          <w:tcPr>
            <w:tcW w:w="888" w:type="dxa"/>
            <w:shd w:val="clear" w:color="auto" w:fill="D7D7D7" w:themeFill="background1" w:themeFillShade="D8"/>
            <w:vAlign w:val="center"/>
          </w:tcPr>
          <w:p w14:paraId="17A431A2">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昼间</w:t>
            </w:r>
          </w:p>
        </w:tc>
        <w:tc>
          <w:tcPr>
            <w:tcW w:w="844" w:type="dxa"/>
            <w:shd w:val="clear" w:color="auto" w:fill="D7D7D7" w:themeFill="background1" w:themeFillShade="D8"/>
            <w:vAlign w:val="center"/>
          </w:tcPr>
          <w:p w14:paraId="0B43E98B">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夜间</w:t>
            </w:r>
          </w:p>
        </w:tc>
      </w:tr>
      <w:tr w14:paraId="6A6E9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2F84409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2022.10.31</w:t>
            </w:r>
          </w:p>
        </w:tc>
        <w:tc>
          <w:tcPr>
            <w:tcW w:w="1061" w:type="dxa"/>
            <w:vMerge w:val="restart"/>
            <w:vAlign w:val="center"/>
          </w:tcPr>
          <w:p w14:paraId="5843A58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环境噪声</w:t>
            </w:r>
          </w:p>
        </w:tc>
        <w:tc>
          <w:tcPr>
            <w:tcW w:w="4519" w:type="dxa"/>
            <w:vAlign w:val="center"/>
          </w:tcPr>
          <w:p w14:paraId="40A9AAD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N1项目所在地西侧厂界外1m高1.2m处</w:t>
            </w:r>
          </w:p>
        </w:tc>
        <w:tc>
          <w:tcPr>
            <w:tcW w:w="888" w:type="dxa"/>
            <w:vAlign w:val="center"/>
          </w:tcPr>
          <w:p w14:paraId="1917505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57</w:t>
            </w:r>
          </w:p>
        </w:tc>
        <w:tc>
          <w:tcPr>
            <w:tcW w:w="844" w:type="dxa"/>
            <w:vAlign w:val="center"/>
          </w:tcPr>
          <w:p w14:paraId="7270867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46</w:t>
            </w:r>
          </w:p>
        </w:tc>
      </w:tr>
      <w:tr w14:paraId="71F658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96B285F">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27EBC0B2">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6324F9B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N2项目所在地西北侧厂界外1m高1.2m处</w:t>
            </w:r>
          </w:p>
        </w:tc>
        <w:tc>
          <w:tcPr>
            <w:tcW w:w="888" w:type="dxa"/>
            <w:vAlign w:val="center"/>
          </w:tcPr>
          <w:p w14:paraId="339C04C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54</w:t>
            </w:r>
          </w:p>
        </w:tc>
        <w:tc>
          <w:tcPr>
            <w:tcW w:w="844" w:type="dxa"/>
            <w:vAlign w:val="center"/>
          </w:tcPr>
          <w:p w14:paraId="39A2093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46</w:t>
            </w:r>
          </w:p>
        </w:tc>
      </w:tr>
      <w:tr w14:paraId="7FDD0D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5A4ADEEA">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3B4DC0A2">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47208C0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N3项目所在地北侧厂界外1m高1.2m处</w:t>
            </w:r>
          </w:p>
        </w:tc>
        <w:tc>
          <w:tcPr>
            <w:tcW w:w="888" w:type="dxa"/>
            <w:vAlign w:val="center"/>
          </w:tcPr>
          <w:p w14:paraId="6F51F6B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57</w:t>
            </w:r>
          </w:p>
        </w:tc>
        <w:tc>
          <w:tcPr>
            <w:tcW w:w="844" w:type="dxa"/>
            <w:vAlign w:val="center"/>
          </w:tcPr>
          <w:p w14:paraId="0C2AE11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47</w:t>
            </w:r>
          </w:p>
        </w:tc>
      </w:tr>
      <w:tr w14:paraId="78D2F8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C1B6840">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1A33F257">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61E726B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N4项目所在地东北侧厂界外1m高1.2m处</w:t>
            </w:r>
          </w:p>
        </w:tc>
        <w:tc>
          <w:tcPr>
            <w:tcW w:w="888" w:type="dxa"/>
            <w:vAlign w:val="center"/>
          </w:tcPr>
          <w:p w14:paraId="4FBB918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51</w:t>
            </w:r>
          </w:p>
        </w:tc>
        <w:tc>
          <w:tcPr>
            <w:tcW w:w="844" w:type="dxa"/>
            <w:vAlign w:val="center"/>
          </w:tcPr>
          <w:p w14:paraId="05F01FC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060D8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417C0596">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06E8E937">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4F23AEB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N5项目所在地东侧厂界外1m高1.2m处</w:t>
            </w:r>
          </w:p>
        </w:tc>
        <w:tc>
          <w:tcPr>
            <w:tcW w:w="888" w:type="dxa"/>
            <w:vAlign w:val="center"/>
          </w:tcPr>
          <w:p w14:paraId="38CAFCF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50</w:t>
            </w:r>
          </w:p>
        </w:tc>
        <w:tc>
          <w:tcPr>
            <w:tcW w:w="844" w:type="dxa"/>
            <w:vAlign w:val="center"/>
          </w:tcPr>
          <w:p w14:paraId="0394D74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45</w:t>
            </w:r>
          </w:p>
        </w:tc>
      </w:tr>
      <w:tr w14:paraId="5ADF1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19EEE51">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17153579">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2F26330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N6项目所在地南侧厂界外1m高1.2m处</w:t>
            </w:r>
          </w:p>
        </w:tc>
        <w:tc>
          <w:tcPr>
            <w:tcW w:w="888" w:type="dxa"/>
            <w:vAlign w:val="center"/>
          </w:tcPr>
          <w:p w14:paraId="43E3207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53</w:t>
            </w:r>
          </w:p>
        </w:tc>
        <w:tc>
          <w:tcPr>
            <w:tcW w:w="844" w:type="dxa"/>
            <w:vAlign w:val="center"/>
          </w:tcPr>
          <w:p w14:paraId="485AA6D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43</w:t>
            </w:r>
          </w:p>
        </w:tc>
      </w:tr>
      <w:tr w14:paraId="2FA4D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6B33DE6">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55744651">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7471822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N7项目所在地西侧居民小区外1m高1.2m处</w:t>
            </w:r>
          </w:p>
        </w:tc>
        <w:tc>
          <w:tcPr>
            <w:tcW w:w="888" w:type="dxa"/>
            <w:vAlign w:val="center"/>
          </w:tcPr>
          <w:p w14:paraId="7CB73C0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53</w:t>
            </w:r>
          </w:p>
        </w:tc>
        <w:tc>
          <w:tcPr>
            <w:tcW w:w="844" w:type="dxa"/>
            <w:vAlign w:val="center"/>
          </w:tcPr>
          <w:p w14:paraId="2A8F92D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3E390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5A16F71">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4FEDDD97">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217AAA2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N8项目所在地西南侧居民小区外1m高1.2m处</w:t>
            </w:r>
          </w:p>
        </w:tc>
        <w:tc>
          <w:tcPr>
            <w:tcW w:w="888" w:type="dxa"/>
            <w:vAlign w:val="center"/>
          </w:tcPr>
          <w:p w14:paraId="1655DE9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53</w:t>
            </w:r>
          </w:p>
        </w:tc>
        <w:tc>
          <w:tcPr>
            <w:tcW w:w="844" w:type="dxa"/>
            <w:vAlign w:val="center"/>
          </w:tcPr>
          <w:p w14:paraId="0B80F9F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43</w:t>
            </w:r>
          </w:p>
        </w:tc>
      </w:tr>
      <w:tr w14:paraId="07CD40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66A41A2A">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58E8767A">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6FE1E42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N9项目所在地南侧居民门外1m高1.2m处</w:t>
            </w:r>
          </w:p>
        </w:tc>
        <w:tc>
          <w:tcPr>
            <w:tcW w:w="888" w:type="dxa"/>
            <w:vAlign w:val="center"/>
          </w:tcPr>
          <w:p w14:paraId="22AF9BA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54</w:t>
            </w:r>
          </w:p>
        </w:tc>
        <w:tc>
          <w:tcPr>
            <w:tcW w:w="844" w:type="dxa"/>
            <w:vAlign w:val="center"/>
          </w:tcPr>
          <w:p w14:paraId="17F0C5F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44</w:t>
            </w:r>
          </w:p>
        </w:tc>
      </w:tr>
      <w:tr w14:paraId="1B80B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84" w:type="dxa"/>
            <w:gridSpan w:val="3"/>
            <w:vAlign w:val="center"/>
          </w:tcPr>
          <w:p w14:paraId="6B368CC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标准值</w:t>
            </w:r>
          </w:p>
        </w:tc>
        <w:tc>
          <w:tcPr>
            <w:tcW w:w="888" w:type="dxa"/>
            <w:vAlign w:val="center"/>
          </w:tcPr>
          <w:p w14:paraId="683AB77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60</w:t>
            </w:r>
          </w:p>
        </w:tc>
        <w:tc>
          <w:tcPr>
            <w:tcW w:w="844" w:type="dxa"/>
            <w:vAlign w:val="center"/>
          </w:tcPr>
          <w:p w14:paraId="1803026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50</w:t>
            </w:r>
          </w:p>
        </w:tc>
      </w:tr>
      <w:tr w14:paraId="38C35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298E060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2022.11.01</w:t>
            </w:r>
          </w:p>
        </w:tc>
        <w:tc>
          <w:tcPr>
            <w:tcW w:w="1061" w:type="dxa"/>
            <w:vMerge w:val="restart"/>
            <w:vAlign w:val="center"/>
          </w:tcPr>
          <w:p w14:paraId="4B1A7FB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环境噪声</w:t>
            </w:r>
          </w:p>
        </w:tc>
        <w:tc>
          <w:tcPr>
            <w:tcW w:w="4519" w:type="dxa"/>
            <w:vAlign w:val="center"/>
          </w:tcPr>
          <w:p w14:paraId="3EBAE66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N1项目所在地西侧厂界外1m高1.2m处</w:t>
            </w:r>
          </w:p>
        </w:tc>
        <w:tc>
          <w:tcPr>
            <w:tcW w:w="888" w:type="dxa"/>
            <w:vAlign w:val="center"/>
          </w:tcPr>
          <w:p w14:paraId="5D895FB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57</w:t>
            </w:r>
          </w:p>
        </w:tc>
        <w:tc>
          <w:tcPr>
            <w:tcW w:w="844" w:type="dxa"/>
            <w:vAlign w:val="center"/>
          </w:tcPr>
          <w:p w14:paraId="36FE898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47</w:t>
            </w:r>
          </w:p>
        </w:tc>
      </w:tr>
      <w:tr w14:paraId="62F6F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2FECEEC6">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1A4C8AE9">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38A756C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N2项目所在地西北侧厂界外1m高1.2m处</w:t>
            </w:r>
          </w:p>
        </w:tc>
        <w:tc>
          <w:tcPr>
            <w:tcW w:w="888" w:type="dxa"/>
            <w:vAlign w:val="center"/>
          </w:tcPr>
          <w:p w14:paraId="6390E70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57</w:t>
            </w:r>
          </w:p>
        </w:tc>
        <w:tc>
          <w:tcPr>
            <w:tcW w:w="844" w:type="dxa"/>
            <w:vAlign w:val="center"/>
          </w:tcPr>
          <w:p w14:paraId="045347B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49</w:t>
            </w:r>
          </w:p>
        </w:tc>
      </w:tr>
      <w:tr w14:paraId="024FD4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23E51AE9">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0C59A51F">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3A4615E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N3项目所在地北侧厂界外1m高1.2m处</w:t>
            </w:r>
          </w:p>
        </w:tc>
        <w:tc>
          <w:tcPr>
            <w:tcW w:w="888" w:type="dxa"/>
            <w:vAlign w:val="center"/>
          </w:tcPr>
          <w:p w14:paraId="5257794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56</w:t>
            </w:r>
          </w:p>
        </w:tc>
        <w:tc>
          <w:tcPr>
            <w:tcW w:w="844" w:type="dxa"/>
            <w:vAlign w:val="center"/>
          </w:tcPr>
          <w:p w14:paraId="4CE3329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4E70A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C64032A">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0109A3BE">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18C45D8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N4项目所在地东北侧厂界外1m高1.2m处</w:t>
            </w:r>
          </w:p>
        </w:tc>
        <w:tc>
          <w:tcPr>
            <w:tcW w:w="888" w:type="dxa"/>
            <w:vAlign w:val="center"/>
          </w:tcPr>
          <w:p w14:paraId="22C7056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56</w:t>
            </w:r>
          </w:p>
        </w:tc>
        <w:tc>
          <w:tcPr>
            <w:tcW w:w="844" w:type="dxa"/>
            <w:vAlign w:val="center"/>
          </w:tcPr>
          <w:p w14:paraId="7FF9EA6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2A472A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44DFE59E">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60C9A056">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037A296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N5项目所在地东侧厂界外1m高1.2m处</w:t>
            </w:r>
          </w:p>
        </w:tc>
        <w:tc>
          <w:tcPr>
            <w:tcW w:w="888" w:type="dxa"/>
            <w:vAlign w:val="center"/>
          </w:tcPr>
          <w:p w14:paraId="0546B4C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58</w:t>
            </w:r>
          </w:p>
        </w:tc>
        <w:tc>
          <w:tcPr>
            <w:tcW w:w="844" w:type="dxa"/>
            <w:vAlign w:val="center"/>
          </w:tcPr>
          <w:p w14:paraId="55AA2FC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18011E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67DFC902">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61414D43">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264BDC5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N6项目所在地南侧厂界外1m高1.2m处</w:t>
            </w:r>
          </w:p>
        </w:tc>
        <w:tc>
          <w:tcPr>
            <w:tcW w:w="888" w:type="dxa"/>
            <w:vAlign w:val="center"/>
          </w:tcPr>
          <w:p w14:paraId="41B8AB7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54</w:t>
            </w:r>
          </w:p>
        </w:tc>
        <w:tc>
          <w:tcPr>
            <w:tcW w:w="844" w:type="dxa"/>
            <w:vAlign w:val="center"/>
          </w:tcPr>
          <w:p w14:paraId="253F852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2FF888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2BD4730">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391930E6">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1B00B98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N7项目所在地西侧居民小区外1m高1.2m处</w:t>
            </w:r>
          </w:p>
        </w:tc>
        <w:tc>
          <w:tcPr>
            <w:tcW w:w="888" w:type="dxa"/>
            <w:vAlign w:val="center"/>
          </w:tcPr>
          <w:p w14:paraId="275FADC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51</w:t>
            </w:r>
          </w:p>
        </w:tc>
        <w:tc>
          <w:tcPr>
            <w:tcW w:w="844" w:type="dxa"/>
            <w:vAlign w:val="center"/>
          </w:tcPr>
          <w:p w14:paraId="0823789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46</w:t>
            </w:r>
          </w:p>
        </w:tc>
      </w:tr>
      <w:tr w14:paraId="7D2A09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25DFF70">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08F04FEC">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58FA29E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N8项目所在地西南侧居民小区外1m高1.2m处</w:t>
            </w:r>
          </w:p>
        </w:tc>
        <w:tc>
          <w:tcPr>
            <w:tcW w:w="888" w:type="dxa"/>
            <w:vAlign w:val="center"/>
          </w:tcPr>
          <w:p w14:paraId="586D571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51</w:t>
            </w:r>
          </w:p>
        </w:tc>
        <w:tc>
          <w:tcPr>
            <w:tcW w:w="844" w:type="dxa"/>
            <w:vAlign w:val="center"/>
          </w:tcPr>
          <w:p w14:paraId="1F6B264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48</w:t>
            </w:r>
          </w:p>
        </w:tc>
      </w:tr>
      <w:tr w14:paraId="10DF4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AEFF1AB">
            <w:pPr>
              <w:jc w:val="center"/>
              <w:rPr>
                <w:rFonts w:hint="default" w:ascii="Times New Roman" w:hAnsi="Times New Roman" w:eastAsia="宋体" w:cs="Times New Roman"/>
                <w:b w:val="0"/>
                <w:bCs w:val="0"/>
                <w:color w:val="auto"/>
                <w:vertAlign w:val="baseline"/>
                <w:lang w:val="en-US" w:eastAsia="zh-CN"/>
              </w:rPr>
            </w:pPr>
          </w:p>
        </w:tc>
        <w:tc>
          <w:tcPr>
            <w:tcW w:w="1061" w:type="dxa"/>
            <w:vMerge w:val="continue"/>
            <w:vAlign w:val="center"/>
          </w:tcPr>
          <w:p w14:paraId="22719C65">
            <w:pPr>
              <w:jc w:val="center"/>
              <w:rPr>
                <w:rFonts w:hint="default" w:ascii="Times New Roman" w:hAnsi="Times New Roman" w:eastAsia="宋体" w:cs="Times New Roman"/>
                <w:b w:val="0"/>
                <w:bCs w:val="0"/>
                <w:color w:val="auto"/>
                <w:vertAlign w:val="baseline"/>
                <w:lang w:val="en-US" w:eastAsia="zh-CN"/>
              </w:rPr>
            </w:pPr>
          </w:p>
        </w:tc>
        <w:tc>
          <w:tcPr>
            <w:tcW w:w="4519" w:type="dxa"/>
            <w:vAlign w:val="center"/>
          </w:tcPr>
          <w:p w14:paraId="3AFC231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N9项目所在地南侧居民门外1m高1.2m处</w:t>
            </w:r>
          </w:p>
        </w:tc>
        <w:tc>
          <w:tcPr>
            <w:tcW w:w="888" w:type="dxa"/>
            <w:vAlign w:val="center"/>
          </w:tcPr>
          <w:p w14:paraId="3CB0663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53</w:t>
            </w:r>
          </w:p>
        </w:tc>
        <w:tc>
          <w:tcPr>
            <w:tcW w:w="844" w:type="dxa"/>
            <w:vAlign w:val="center"/>
          </w:tcPr>
          <w:p w14:paraId="2588D1E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47</w:t>
            </w:r>
          </w:p>
        </w:tc>
      </w:tr>
      <w:tr w14:paraId="20FFC4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84" w:type="dxa"/>
            <w:gridSpan w:val="3"/>
            <w:vAlign w:val="center"/>
          </w:tcPr>
          <w:p w14:paraId="71D2251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标准值</w:t>
            </w:r>
          </w:p>
        </w:tc>
        <w:tc>
          <w:tcPr>
            <w:tcW w:w="888" w:type="dxa"/>
            <w:vAlign w:val="center"/>
          </w:tcPr>
          <w:p w14:paraId="7885BDD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60</w:t>
            </w:r>
          </w:p>
        </w:tc>
        <w:tc>
          <w:tcPr>
            <w:tcW w:w="844" w:type="dxa"/>
            <w:vAlign w:val="center"/>
          </w:tcPr>
          <w:p w14:paraId="616CB37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50</w:t>
            </w:r>
          </w:p>
        </w:tc>
      </w:tr>
      <w:tr w14:paraId="3B1CE5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6" w:type="dxa"/>
            <w:gridSpan w:val="5"/>
            <w:vAlign w:val="center"/>
          </w:tcPr>
          <w:p w14:paraId="74A4C101">
            <w:pPr>
              <w:jc w:val="left"/>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备注：声级计校准值为93.8dB（A），校准器型号为AWA-6221B/CE010。</w:t>
            </w:r>
          </w:p>
        </w:tc>
      </w:tr>
    </w:tbl>
    <w:p w14:paraId="432A486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监测结果表明，本项目环境噪声监测项目中N1-N9点位昼、夜间环境噪声均符合《声环境质量标准》（GB3096-2008）表1中2类标准限值的规定，表示该地区噪声环境质量较好。</w:t>
      </w:r>
    </w:p>
    <w:p w14:paraId="5FE95AF3">
      <w:pPr>
        <w:pStyle w:val="7"/>
        <w:bidi w:val="0"/>
        <w:outlineLvl w:val="1"/>
        <w:rPr>
          <w:rFonts w:hint="default" w:ascii="Times New Roman" w:hAnsi="Times New Roman" w:eastAsia="宋体" w:cs="Times New Roman"/>
          <w:color w:val="auto"/>
          <w:lang w:val="en-US" w:eastAsia="zh-CN"/>
        </w:rPr>
      </w:pPr>
      <w:bookmarkStart w:id="1687" w:name="_Toc28281"/>
      <w:bookmarkStart w:id="1688" w:name="_Toc4697"/>
      <w:r>
        <w:rPr>
          <w:rFonts w:hint="default" w:ascii="Times New Roman" w:hAnsi="Times New Roman" w:eastAsia="宋体" w:cs="Times New Roman"/>
          <w:color w:val="auto"/>
          <w:lang w:val="en-US" w:eastAsia="zh-CN"/>
        </w:rPr>
        <w:t>5.1.4地下水监测</w:t>
      </w:r>
      <w:bookmarkEnd w:id="1687"/>
      <w:bookmarkEnd w:id="1688"/>
    </w:p>
    <w:p w14:paraId="39A385B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2"/>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bookmarkStart w:id="1689" w:name="_Toc12884"/>
      <w:bookmarkStart w:id="1690" w:name="_Toc4444"/>
      <w:bookmarkStart w:id="1691" w:name="_Toc23633"/>
      <w:bookmarkStart w:id="1692" w:name="_Toc8793"/>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（1）监测布点</w:t>
      </w:r>
      <w:bookmarkEnd w:id="1689"/>
      <w:bookmarkEnd w:id="1690"/>
      <w:bookmarkEnd w:id="1691"/>
      <w:bookmarkEnd w:id="1692"/>
    </w:p>
    <w:p w14:paraId="2642B00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本次环评在项目建设地周边布设1个地下水监测点位（项目地地质为玄武岩，钻井受限）2022年10月31日-11月6日委托成都成检环境检测有限公司对项目所在区域地下水环境进行了补充监测。</w:t>
      </w:r>
    </w:p>
    <w:p w14:paraId="6A3F5F3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表5.1-7 地下水检测布点</w:t>
      </w:r>
    </w:p>
    <w:tbl>
      <w:tblPr>
        <w:tblStyle w:val="21"/>
        <w:tblW w:w="87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203"/>
        <w:gridCol w:w="5149"/>
        <w:gridCol w:w="1300"/>
      </w:tblGrid>
      <w:tr w14:paraId="0E889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35" w:type="dxa"/>
            <w:shd w:val="clear" w:color="auto" w:fill="D7D7D7" w:themeFill="background1" w:themeFillShade="D8"/>
            <w:vAlign w:val="center"/>
          </w:tcPr>
          <w:p w14:paraId="7CD5B566">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检测类别</w:t>
            </w:r>
          </w:p>
        </w:tc>
        <w:tc>
          <w:tcPr>
            <w:tcW w:w="1203" w:type="dxa"/>
            <w:shd w:val="clear" w:color="auto" w:fill="D7D7D7" w:themeFill="background1" w:themeFillShade="D8"/>
            <w:vAlign w:val="center"/>
          </w:tcPr>
          <w:p w14:paraId="16A63794">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检测点位</w:t>
            </w:r>
          </w:p>
        </w:tc>
        <w:tc>
          <w:tcPr>
            <w:tcW w:w="5149" w:type="dxa"/>
            <w:shd w:val="clear" w:color="auto" w:fill="D7D7D7" w:themeFill="background1" w:themeFillShade="D8"/>
            <w:vAlign w:val="center"/>
          </w:tcPr>
          <w:p w14:paraId="1EB048E5">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检测项目</w:t>
            </w:r>
          </w:p>
        </w:tc>
        <w:tc>
          <w:tcPr>
            <w:tcW w:w="1300" w:type="dxa"/>
            <w:shd w:val="clear" w:color="auto" w:fill="D7D7D7" w:themeFill="background1" w:themeFillShade="D8"/>
            <w:vAlign w:val="center"/>
          </w:tcPr>
          <w:p w14:paraId="361C1CED">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检测频次</w:t>
            </w:r>
          </w:p>
        </w:tc>
      </w:tr>
      <w:tr w14:paraId="6DBBD8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35" w:type="dxa"/>
            <w:vMerge w:val="restart"/>
            <w:vAlign w:val="center"/>
          </w:tcPr>
          <w:p w14:paraId="5C400255">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1203" w:type="dxa"/>
            <w:vAlign w:val="center"/>
          </w:tcPr>
          <w:p w14:paraId="69297C0D">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GW1</w:t>
            </w:r>
          </w:p>
        </w:tc>
        <w:tc>
          <w:tcPr>
            <w:tcW w:w="5149" w:type="dxa"/>
            <w:vMerge w:val="restart"/>
            <w:vAlign w:val="center"/>
          </w:tcPr>
          <w:p w14:paraId="5B45A48A">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钠、钾、钙、镁、碳酸根离子、碳酸氢根离子、pH、氨氮、亚硝酸盐、硝酸盐、挥发酚、氰化物、砷、汞、六价铬、总硬度、铅、氟化物、镉、铁、锰、溶解性总固体、耗氧量、硫酸盐、氯化物、总大肠菌群、菌落总数、阴离子表面活性剂、色度、石油类、水位</w:t>
            </w:r>
          </w:p>
        </w:tc>
        <w:tc>
          <w:tcPr>
            <w:tcW w:w="1300" w:type="dxa"/>
            <w:vMerge w:val="restart"/>
            <w:vAlign w:val="center"/>
          </w:tcPr>
          <w:p w14:paraId="3ABC205D">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检测1天</w:t>
            </w:r>
          </w:p>
          <w:p w14:paraId="0F02D3E8">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1天1次</w:t>
            </w:r>
          </w:p>
        </w:tc>
      </w:tr>
      <w:tr w14:paraId="63D18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35" w:type="dxa"/>
            <w:vMerge w:val="continue"/>
            <w:vAlign w:val="center"/>
          </w:tcPr>
          <w:p w14:paraId="19B7C9EF">
            <w:pPr>
              <w:jc w:val="center"/>
              <w:rPr>
                <w:rFonts w:hint="default" w:ascii="Times New Roman" w:hAnsi="Times New Roman" w:eastAsia="宋体" w:cs="Times New Roman"/>
                <w:b w:val="0"/>
                <w:bCs w:val="0"/>
                <w:color w:val="auto"/>
                <w:sz w:val="21"/>
                <w:szCs w:val="21"/>
                <w:vertAlign w:val="baseline"/>
                <w:lang w:val="en-US" w:eastAsia="zh-CN"/>
              </w:rPr>
            </w:pPr>
          </w:p>
        </w:tc>
        <w:tc>
          <w:tcPr>
            <w:tcW w:w="1203" w:type="dxa"/>
            <w:vAlign w:val="center"/>
          </w:tcPr>
          <w:p w14:paraId="2BE2DA14">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GW2</w:t>
            </w:r>
          </w:p>
        </w:tc>
        <w:tc>
          <w:tcPr>
            <w:tcW w:w="5149" w:type="dxa"/>
            <w:vMerge w:val="continue"/>
            <w:vAlign w:val="center"/>
          </w:tcPr>
          <w:p w14:paraId="0665EEA5">
            <w:pPr>
              <w:jc w:val="center"/>
              <w:rPr>
                <w:rFonts w:hint="default" w:ascii="Times New Roman" w:hAnsi="Times New Roman" w:eastAsia="宋体" w:cs="Times New Roman"/>
                <w:b w:val="0"/>
                <w:bCs w:val="0"/>
                <w:color w:val="auto"/>
                <w:sz w:val="21"/>
                <w:szCs w:val="21"/>
                <w:vertAlign w:val="baseline"/>
                <w:lang w:val="en-US" w:eastAsia="zh-CN"/>
              </w:rPr>
            </w:pPr>
          </w:p>
        </w:tc>
        <w:tc>
          <w:tcPr>
            <w:tcW w:w="1300" w:type="dxa"/>
            <w:vMerge w:val="continue"/>
            <w:vAlign w:val="center"/>
          </w:tcPr>
          <w:p w14:paraId="60C1E30D">
            <w:pPr>
              <w:jc w:val="center"/>
              <w:rPr>
                <w:rFonts w:hint="default" w:ascii="Times New Roman" w:hAnsi="Times New Roman" w:eastAsia="宋体" w:cs="Times New Roman"/>
                <w:b w:val="0"/>
                <w:bCs w:val="0"/>
                <w:color w:val="auto"/>
                <w:sz w:val="21"/>
                <w:szCs w:val="21"/>
                <w:vertAlign w:val="baseline"/>
                <w:lang w:val="en-US" w:eastAsia="zh-CN"/>
              </w:rPr>
            </w:pPr>
          </w:p>
        </w:tc>
      </w:tr>
      <w:tr w14:paraId="40D04F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35" w:type="dxa"/>
            <w:vMerge w:val="continue"/>
            <w:vAlign w:val="center"/>
          </w:tcPr>
          <w:p w14:paraId="45B9E3C5">
            <w:pPr>
              <w:jc w:val="center"/>
              <w:rPr>
                <w:rFonts w:hint="default" w:ascii="Times New Roman" w:hAnsi="Times New Roman" w:eastAsia="宋体" w:cs="Times New Roman"/>
                <w:b w:val="0"/>
                <w:bCs w:val="0"/>
                <w:color w:val="auto"/>
                <w:sz w:val="21"/>
                <w:szCs w:val="21"/>
                <w:vertAlign w:val="baseline"/>
                <w:lang w:val="en-US" w:eastAsia="zh-CN"/>
              </w:rPr>
            </w:pPr>
          </w:p>
        </w:tc>
        <w:tc>
          <w:tcPr>
            <w:tcW w:w="1203" w:type="dxa"/>
            <w:vAlign w:val="center"/>
          </w:tcPr>
          <w:p w14:paraId="51DAB964">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GW3</w:t>
            </w:r>
          </w:p>
        </w:tc>
        <w:tc>
          <w:tcPr>
            <w:tcW w:w="5149" w:type="dxa"/>
            <w:vMerge w:val="continue"/>
            <w:vAlign w:val="center"/>
          </w:tcPr>
          <w:p w14:paraId="263DA953">
            <w:pPr>
              <w:jc w:val="center"/>
              <w:rPr>
                <w:rFonts w:hint="default" w:ascii="Times New Roman" w:hAnsi="Times New Roman" w:eastAsia="宋体" w:cs="Times New Roman"/>
                <w:b w:val="0"/>
                <w:bCs w:val="0"/>
                <w:color w:val="auto"/>
                <w:sz w:val="21"/>
                <w:szCs w:val="21"/>
                <w:vertAlign w:val="baseline"/>
                <w:lang w:val="en-US" w:eastAsia="zh-CN"/>
              </w:rPr>
            </w:pPr>
          </w:p>
        </w:tc>
        <w:tc>
          <w:tcPr>
            <w:tcW w:w="1300" w:type="dxa"/>
            <w:vMerge w:val="continue"/>
            <w:vAlign w:val="center"/>
          </w:tcPr>
          <w:p w14:paraId="558F6F53">
            <w:pPr>
              <w:jc w:val="center"/>
              <w:rPr>
                <w:rFonts w:hint="default" w:ascii="Times New Roman" w:hAnsi="Times New Roman" w:eastAsia="宋体" w:cs="Times New Roman"/>
                <w:b w:val="0"/>
                <w:bCs w:val="0"/>
                <w:color w:val="auto"/>
                <w:sz w:val="21"/>
                <w:szCs w:val="21"/>
                <w:vertAlign w:val="baseline"/>
                <w:lang w:val="en-US" w:eastAsia="zh-CN"/>
              </w:rPr>
            </w:pPr>
          </w:p>
        </w:tc>
      </w:tr>
      <w:tr w14:paraId="4166FE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35" w:type="dxa"/>
            <w:vMerge w:val="continue"/>
            <w:vAlign w:val="center"/>
          </w:tcPr>
          <w:p w14:paraId="3271361F">
            <w:pPr>
              <w:jc w:val="center"/>
              <w:rPr>
                <w:rFonts w:hint="default" w:ascii="Times New Roman" w:hAnsi="Times New Roman" w:eastAsia="宋体" w:cs="Times New Roman"/>
                <w:b w:val="0"/>
                <w:bCs w:val="0"/>
                <w:color w:val="auto"/>
                <w:sz w:val="21"/>
                <w:szCs w:val="21"/>
                <w:vertAlign w:val="baseline"/>
                <w:lang w:val="en-US" w:eastAsia="zh-CN"/>
              </w:rPr>
            </w:pPr>
          </w:p>
        </w:tc>
        <w:tc>
          <w:tcPr>
            <w:tcW w:w="1203" w:type="dxa"/>
            <w:vAlign w:val="center"/>
          </w:tcPr>
          <w:p w14:paraId="7372464B">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GW4</w:t>
            </w:r>
          </w:p>
        </w:tc>
        <w:tc>
          <w:tcPr>
            <w:tcW w:w="5149" w:type="dxa"/>
            <w:vMerge w:val="restart"/>
            <w:vAlign w:val="center"/>
          </w:tcPr>
          <w:p w14:paraId="7E9012A8">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水位</w:t>
            </w:r>
          </w:p>
        </w:tc>
        <w:tc>
          <w:tcPr>
            <w:tcW w:w="1300" w:type="dxa"/>
            <w:vMerge w:val="continue"/>
            <w:vAlign w:val="center"/>
          </w:tcPr>
          <w:p w14:paraId="4BF189A5">
            <w:pPr>
              <w:jc w:val="center"/>
              <w:rPr>
                <w:rFonts w:hint="default" w:ascii="Times New Roman" w:hAnsi="Times New Roman" w:eastAsia="宋体" w:cs="Times New Roman"/>
                <w:b w:val="0"/>
                <w:bCs w:val="0"/>
                <w:color w:val="auto"/>
                <w:sz w:val="21"/>
                <w:szCs w:val="21"/>
                <w:vertAlign w:val="baseline"/>
                <w:lang w:val="en-US" w:eastAsia="zh-CN"/>
              </w:rPr>
            </w:pPr>
          </w:p>
        </w:tc>
      </w:tr>
      <w:tr w14:paraId="247E47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35" w:type="dxa"/>
            <w:vMerge w:val="continue"/>
            <w:vAlign w:val="center"/>
          </w:tcPr>
          <w:p w14:paraId="7FC6644F">
            <w:pPr>
              <w:jc w:val="center"/>
              <w:rPr>
                <w:rFonts w:hint="default" w:ascii="Times New Roman" w:hAnsi="Times New Roman" w:eastAsia="宋体" w:cs="Times New Roman"/>
                <w:b w:val="0"/>
                <w:bCs w:val="0"/>
                <w:color w:val="auto"/>
                <w:sz w:val="21"/>
                <w:szCs w:val="21"/>
                <w:vertAlign w:val="baseline"/>
                <w:lang w:val="en-US" w:eastAsia="zh-CN"/>
              </w:rPr>
            </w:pPr>
          </w:p>
        </w:tc>
        <w:tc>
          <w:tcPr>
            <w:tcW w:w="1203" w:type="dxa"/>
            <w:vAlign w:val="center"/>
          </w:tcPr>
          <w:p w14:paraId="4895C058">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GW5</w:t>
            </w:r>
          </w:p>
        </w:tc>
        <w:tc>
          <w:tcPr>
            <w:tcW w:w="5149" w:type="dxa"/>
            <w:vMerge w:val="continue"/>
            <w:vAlign w:val="center"/>
          </w:tcPr>
          <w:p w14:paraId="720C27AD">
            <w:pPr>
              <w:jc w:val="center"/>
              <w:rPr>
                <w:rFonts w:hint="default" w:ascii="Times New Roman" w:hAnsi="Times New Roman" w:eastAsia="宋体" w:cs="Times New Roman"/>
                <w:b w:val="0"/>
                <w:bCs w:val="0"/>
                <w:color w:val="auto"/>
                <w:sz w:val="21"/>
                <w:szCs w:val="21"/>
                <w:vertAlign w:val="baseline"/>
                <w:lang w:val="en-US" w:eastAsia="zh-CN"/>
              </w:rPr>
            </w:pPr>
          </w:p>
        </w:tc>
        <w:tc>
          <w:tcPr>
            <w:tcW w:w="1300" w:type="dxa"/>
            <w:vMerge w:val="continue"/>
            <w:vAlign w:val="center"/>
          </w:tcPr>
          <w:p w14:paraId="43345381">
            <w:pPr>
              <w:jc w:val="center"/>
              <w:rPr>
                <w:rFonts w:hint="default" w:ascii="Times New Roman" w:hAnsi="Times New Roman" w:eastAsia="宋体" w:cs="Times New Roman"/>
                <w:b w:val="0"/>
                <w:bCs w:val="0"/>
                <w:color w:val="auto"/>
                <w:sz w:val="21"/>
                <w:szCs w:val="21"/>
                <w:vertAlign w:val="baseline"/>
                <w:lang w:val="en-US" w:eastAsia="zh-CN"/>
              </w:rPr>
            </w:pPr>
          </w:p>
        </w:tc>
      </w:tr>
      <w:tr w14:paraId="12ABE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35" w:type="dxa"/>
            <w:vMerge w:val="continue"/>
            <w:vAlign w:val="center"/>
          </w:tcPr>
          <w:p w14:paraId="3604ACFC">
            <w:pPr>
              <w:jc w:val="center"/>
              <w:rPr>
                <w:rFonts w:hint="default" w:ascii="Times New Roman" w:hAnsi="Times New Roman" w:eastAsia="宋体" w:cs="Times New Roman"/>
                <w:b w:val="0"/>
                <w:bCs w:val="0"/>
                <w:color w:val="auto"/>
                <w:sz w:val="21"/>
                <w:szCs w:val="21"/>
                <w:vertAlign w:val="baseline"/>
                <w:lang w:val="en-US" w:eastAsia="zh-CN"/>
              </w:rPr>
            </w:pPr>
          </w:p>
        </w:tc>
        <w:tc>
          <w:tcPr>
            <w:tcW w:w="1203" w:type="dxa"/>
            <w:vAlign w:val="center"/>
          </w:tcPr>
          <w:p w14:paraId="1744896B">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GW6</w:t>
            </w:r>
          </w:p>
        </w:tc>
        <w:tc>
          <w:tcPr>
            <w:tcW w:w="5149" w:type="dxa"/>
            <w:vMerge w:val="continue"/>
            <w:vAlign w:val="center"/>
          </w:tcPr>
          <w:p w14:paraId="24A5D69C">
            <w:pPr>
              <w:jc w:val="center"/>
              <w:rPr>
                <w:rFonts w:hint="default" w:ascii="Times New Roman" w:hAnsi="Times New Roman" w:eastAsia="宋体" w:cs="Times New Roman"/>
                <w:b w:val="0"/>
                <w:bCs w:val="0"/>
                <w:color w:val="auto"/>
                <w:sz w:val="21"/>
                <w:szCs w:val="21"/>
                <w:vertAlign w:val="baseline"/>
                <w:lang w:val="en-US" w:eastAsia="zh-CN"/>
              </w:rPr>
            </w:pPr>
          </w:p>
        </w:tc>
        <w:tc>
          <w:tcPr>
            <w:tcW w:w="1300" w:type="dxa"/>
            <w:vMerge w:val="continue"/>
            <w:vAlign w:val="center"/>
          </w:tcPr>
          <w:p w14:paraId="439A63DF">
            <w:pPr>
              <w:jc w:val="center"/>
              <w:rPr>
                <w:rFonts w:hint="default" w:ascii="Times New Roman" w:hAnsi="Times New Roman" w:eastAsia="宋体" w:cs="Times New Roman"/>
                <w:b w:val="0"/>
                <w:bCs w:val="0"/>
                <w:color w:val="auto"/>
                <w:sz w:val="21"/>
                <w:szCs w:val="21"/>
                <w:vertAlign w:val="baseline"/>
                <w:lang w:val="en-US" w:eastAsia="zh-CN"/>
              </w:rPr>
            </w:pPr>
          </w:p>
        </w:tc>
      </w:tr>
    </w:tbl>
    <w:p w14:paraId="0AA2C5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bookmarkStart w:id="1693" w:name="_Toc13446"/>
      <w:bookmarkStart w:id="1694" w:name="_Toc20434"/>
      <w:bookmarkStart w:id="1695" w:name="_Toc9936"/>
      <w:bookmarkStart w:id="1696" w:name="_Toc29446"/>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（2）监测结果</w:t>
      </w:r>
      <w:bookmarkEnd w:id="1693"/>
      <w:bookmarkEnd w:id="1694"/>
      <w:bookmarkEnd w:id="1695"/>
      <w:bookmarkEnd w:id="1696"/>
    </w:p>
    <w:p w14:paraId="26BB02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①地下水水质监测</w:t>
      </w:r>
    </w:p>
    <w:p w14:paraId="4B733A7D">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表5.1-8地下水水质现状监测结果表</w:t>
      </w:r>
    </w:p>
    <w:p w14:paraId="11308FCB">
      <w:pPr>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（单位：色度为度，pH为无量纲，总大肠菌群为MPN/100mL，菌落总数为CFU/mL，其余为mg/L）</w:t>
      </w:r>
    </w:p>
    <w:tbl>
      <w:tblPr>
        <w:tblStyle w:val="21"/>
        <w:tblW w:w="82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844"/>
        <w:gridCol w:w="2365"/>
        <w:gridCol w:w="1387"/>
        <w:gridCol w:w="1475"/>
      </w:tblGrid>
      <w:tr w14:paraId="066B41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shd w:val="clear" w:color="auto" w:fill="D7D7D7" w:themeFill="background1" w:themeFillShade="D8"/>
            <w:vAlign w:val="center"/>
          </w:tcPr>
          <w:p w14:paraId="0E2879F7">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采样时间</w:t>
            </w:r>
          </w:p>
        </w:tc>
        <w:tc>
          <w:tcPr>
            <w:tcW w:w="1844" w:type="dxa"/>
            <w:shd w:val="clear" w:color="auto" w:fill="D7D7D7" w:themeFill="background1" w:themeFillShade="D8"/>
            <w:vAlign w:val="center"/>
          </w:tcPr>
          <w:p w14:paraId="1D7C91B1">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检测点位</w:t>
            </w:r>
          </w:p>
        </w:tc>
        <w:tc>
          <w:tcPr>
            <w:tcW w:w="2365" w:type="dxa"/>
            <w:shd w:val="clear" w:color="auto" w:fill="D7D7D7" w:themeFill="background1" w:themeFillShade="D8"/>
            <w:vAlign w:val="center"/>
          </w:tcPr>
          <w:p w14:paraId="12FB143C">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检测项目</w:t>
            </w:r>
          </w:p>
        </w:tc>
        <w:tc>
          <w:tcPr>
            <w:tcW w:w="1387" w:type="dxa"/>
            <w:shd w:val="clear" w:color="auto" w:fill="D7D7D7" w:themeFill="background1" w:themeFillShade="D8"/>
            <w:vAlign w:val="center"/>
          </w:tcPr>
          <w:p w14:paraId="62D2B7E8">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检测结果</w:t>
            </w:r>
          </w:p>
        </w:tc>
        <w:tc>
          <w:tcPr>
            <w:tcW w:w="1475" w:type="dxa"/>
            <w:shd w:val="clear" w:color="auto" w:fill="D7D7D7" w:themeFill="background1" w:themeFillShade="D8"/>
            <w:vAlign w:val="center"/>
          </w:tcPr>
          <w:p w14:paraId="72499DB5">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标准限值</w:t>
            </w:r>
          </w:p>
        </w:tc>
      </w:tr>
      <w:tr w14:paraId="3AA05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restart"/>
            <w:vAlign w:val="center"/>
          </w:tcPr>
          <w:p w14:paraId="76F1D66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2022.11.05</w:t>
            </w:r>
          </w:p>
        </w:tc>
        <w:tc>
          <w:tcPr>
            <w:tcW w:w="1844" w:type="dxa"/>
            <w:vMerge w:val="restart"/>
            <w:vAlign w:val="center"/>
          </w:tcPr>
          <w:p w14:paraId="62026E4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GW1</w:t>
            </w:r>
          </w:p>
          <w:p w14:paraId="3EE488B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N：30°35′40.97″</w:t>
            </w:r>
          </w:p>
          <w:p w14:paraId="32E2827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E：105°15′44.03″</w:t>
            </w:r>
          </w:p>
        </w:tc>
        <w:tc>
          <w:tcPr>
            <w:tcW w:w="2365" w:type="dxa"/>
            <w:vAlign w:val="center"/>
          </w:tcPr>
          <w:p w14:paraId="783F0BD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色度</w:t>
            </w:r>
          </w:p>
        </w:tc>
        <w:tc>
          <w:tcPr>
            <w:tcW w:w="1387" w:type="dxa"/>
            <w:vAlign w:val="center"/>
          </w:tcPr>
          <w:p w14:paraId="08FFBB9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w:t>
            </w:r>
          </w:p>
        </w:tc>
        <w:tc>
          <w:tcPr>
            <w:tcW w:w="1475" w:type="dxa"/>
            <w:vAlign w:val="center"/>
          </w:tcPr>
          <w:p w14:paraId="751E3FB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≤15</w:t>
            </w:r>
          </w:p>
        </w:tc>
      </w:tr>
      <w:tr w14:paraId="3891E5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E1DF2A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A1DBB4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E0E556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pH</w:t>
            </w:r>
          </w:p>
        </w:tc>
        <w:tc>
          <w:tcPr>
            <w:tcW w:w="1387" w:type="dxa"/>
            <w:vAlign w:val="center"/>
          </w:tcPr>
          <w:p w14:paraId="6B3557D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7.1</w:t>
            </w:r>
          </w:p>
        </w:tc>
        <w:tc>
          <w:tcPr>
            <w:tcW w:w="1475" w:type="dxa"/>
            <w:vAlign w:val="center"/>
          </w:tcPr>
          <w:p w14:paraId="42610AB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6.5≤pH≤8.5</w:t>
            </w:r>
          </w:p>
        </w:tc>
      </w:tr>
      <w:tr w14:paraId="48192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5ACBDB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E27BD0A">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6347CD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总硬度（以CaCO</w:t>
            </w:r>
            <w:r>
              <w:rPr>
                <w:rFonts w:hint="default" w:ascii="Times New Roman" w:hAnsi="Times New Roman" w:eastAsia="宋体" w:cs="Times New Roman"/>
                <w:b w:val="0"/>
                <w:bCs w:val="0"/>
                <w:color w:val="auto"/>
                <w:vertAlign w:val="subscript"/>
                <w:lang w:val="en-US" w:eastAsia="zh-CN"/>
              </w:rPr>
              <w:t>3</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031BE09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195</w:t>
            </w:r>
          </w:p>
        </w:tc>
        <w:tc>
          <w:tcPr>
            <w:tcW w:w="1475" w:type="dxa"/>
            <w:vAlign w:val="center"/>
          </w:tcPr>
          <w:p w14:paraId="64A2688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≤450</w:t>
            </w:r>
          </w:p>
        </w:tc>
      </w:tr>
      <w:tr w14:paraId="0457B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DE4B97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A66299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AD2492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溶解性总固体</w:t>
            </w:r>
          </w:p>
        </w:tc>
        <w:tc>
          <w:tcPr>
            <w:tcW w:w="1387" w:type="dxa"/>
            <w:vAlign w:val="center"/>
          </w:tcPr>
          <w:p w14:paraId="6DE6AA2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286</w:t>
            </w:r>
          </w:p>
        </w:tc>
        <w:tc>
          <w:tcPr>
            <w:tcW w:w="1475" w:type="dxa"/>
            <w:vAlign w:val="center"/>
          </w:tcPr>
          <w:p w14:paraId="3EE627B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≤1000</w:t>
            </w:r>
          </w:p>
        </w:tc>
      </w:tr>
      <w:tr w14:paraId="20C545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244A57E">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7534EB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2399F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硫酸盐（以SO</w:t>
            </w:r>
            <w:r>
              <w:rPr>
                <w:rFonts w:hint="default" w:ascii="Times New Roman" w:hAnsi="Times New Roman" w:eastAsia="宋体" w:cs="Times New Roman"/>
                <w:b w:val="0"/>
                <w:bCs w:val="0"/>
                <w:color w:val="auto"/>
                <w:vertAlign w:val="subscript"/>
                <w:lang w:val="en-US" w:eastAsia="zh-CN"/>
              </w:rPr>
              <w:t>4</w:t>
            </w:r>
            <w:r>
              <w:rPr>
                <w:rFonts w:hint="default"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59FF971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7448830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32177D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5FD56E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0D51DFE">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D0CF1A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氯化物（以Cl</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2675657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7.39</w:t>
            </w:r>
          </w:p>
        </w:tc>
        <w:tc>
          <w:tcPr>
            <w:tcW w:w="1475" w:type="dxa"/>
            <w:vAlign w:val="center"/>
          </w:tcPr>
          <w:p w14:paraId="1D18DFB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7B4C42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397F7F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F3EC1B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3E6F59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铁</w:t>
            </w:r>
          </w:p>
        </w:tc>
        <w:tc>
          <w:tcPr>
            <w:tcW w:w="1387" w:type="dxa"/>
            <w:vAlign w:val="center"/>
          </w:tcPr>
          <w:p w14:paraId="69217EF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074C398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064D12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CA5603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67CC7D2">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46CE04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锰</w:t>
            </w:r>
          </w:p>
        </w:tc>
        <w:tc>
          <w:tcPr>
            <w:tcW w:w="1387" w:type="dxa"/>
            <w:vAlign w:val="center"/>
          </w:tcPr>
          <w:p w14:paraId="464AC3B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2D25945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≤0.10</w:t>
            </w:r>
          </w:p>
        </w:tc>
      </w:tr>
      <w:tr w14:paraId="36E6CB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D494EE8">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047616A">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65078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挥发酚</w:t>
            </w:r>
          </w:p>
        </w:tc>
        <w:tc>
          <w:tcPr>
            <w:tcW w:w="1387" w:type="dxa"/>
            <w:vAlign w:val="center"/>
          </w:tcPr>
          <w:p w14:paraId="1CEA145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EF3782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≤0.002</w:t>
            </w:r>
          </w:p>
        </w:tc>
      </w:tr>
      <w:tr w14:paraId="30081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2588CE2">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64A039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683E06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阴离子表面活性剂</w:t>
            </w:r>
          </w:p>
        </w:tc>
        <w:tc>
          <w:tcPr>
            <w:tcW w:w="1387" w:type="dxa"/>
            <w:vAlign w:val="center"/>
          </w:tcPr>
          <w:p w14:paraId="02774F4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1F0FE12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5AC5C6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09C3C06">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F9566F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93BE2A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耗氧量</w:t>
            </w:r>
          </w:p>
        </w:tc>
        <w:tc>
          <w:tcPr>
            <w:tcW w:w="1387" w:type="dxa"/>
            <w:vAlign w:val="center"/>
          </w:tcPr>
          <w:p w14:paraId="49FF3BC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0.62</w:t>
            </w:r>
          </w:p>
        </w:tc>
        <w:tc>
          <w:tcPr>
            <w:tcW w:w="1475" w:type="dxa"/>
            <w:vAlign w:val="center"/>
          </w:tcPr>
          <w:p w14:paraId="54F3E5A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0C25E9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2CCFA4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223423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1C9547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氨氮</w:t>
            </w:r>
          </w:p>
        </w:tc>
        <w:tc>
          <w:tcPr>
            <w:tcW w:w="1387" w:type="dxa"/>
            <w:vAlign w:val="center"/>
          </w:tcPr>
          <w:p w14:paraId="7B6CFEE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0.079</w:t>
            </w:r>
          </w:p>
        </w:tc>
        <w:tc>
          <w:tcPr>
            <w:tcW w:w="1475" w:type="dxa"/>
            <w:vAlign w:val="center"/>
          </w:tcPr>
          <w:p w14:paraId="76A6B6C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≤0.50</w:t>
            </w:r>
          </w:p>
        </w:tc>
      </w:tr>
      <w:tr w14:paraId="192C8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456792E">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38D13A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4A4EDD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钠</w:t>
            </w:r>
          </w:p>
        </w:tc>
        <w:tc>
          <w:tcPr>
            <w:tcW w:w="1387" w:type="dxa"/>
            <w:vAlign w:val="center"/>
          </w:tcPr>
          <w:p w14:paraId="61DB216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34.3</w:t>
            </w:r>
          </w:p>
        </w:tc>
        <w:tc>
          <w:tcPr>
            <w:tcW w:w="1475" w:type="dxa"/>
            <w:vAlign w:val="center"/>
          </w:tcPr>
          <w:p w14:paraId="1DD9F1E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099248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CD27BF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C9FFD5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872C2E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总大肠菌群</w:t>
            </w:r>
          </w:p>
        </w:tc>
        <w:tc>
          <w:tcPr>
            <w:tcW w:w="1387" w:type="dxa"/>
            <w:vAlign w:val="center"/>
          </w:tcPr>
          <w:p w14:paraId="41EF461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w:t>
            </w:r>
          </w:p>
        </w:tc>
        <w:tc>
          <w:tcPr>
            <w:tcW w:w="1475" w:type="dxa"/>
            <w:vAlign w:val="center"/>
          </w:tcPr>
          <w:p w14:paraId="5E020A6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55B10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7581EC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7FF096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7FD29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菌落总数</w:t>
            </w:r>
          </w:p>
        </w:tc>
        <w:tc>
          <w:tcPr>
            <w:tcW w:w="1387" w:type="dxa"/>
            <w:vAlign w:val="center"/>
          </w:tcPr>
          <w:p w14:paraId="61B0946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8</w:t>
            </w:r>
          </w:p>
        </w:tc>
        <w:tc>
          <w:tcPr>
            <w:tcW w:w="1475" w:type="dxa"/>
            <w:vAlign w:val="center"/>
          </w:tcPr>
          <w:p w14:paraId="1A0A6C9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3C941FD7">
        <w:tblPrEx>
          <w:tblCellMar>
            <w:top w:w="0" w:type="dxa"/>
            <w:left w:w="108" w:type="dxa"/>
            <w:bottom w:w="0" w:type="dxa"/>
            <w:right w:w="108" w:type="dxa"/>
          </w:tblCellMar>
        </w:tblPrEx>
        <w:trPr>
          <w:jc w:val="center"/>
        </w:trPr>
        <w:tc>
          <w:tcPr>
            <w:tcW w:w="1150" w:type="dxa"/>
            <w:vMerge w:val="continue"/>
            <w:vAlign w:val="center"/>
          </w:tcPr>
          <w:p w14:paraId="4B90767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223768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400C05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亚硝酸盐（以N计）</w:t>
            </w:r>
          </w:p>
        </w:tc>
        <w:tc>
          <w:tcPr>
            <w:tcW w:w="1387" w:type="dxa"/>
            <w:vAlign w:val="center"/>
          </w:tcPr>
          <w:p w14:paraId="6711F59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172E5B3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41B3F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1D24D7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587BC7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5D70B0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硝酸盐（以N计）</w:t>
            </w:r>
          </w:p>
        </w:tc>
        <w:tc>
          <w:tcPr>
            <w:tcW w:w="1387" w:type="dxa"/>
            <w:vAlign w:val="center"/>
          </w:tcPr>
          <w:p w14:paraId="23C3611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1.49</w:t>
            </w:r>
          </w:p>
        </w:tc>
        <w:tc>
          <w:tcPr>
            <w:tcW w:w="1475" w:type="dxa"/>
            <w:vAlign w:val="center"/>
          </w:tcPr>
          <w:p w14:paraId="78F425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283D3F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C2C401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50F12FF">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AD32B8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氰化物</w:t>
            </w:r>
          </w:p>
        </w:tc>
        <w:tc>
          <w:tcPr>
            <w:tcW w:w="1387" w:type="dxa"/>
            <w:vAlign w:val="center"/>
          </w:tcPr>
          <w:p w14:paraId="00FC5FA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617DB3C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4E91B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A7EF42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4CE5B3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452FFB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氟化物（以F</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59EA6CC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0.244</w:t>
            </w:r>
          </w:p>
        </w:tc>
        <w:tc>
          <w:tcPr>
            <w:tcW w:w="1475" w:type="dxa"/>
            <w:vAlign w:val="center"/>
          </w:tcPr>
          <w:p w14:paraId="38380D4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w:t>
            </w:r>
          </w:p>
        </w:tc>
      </w:tr>
      <w:tr w14:paraId="76A8C2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679283F">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6DE619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FBED73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汞</w:t>
            </w:r>
          </w:p>
        </w:tc>
        <w:tc>
          <w:tcPr>
            <w:tcW w:w="1387" w:type="dxa"/>
            <w:vAlign w:val="center"/>
          </w:tcPr>
          <w:p w14:paraId="0F4310E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4.00×10</w:t>
            </w:r>
            <w:r>
              <w:rPr>
                <w:rFonts w:hint="default" w:ascii="Times New Roman" w:hAnsi="Times New Roman" w:eastAsia="宋体" w:cs="Times New Roman"/>
                <w:b w:val="0"/>
                <w:bCs w:val="0"/>
                <w:color w:val="auto"/>
                <w:vertAlign w:val="superscript"/>
                <w:lang w:val="en-US" w:eastAsia="zh-CN"/>
              </w:rPr>
              <w:t>-5</w:t>
            </w:r>
          </w:p>
        </w:tc>
        <w:tc>
          <w:tcPr>
            <w:tcW w:w="1475" w:type="dxa"/>
            <w:vAlign w:val="center"/>
          </w:tcPr>
          <w:p w14:paraId="2ED00C1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≤0.001</w:t>
            </w:r>
          </w:p>
        </w:tc>
      </w:tr>
      <w:tr w14:paraId="44E1E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D55610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D4B66C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BFE254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砷</w:t>
            </w:r>
          </w:p>
        </w:tc>
        <w:tc>
          <w:tcPr>
            <w:tcW w:w="1387" w:type="dxa"/>
            <w:vAlign w:val="center"/>
          </w:tcPr>
          <w:p w14:paraId="35D955B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152F8D3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2B939D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17AAD0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37CCD2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2FADA0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镉</w:t>
            </w:r>
          </w:p>
        </w:tc>
        <w:tc>
          <w:tcPr>
            <w:tcW w:w="1387" w:type="dxa"/>
            <w:vAlign w:val="center"/>
          </w:tcPr>
          <w:p w14:paraId="1EB329E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7F66609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≤0.005</w:t>
            </w:r>
          </w:p>
        </w:tc>
      </w:tr>
      <w:tr w14:paraId="25BE2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987D0EF">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F00B5D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04287C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六价铬</w:t>
            </w:r>
          </w:p>
        </w:tc>
        <w:tc>
          <w:tcPr>
            <w:tcW w:w="1387" w:type="dxa"/>
            <w:vAlign w:val="center"/>
          </w:tcPr>
          <w:p w14:paraId="43677E9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6D0F928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626722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8C9C9A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3951FB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DFD84C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铅</w:t>
            </w:r>
          </w:p>
        </w:tc>
        <w:tc>
          <w:tcPr>
            <w:tcW w:w="1387" w:type="dxa"/>
            <w:vAlign w:val="center"/>
          </w:tcPr>
          <w:p w14:paraId="4203DBE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4.26×10</w:t>
            </w:r>
            <w:r>
              <w:rPr>
                <w:rFonts w:hint="default" w:ascii="Times New Roman" w:hAnsi="Times New Roman" w:eastAsia="宋体" w:cs="Times New Roman"/>
                <w:b w:val="0"/>
                <w:bCs w:val="0"/>
                <w:color w:val="auto"/>
                <w:vertAlign w:val="superscript"/>
                <w:lang w:val="en-US" w:eastAsia="zh-CN"/>
              </w:rPr>
              <w:t>-3</w:t>
            </w:r>
          </w:p>
        </w:tc>
        <w:tc>
          <w:tcPr>
            <w:tcW w:w="1475" w:type="dxa"/>
            <w:vAlign w:val="center"/>
          </w:tcPr>
          <w:p w14:paraId="56589D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411286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D69A7C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1953F1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8A68C6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钙</w:t>
            </w:r>
          </w:p>
        </w:tc>
        <w:tc>
          <w:tcPr>
            <w:tcW w:w="1387" w:type="dxa"/>
            <w:vAlign w:val="center"/>
          </w:tcPr>
          <w:p w14:paraId="62EFC0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44.4</w:t>
            </w:r>
          </w:p>
        </w:tc>
        <w:tc>
          <w:tcPr>
            <w:tcW w:w="1475" w:type="dxa"/>
            <w:vAlign w:val="center"/>
          </w:tcPr>
          <w:p w14:paraId="166238C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6EEB0A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52722F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E345F3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A7D753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镁</w:t>
            </w:r>
          </w:p>
        </w:tc>
        <w:tc>
          <w:tcPr>
            <w:tcW w:w="1387" w:type="dxa"/>
            <w:vAlign w:val="center"/>
          </w:tcPr>
          <w:p w14:paraId="2831E66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18.9</w:t>
            </w:r>
          </w:p>
        </w:tc>
        <w:tc>
          <w:tcPr>
            <w:tcW w:w="1475" w:type="dxa"/>
            <w:vAlign w:val="center"/>
          </w:tcPr>
          <w:p w14:paraId="5C6265C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2E2F71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5BAB04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C0AC65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FD92D0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钾</w:t>
            </w:r>
          </w:p>
        </w:tc>
        <w:tc>
          <w:tcPr>
            <w:tcW w:w="1387" w:type="dxa"/>
            <w:vAlign w:val="center"/>
          </w:tcPr>
          <w:p w14:paraId="19F507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6.54</w:t>
            </w:r>
          </w:p>
        </w:tc>
        <w:tc>
          <w:tcPr>
            <w:tcW w:w="1475" w:type="dxa"/>
            <w:vAlign w:val="center"/>
          </w:tcPr>
          <w:p w14:paraId="04C2AD8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3068BF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7C5F76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D82BD5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39BCD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碳酸根离子</w:t>
            </w:r>
          </w:p>
        </w:tc>
        <w:tc>
          <w:tcPr>
            <w:tcW w:w="1387" w:type="dxa"/>
            <w:vAlign w:val="center"/>
          </w:tcPr>
          <w:p w14:paraId="088D10A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0C78EB3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6CF1CB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FC98188">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A2E7B6F">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617FA9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碳酸氢根离子</w:t>
            </w:r>
          </w:p>
        </w:tc>
        <w:tc>
          <w:tcPr>
            <w:tcW w:w="1387" w:type="dxa"/>
            <w:vAlign w:val="center"/>
          </w:tcPr>
          <w:p w14:paraId="2B1A1F9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302</w:t>
            </w:r>
          </w:p>
        </w:tc>
        <w:tc>
          <w:tcPr>
            <w:tcW w:w="1475" w:type="dxa"/>
            <w:vAlign w:val="center"/>
          </w:tcPr>
          <w:p w14:paraId="616CC12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044E56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6966AA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1940722">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04EC2D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石油类</w:t>
            </w:r>
          </w:p>
        </w:tc>
        <w:tc>
          <w:tcPr>
            <w:tcW w:w="1387" w:type="dxa"/>
            <w:vAlign w:val="center"/>
          </w:tcPr>
          <w:p w14:paraId="43DD999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0.10</w:t>
            </w:r>
          </w:p>
        </w:tc>
        <w:tc>
          <w:tcPr>
            <w:tcW w:w="1475" w:type="dxa"/>
            <w:vAlign w:val="center"/>
          </w:tcPr>
          <w:p w14:paraId="5ED4769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2ABC2C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restart"/>
            <w:vAlign w:val="center"/>
          </w:tcPr>
          <w:p w14:paraId="6BA3947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2022.11.05</w:t>
            </w:r>
          </w:p>
        </w:tc>
        <w:tc>
          <w:tcPr>
            <w:tcW w:w="1844" w:type="dxa"/>
            <w:vMerge w:val="restart"/>
            <w:vAlign w:val="center"/>
          </w:tcPr>
          <w:p w14:paraId="4A00428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GW2</w:t>
            </w:r>
          </w:p>
          <w:p w14:paraId="0177F97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N：30°35′47.96″</w:t>
            </w:r>
          </w:p>
          <w:p w14:paraId="0A18389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E：105°15′39.01″</w:t>
            </w:r>
          </w:p>
        </w:tc>
        <w:tc>
          <w:tcPr>
            <w:tcW w:w="2365" w:type="dxa"/>
            <w:vAlign w:val="center"/>
          </w:tcPr>
          <w:p w14:paraId="33DD05C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色度</w:t>
            </w:r>
          </w:p>
        </w:tc>
        <w:tc>
          <w:tcPr>
            <w:tcW w:w="1387" w:type="dxa"/>
            <w:vAlign w:val="center"/>
          </w:tcPr>
          <w:p w14:paraId="7BA8B7F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w:t>
            </w:r>
          </w:p>
        </w:tc>
        <w:tc>
          <w:tcPr>
            <w:tcW w:w="1475" w:type="dxa"/>
            <w:vAlign w:val="center"/>
          </w:tcPr>
          <w:p w14:paraId="4EA4C12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≤15</w:t>
            </w:r>
          </w:p>
        </w:tc>
      </w:tr>
      <w:tr w14:paraId="26D62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DB1D84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AFD76E1">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690CB4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pH</w:t>
            </w:r>
          </w:p>
        </w:tc>
        <w:tc>
          <w:tcPr>
            <w:tcW w:w="1387" w:type="dxa"/>
            <w:vAlign w:val="center"/>
          </w:tcPr>
          <w:p w14:paraId="18EB662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7.1</w:t>
            </w:r>
          </w:p>
        </w:tc>
        <w:tc>
          <w:tcPr>
            <w:tcW w:w="1475" w:type="dxa"/>
            <w:vAlign w:val="center"/>
          </w:tcPr>
          <w:p w14:paraId="009E751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6.5≤pH≤8.5</w:t>
            </w:r>
          </w:p>
        </w:tc>
      </w:tr>
      <w:tr w14:paraId="1B1AA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97EE2B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077B81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3EFE03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总硬度（以CaCO</w:t>
            </w:r>
            <w:r>
              <w:rPr>
                <w:rFonts w:hint="default" w:ascii="Times New Roman" w:hAnsi="Times New Roman" w:eastAsia="宋体" w:cs="Times New Roman"/>
                <w:b w:val="0"/>
                <w:bCs w:val="0"/>
                <w:color w:val="auto"/>
                <w:vertAlign w:val="subscript"/>
                <w:lang w:val="en-US" w:eastAsia="zh-CN"/>
              </w:rPr>
              <w:t>3</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0CE8EFC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187</w:t>
            </w:r>
          </w:p>
        </w:tc>
        <w:tc>
          <w:tcPr>
            <w:tcW w:w="1475" w:type="dxa"/>
            <w:vAlign w:val="center"/>
          </w:tcPr>
          <w:p w14:paraId="7EE21BA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≤450</w:t>
            </w:r>
          </w:p>
        </w:tc>
      </w:tr>
      <w:tr w14:paraId="0609AA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FB531A0">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149B93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B7D10C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溶解性总固体</w:t>
            </w:r>
          </w:p>
        </w:tc>
        <w:tc>
          <w:tcPr>
            <w:tcW w:w="1387" w:type="dxa"/>
            <w:vAlign w:val="center"/>
          </w:tcPr>
          <w:p w14:paraId="70FE911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302</w:t>
            </w:r>
          </w:p>
        </w:tc>
        <w:tc>
          <w:tcPr>
            <w:tcW w:w="1475" w:type="dxa"/>
            <w:vAlign w:val="center"/>
          </w:tcPr>
          <w:p w14:paraId="0504073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≤1000</w:t>
            </w:r>
          </w:p>
        </w:tc>
      </w:tr>
      <w:tr w14:paraId="3F436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F8E6A5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BAA1BF9">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33748A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硫酸盐（以SO</w:t>
            </w:r>
            <w:r>
              <w:rPr>
                <w:rFonts w:hint="default" w:ascii="Times New Roman" w:hAnsi="Times New Roman" w:eastAsia="宋体" w:cs="Times New Roman"/>
                <w:b w:val="0"/>
                <w:bCs w:val="0"/>
                <w:color w:val="auto"/>
                <w:vertAlign w:val="subscript"/>
                <w:lang w:val="en-US" w:eastAsia="zh-CN"/>
              </w:rPr>
              <w:t>4</w:t>
            </w:r>
            <w:r>
              <w:rPr>
                <w:rFonts w:hint="default"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7B3486F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1771C1A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30296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F80C48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1B9DBC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E51A18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氯化物（以Cl</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2C9A9FA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7.31</w:t>
            </w:r>
          </w:p>
        </w:tc>
        <w:tc>
          <w:tcPr>
            <w:tcW w:w="1475" w:type="dxa"/>
            <w:vAlign w:val="center"/>
          </w:tcPr>
          <w:p w14:paraId="279E04E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6D6D4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182430F">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915E7E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830130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铁</w:t>
            </w:r>
          </w:p>
        </w:tc>
        <w:tc>
          <w:tcPr>
            <w:tcW w:w="1387" w:type="dxa"/>
            <w:vAlign w:val="center"/>
          </w:tcPr>
          <w:p w14:paraId="1AC52E9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48EB2B9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206B21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CA38420">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4ECC1FE">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0E83BE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锰</w:t>
            </w:r>
          </w:p>
        </w:tc>
        <w:tc>
          <w:tcPr>
            <w:tcW w:w="1387" w:type="dxa"/>
            <w:vAlign w:val="center"/>
          </w:tcPr>
          <w:p w14:paraId="65C3FA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822DF0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≤0.10</w:t>
            </w:r>
          </w:p>
        </w:tc>
      </w:tr>
      <w:tr w14:paraId="050B4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E0997C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D76DEC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53A299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挥发酚</w:t>
            </w:r>
          </w:p>
        </w:tc>
        <w:tc>
          <w:tcPr>
            <w:tcW w:w="1387" w:type="dxa"/>
            <w:vAlign w:val="center"/>
          </w:tcPr>
          <w:p w14:paraId="6856FD2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5D17EB5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≤0.002</w:t>
            </w:r>
          </w:p>
        </w:tc>
      </w:tr>
      <w:tr w14:paraId="79C8B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75BDBB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FC1255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42EA8F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阴离子表面活性剂</w:t>
            </w:r>
          </w:p>
        </w:tc>
        <w:tc>
          <w:tcPr>
            <w:tcW w:w="1387" w:type="dxa"/>
            <w:vAlign w:val="center"/>
          </w:tcPr>
          <w:p w14:paraId="2E4C7C4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84E571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433308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D55653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818363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500BBB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耗氧量</w:t>
            </w:r>
          </w:p>
        </w:tc>
        <w:tc>
          <w:tcPr>
            <w:tcW w:w="1387" w:type="dxa"/>
            <w:vAlign w:val="center"/>
          </w:tcPr>
          <w:p w14:paraId="1BEF515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0.69</w:t>
            </w:r>
          </w:p>
        </w:tc>
        <w:tc>
          <w:tcPr>
            <w:tcW w:w="1475" w:type="dxa"/>
            <w:vAlign w:val="center"/>
          </w:tcPr>
          <w:p w14:paraId="71A0FAA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01E87F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CF4831E">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08E3A1F">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2CFB66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氨氮</w:t>
            </w:r>
          </w:p>
        </w:tc>
        <w:tc>
          <w:tcPr>
            <w:tcW w:w="1387" w:type="dxa"/>
            <w:vAlign w:val="center"/>
          </w:tcPr>
          <w:p w14:paraId="6434D17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0.087</w:t>
            </w:r>
          </w:p>
        </w:tc>
        <w:tc>
          <w:tcPr>
            <w:tcW w:w="1475" w:type="dxa"/>
            <w:vAlign w:val="center"/>
          </w:tcPr>
          <w:p w14:paraId="23596E6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≤0.50</w:t>
            </w:r>
          </w:p>
        </w:tc>
      </w:tr>
      <w:tr w14:paraId="51C886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0FD069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5632B4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749862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钠</w:t>
            </w:r>
          </w:p>
        </w:tc>
        <w:tc>
          <w:tcPr>
            <w:tcW w:w="1387" w:type="dxa"/>
            <w:vAlign w:val="center"/>
          </w:tcPr>
          <w:p w14:paraId="539D542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39.6</w:t>
            </w:r>
          </w:p>
        </w:tc>
        <w:tc>
          <w:tcPr>
            <w:tcW w:w="1475" w:type="dxa"/>
            <w:vAlign w:val="center"/>
          </w:tcPr>
          <w:p w14:paraId="72DD641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63341E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2C9E5E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19ADD8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B4DB1F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总大肠菌群</w:t>
            </w:r>
          </w:p>
        </w:tc>
        <w:tc>
          <w:tcPr>
            <w:tcW w:w="1387" w:type="dxa"/>
            <w:vAlign w:val="center"/>
          </w:tcPr>
          <w:p w14:paraId="05A7822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w:t>
            </w:r>
          </w:p>
        </w:tc>
        <w:tc>
          <w:tcPr>
            <w:tcW w:w="1475" w:type="dxa"/>
            <w:vAlign w:val="center"/>
          </w:tcPr>
          <w:p w14:paraId="52B4DAA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5161A1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BBF0270">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26A811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0EC542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菌落总数</w:t>
            </w:r>
          </w:p>
        </w:tc>
        <w:tc>
          <w:tcPr>
            <w:tcW w:w="1387" w:type="dxa"/>
            <w:vAlign w:val="center"/>
          </w:tcPr>
          <w:p w14:paraId="1042526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w:t>
            </w:r>
          </w:p>
        </w:tc>
        <w:tc>
          <w:tcPr>
            <w:tcW w:w="1475" w:type="dxa"/>
            <w:vAlign w:val="center"/>
          </w:tcPr>
          <w:p w14:paraId="2494AA7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54FAAE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57F3D1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64B420A">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A52B9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亚硝酸盐（以N计）</w:t>
            </w:r>
          </w:p>
        </w:tc>
        <w:tc>
          <w:tcPr>
            <w:tcW w:w="1387" w:type="dxa"/>
            <w:vAlign w:val="center"/>
          </w:tcPr>
          <w:p w14:paraId="6FD8073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42B9C8D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314163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EA8E6B5">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BCB11F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787DB5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硝酸盐（以N计）</w:t>
            </w:r>
          </w:p>
        </w:tc>
        <w:tc>
          <w:tcPr>
            <w:tcW w:w="1387" w:type="dxa"/>
            <w:vAlign w:val="center"/>
          </w:tcPr>
          <w:p w14:paraId="410929F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1.49</w:t>
            </w:r>
          </w:p>
        </w:tc>
        <w:tc>
          <w:tcPr>
            <w:tcW w:w="1475" w:type="dxa"/>
            <w:vAlign w:val="center"/>
          </w:tcPr>
          <w:p w14:paraId="27C145B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602830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09972C4">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C3EF018">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1E17E5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氰化物</w:t>
            </w:r>
          </w:p>
        </w:tc>
        <w:tc>
          <w:tcPr>
            <w:tcW w:w="1387" w:type="dxa"/>
            <w:vAlign w:val="center"/>
          </w:tcPr>
          <w:p w14:paraId="695DD0C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2339A1C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46E98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C01E3D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A0A0CD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396B8A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氟化物（以F</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5AF9A07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0.202</w:t>
            </w:r>
          </w:p>
        </w:tc>
        <w:tc>
          <w:tcPr>
            <w:tcW w:w="1475" w:type="dxa"/>
            <w:vAlign w:val="center"/>
          </w:tcPr>
          <w:p w14:paraId="15C7551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w:t>
            </w:r>
          </w:p>
        </w:tc>
      </w:tr>
      <w:tr w14:paraId="071321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722EE2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6F6189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6BF3FF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汞</w:t>
            </w:r>
          </w:p>
        </w:tc>
        <w:tc>
          <w:tcPr>
            <w:tcW w:w="1387" w:type="dxa"/>
            <w:vAlign w:val="center"/>
          </w:tcPr>
          <w:p w14:paraId="77AA080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21B6A89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≤0.001</w:t>
            </w:r>
          </w:p>
        </w:tc>
      </w:tr>
      <w:tr w14:paraId="79DF2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7A4806F">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40D005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DB619D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砷</w:t>
            </w:r>
          </w:p>
        </w:tc>
        <w:tc>
          <w:tcPr>
            <w:tcW w:w="1387" w:type="dxa"/>
            <w:vAlign w:val="center"/>
          </w:tcPr>
          <w:p w14:paraId="369757D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D7AD51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25C5B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92A8AA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69440B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395C5B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镉</w:t>
            </w:r>
          </w:p>
        </w:tc>
        <w:tc>
          <w:tcPr>
            <w:tcW w:w="1387" w:type="dxa"/>
            <w:vAlign w:val="center"/>
          </w:tcPr>
          <w:p w14:paraId="71E4195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742776E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≤0.005</w:t>
            </w:r>
          </w:p>
        </w:tc>
      </w:tr>
      <w:tr w14:paraId="0FE31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0CF9F9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2446CB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D419D3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六价铬</w:t>
            </w:r>
          </w:p>
        </w:tc>
        <w:tc>
          <w:tcPr>
            <w:tcW w:w="1387" w:type="dxa"/>
            <w:vAlign w:val="center"/>
          </w:tcPr>
          <w:p w14:paraId="3CDE4F6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D61D95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47CAEF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FE8095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17CEF8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45F45D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铅</w:t>
            </w:r>
          </w:p>
        </w:tc>
        <w:tc>
          <w:tcPr>
            <w:tcW w:w="1387" w:type="dxa"/>
            <w:vAlign w:val="center"/>
          </w:tcPr>
          <w:p w14:paraId="4E41901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4.04×10</w:t>
            </w:r>
            <w:r>
              <w:rPr>
                <w:rFonts w:hint="default" w:ascii="Times New Roman" w:hAnsi="Times New Roman" w:eastAsia="宋体" w:cs="Times New Roman"/>
                <w:b w:val="0"/>
                <w:bCs w:val="0"/>
                <w:color w:val="auto"/>
                <w:vertAlign w:val="superscript"/>
                <w:lang w:val="en-US" w:eastAsia="zh-CN"/>
              </w:rPr>
              <w:t>-3</w:t>
            </w:r>
          </w:p>
        </w:tc>
        <w:tc>
          <w:tcPr>
            <w:tcW w:w="1475" w:type="dxa"/>
            <w:vAlign w:val="center"/>
          </w:tcPr>
          <w:p w14:paraId="5523D1E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37F1E2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3A02212">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6BDD30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F39742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钙</w:t>
            </w:r>
          </w:p>
        </w:tc>
        <w:tc>
          <w:tcPr>
            <w:tcW w:w="1387" w:type="dxa"/>
            <w:vAlign w:val="center"/>
          </w:tcPr>
          <w:p w14:paraId="6B681F7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42.7</w:t>
            </w:r>
          </w:p>
        </w:tc>
        <w:tc>
          <w:tcPr>
            <w:tcW w:w="1475" w:type="dxa"/>
            <w:vAlign w:val="center"/>
          </w:tcPr>
          <w:p w14:paraId="375FB5C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3151E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7F64B8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AF55B9E">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FCF796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镁</w:t>
            </w:r>
          </w:p>
        </w:tc>
        <w:tc>
          <w:tcPr>
            <w:tcW w:w="1387" w:type="dxa"/>
            <w:vAlign w:val="center"/>
          </w:tcPr>
          <w:p w14:paraId="146B4BC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17.4</w:t>
            </w:r>
          </w:p>
        </w:tc>
        <w:tc>
          <w:tcPr>
            <w:tcW w:w="1475" w:type="dxa"/>
            <w:vAlign w:val="center"/>
          </w:tcPr>
          <w:p w14:paraId="5C9EEAA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110590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70E57E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D02DA1A">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CD5352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钾</w:t>
            </w:r>
          </w:p>
        </w:tc>
        <w:tc>
          <w:tcPr>
            <w:tcW w:w="1387" w:type="dxa"/>
            <w:vAlign w:val="center"/>
          </w:tcPr>
          <w:p w14:paraId="79D13FC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5.73</w:t>
            </w:r>
          </w:p>
        </w:tc>
        <w:tc>
          <w:tcPr>
            <w:tcW w:w="1475" w:type="dxa"/>
            <w:vAlign w:val="center"/>
          </w:tcPr>
          <w:p w14:paraId="2421259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3AD9DC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D2A38F5">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A44E859">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1399D2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碳酸根离子</w:t>
            </w:r>
          </w:p>
        </w:tc>
        <w:tc>
          <w:tcPr>
            <w:tcW w:w="1387" w:type="dxa"/>
            <w:vAlign w:val="center"/>
          </w:tcPr>
          <w:p w14:paraId="593E0AC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5596461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664EB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B064A1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005EE5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3F79C9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碳酸氢根离子</w:t>
            </w:r>
          </w:p>
        </w:tc>
        <w:tc>
          <w:tcPr>
            <w:tcW w:w="1387" w:type="dxa"/>
            <w:vAlign w:val="center"/>
          </w:tcPr>
          <w:p w14:paraId="3CBA448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327</w:t>
            </w:r>
          </w:p>
        </w:tc>
        <w:tc>
          <w:tcPr>
            <w:tcW w:w="1475" w:type="dxa"/>
            <w:vAlign w:val="center"/>
          </w:tcPr>
          <w:p w14:paraId="1824A94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4C26D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D539316">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811529E">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D9701D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石油类</w:t>
            </w:r>
          </w:p>
        </w:tc>
        <w:tc>
          <w:tcPr>
            <w:tcW w:w="1387" w:type="dxa"/>
            <w:vAlign w:val="center"/>
          </w:tcPr>
          <w:p w14:paraId="31C12CE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0.07</w:t>
            </w:r>
          </w:p>
        </w:tc>
        <w:tc>
          <w:tcPr>
            <w:tcW w:w="1475" w:type="dxa"/>
            <w:vAlign w:val="center"/>
          </w:tcPr>
          <w:p w14:paraId="6AC7DE0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19C4D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restart"/>
            <w:vAlign w:val="center"/>
          </w:tcPr>
          <w:p w14:paraId="245AE9A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2022.11.05</w:t>
            </w:r>
          </w:p>
        </w:tc>
        <w:tc>
          <w:tcPr>
            <w:tcW w:w="1844" w:type="dxa"/>
            <w:vMerge w:val="restart"/>
            <w:vAlign w:val="center"/>
          </w:tcPr>
          <w:p w14:paraId="1E1B4FE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GW3</w:t>
            </w:r>
          </w:p>
          <w:p w14:paraId="64CB5BB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N：30°35′47.98″</w:t>
            </w:r>
          </w:p>
          <w:p w14:paraId="46E2451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E：105°15′39.32″</w:t>
            </w:r>
          </w:p>
        </w:tc>
        <w:tc>
          <w:tcPr>
            <w:tcW w:w="2365" w:type="dxa"/>
            <w:vAlign w:val="center"/>
          </w:tcPr>
          <w:p w14:paraId="7457B10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色度</w:t>
            </w:r>
          </w:p>
        </w:tc>
        <w:tc>
          <w:tcPr>
            <w:tcW w:w="1387" w:type="dxa"/>
            <w:vAlign w:val="center"/>
          </w:tcPr>
          <w:p w14:paraId="02176A3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5</w:t>
            </w:r>
          </w:p>
        </w:tc>
        <w:tc>
          <w:tcPr>
            <w:tcW w:w="1475" w:type="dxa"/>
            <w:vAlign w:val="center"/>
          </w:tcPr>
          <w:p w14:paraId="1D4586F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≤15</w:t>
            </w:r>
          </w:p>
        </w:tc>
      </w:tr>
      <w:tr w14:paraId="4C24CC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61AEC5E">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765F0F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B07FD4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pH</w:t>
            </w:r>
          </w:p>
        </w:tc>
        <w:tc>
          <w:tcPr>
            <w:tcW w:w="1387" w:type="dxa"/>
            <w:vAlign w:val="center"/>
          </w:tcPr>
          <w:p w14:paraId="69C8B67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7.0</w:t>
            </w:r>
          </w:p>
        </w:tc>
        <w:tc>
          <w:tcPr>
            <w:tcW w:w="1475" w:type="dxa"/>
            <w:vAlign w:val="center"/>
          </w:tcPr>
          <w:p w14:paraId="16DE602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6.5≤pH≤8.5</w:t>
            </w:r>
          </w:p>
        </w:tc>
      </w:tr>
      <w:tr w14:paraId="24D571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918EE27">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0B3E713">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14FF33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总硬度（以CaCO</w:t>
            </w:r>
            <w:r>
              <w:rPr>
                <w:rFonts w:hint="default" w:ascii="Times New Roman" w:hAnsi="Times New Roman" w:eastAsia="宋体" w:cs="Times New Roman"/>
                <w:b w:val="0"/>
                <w:bCs w:val="0"/>
                <w:color w:val="auto"/>
                <w:vertAlign w:val="subscript"/>
                <w:lang w:val="en-US" w:eastAsia="zh-CN"/>
              </w:rPr>
              <w:t>3</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156ECCD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193</w:t>
            </w:r>
          </w:p>
        </w:tc>
        <w:tc>
          <w:tcPr>
            <w:tcW w:w="1475" w:type="dxa"/>
            <w:vAlign w:val="center"/>
          </w:tcPr>
          <w:p w14:paraId="2F1D811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≤450</w:t>
            </w:r>
          </w:p>
        </w:tc>
      </w:tr>
      <w:tr w14:paraId="5FA39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29F171F">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458C510">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9721FC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溶解性总固体</w:t>
            </w:r>
          </w:p>
        </w:tc>
        <w:tc>
          <w:tcPr>
            <w:tcW w:w="1387" w:type="dxa"/>
            <w:vAlign w:val="center"/>
          </w:tcPr>
          <w:p w14:paraId="1762542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275</w:t>
            </w:r>
          </w:p>
        </w:tc>
        <w:tc>
          <w:tcPr>
            <w:tcW w:w="1475" w:type="dxa"/>
            <w:vAlign w:val="center"/>
          </w:tcPr>
          <w:p w14:paraId="4583CA9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≤1000</w:t>
            </w:r>
          </w:p>
        </w:tc>
      </w:tr>
      <w:tr w14:paraId="603DA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AA730C7">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8CEBA92">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50BD21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硫酸盐（以SO</w:t>
            </w:r>
            <w:r>
              <w:rPr>
                <w:rFonts w:hint="default" w:ascii="Times New Roman" w:hAnsi="Times New Roman" w:eastAsia="宋体" w:cs="Times New Roman"/>
                <w:b w:val="0"/>
                <w:bCs w:val="0"/>
                <w:color w:val="auto"/>
                <w:vertAlign w:val="subscript"/>
                <w:lang w:val="en-US" w:eastAsia="zh-CN"/>
              </w:rPr>
              <w:t>4</w:t>
            </w:r>
            <w:r>
              <w:rPr>
                <w:rFonts w:hint="default" w:ascii="Times New Roman" w:hAnsi="Times New Roman" w:eastAsia="宋体" w:cs="Times New Roman"/>
                <w:b w:val="0"/>
                <w:bCs w:val="0"/>
                <w:color w:val="auto"/>
                <w:vertAlign w:val="superscript"/>
                <w:lang w:val="en-US" w:eastAsia="zh-CN"/>
              </w:rPr>
              <w:t>2-</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314D63A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74FF208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4DBE9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4F27712">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FD915BE">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B4A27D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氯化物（以Cl</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4D963AE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7.45</w:t>
            </w:r>
          </w:p>
        </w:tc>
        <w:tc>
          <w:tcPr>
            <w:tcW w:w="1475" w:type="dxa"/>
            <w:vAlign w:val="center"/>
          </w:tcPr>
          <w:p w14:paraId="636F347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≤250</w:t>
            </w:r>
          </w:p>
        </w:tc>
      </w:tr>
      <w:tr w14:paraId="4478ED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57215D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E656DF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6D535B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铁</w:t>
            </w:r>
          </w:p>
        </w:tc>
        <w:tc>
          <w:tcPr>
            <w:tcW w:w="1387" w:type="dxa"/>
            <w:vAlign w:val="center"/>
          </w:tcPr>
          <w:p w14:paraId="247517C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2BB19C9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36381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5F58D5A">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559F112">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645330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锰</w:t>
            </w:r>
          </w:p>
        </w:tc>
        <w:tc>
          <w:tcPr>
            <w:tcW w:w="1387" w:type="dxa"/>
            <w:vAlign w:val="center"/>
          </w:tcPr>
          <w:p w14:paraId="7DD1823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3CE17A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≤0.10</w:t>
            </w:r>
          </w:p>
        </w:tc>
      </w:tr>
      <w:tr w14:paraId="7B4CF6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3C2303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F775ED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FC2F15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挥发酚</w:t>
            </w:r>
          </w:p>
        </w:tc>
        <w:tc>
          <w:tcPr>
            <w:tcW w:w="1387" w:type="dxa"/>
            <w:vAlign w:val="center"/>
          </w:tcPr>
          <w:p w14:paraId="6997682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09B6B65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≤0.002</w:t>
            </w:r>
          </w:p>
        </w:tc>
      </w:tr>
      <w:tr w14:paraId="1F064B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656469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2739D8E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950770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阴离子表面活性剂</w:t>
            </w:r>
          </w:p>
        </w:tc>
        <w:tc>
          <w:tcPr>
            <w:tcW w:w="1387" w:type="dxa"/>
            <w:vAlign w:val="center"/>
          </w:tcPr>
          <w:p w14:paraId="22A3AF5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4A73DCF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≤0.3</w:t>
            </w:r>
          </w:p>
        </w:tc>
      </w:tr>
      <w:tr w14:paraId="16F76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7ACE72D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88F9FD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F732E1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耗氧量</w:t>
            </w:r>
          </w:p>
        </w:tc>
        <w:tc>
          <w:tcPr>
            <w:tcW w:w="1387" w:type="dxa"/>
            <w:vAlign w:val="center"/>
          </w:tcPr>
          <w:p w14:paraId="717B933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0.65</w:t>
            </w:r>
          </w:p>
        </w:tc>
        <w:tc>
          <w:tcPr>
            <w:tcW w:w="1475" w:type="dxa"/>
            <w:vAlign w:val="center"/>
          </w:tcPr>
          <w:p w14:paraId="0489624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30B5B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406E50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4E0AF0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CC3FEB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氨氮</w:t>
            </w:r>
          </w:p>
        </w:tc>
        <w:tc>
          <w:tcPr>
            <w:tcW w:w="1387" w:type="dxa"/>
            <w:vAlign w:val="center"/>
          </w:tcPr>
          <w:p w14:paraId="43AE165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0.095</w:t>
            </w:r>
          </w:p>
        </w:tc>
        <w:tc>
          <w:tcPr>
            <w:tcW w:w="1475" w:type="dxa"/>
            <w:vAlign w:val="center"/>
          </w:tcPr>
          <w:p w14:paraId="051B97E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≤0.50</w:t>
            </w:r>
          </w:p>
        </w:tc>
      </w:tr>
      <w:tr w14:paraId="582B1E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C717407">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513A7A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FC1F67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钠</w:t>
            </w:r>
          </w:p>
        </w:tc>
        <w:tc>
          <w:tcPr>
            <w:tcW w:w="1387" w:type="dxa"/>
            <w:vAlign w:val="center"/>
          </w:tcPr>
          <w:p w14:paraId="7E5296F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26.6</w:t>
            </w:r>
          </w:p>
        </w:tc>
        <w:tc>
          <w:tcPr>
            <w:tcW w:w="1475" w:type="dxa"/>
            <w:vAlign w:val="center"/>
          </w:tcPr>
          <w:p w14:paraId="49AB544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3CAB52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623588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44CF779">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D5E246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总大肠菌群</w:t>
            </w:r>
          </w:p>
        </w:tc>
        <w:tc>
          <w:tcPr>
            <w:tcW w:w="1387" w:type="dxa"/>
            <w:vAlign w:val="center"/>
          </w:tcPr>
          <w:p w14:paraId="09C44EB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w:t>
            </w:r>
          </w:p>
        </w:tc>
        <w:tc>
          <w:tcPr>
            <w:tcW w:w="1475" w:type="dxa"/>
            <w:vAlign w:val="center"/>
          </w:tcPr>
          <w:p w14:paraId="31E87CF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≤3.0</w:t>
            </w:r>
          </w:p>
        </w:tc>
      </w:tr>
      <w:tr w14:paraId="70A356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BDBD88D">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49541181">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6592B0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菌落总数</w:t>
            </w:r>
          </w:p>
        </w:tc>
        <w:tc>
          <w:tcPr>
            <w:tcW w:w="1387" w:type="dxa"/>
            <w:vAlign w:val="center"/>
          </w:tcPr>
          <w:p w14:paraId="7BF0162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9</w:t>
            </w:r>
          </w:p>
        </w:tc>
        <w:tc>
          <w:tcPr>
            <w:tcW w:w="1475" w:type="dxa"/>
            <w:vAlign w:val="center"/>
          </w:tcPr>
          <w:p w14:paraId="54A427D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63E3A1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6DA66816">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85B393B">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B4956D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亚硝酸盐（以N计）</w:t>
            </w:r>
          </w:p>
        </w:tc>
        <w:tc>
          <w:tcPr>
            <w:tcW w:w="1387" w:type="dxa"/>
            <w:vAlign w:val="center"/>
          </w:tcPr>
          <w:p w14:paraId="5886088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778D5BF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≤1.00</w:t>
            </w:r>
          </w:p>
        </w:tc>
      </w:tr>
      <w:tr w14:paraId="3887B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50465A1">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4090BF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6C3193E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硝酸盐（以N计）</w:t>
            </w:r>
          </w:p>
        </w:tc>
        <w:tc>
          <w:tcPr>
            <w:tcW w:w="1387" w:type="dxa"/>
            <w:vAlign w:val="center"/>
          </w:tcPr>
          <w:p w14:paraId="46F5F30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1.52</w:t>
            </w:r>
          </w:p>
        </w:tc>
        <w:tc>
          <w:tcPr>
            <w:tcW w:w="1475" w:type="dxa"/>
            <w:vAlign w:val="center"/>
          </w:tcPr>
          <w:p w14:paraId="7F8C032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≤20.0</w:t>
            </w:r>
          </w:p>
        </w:tc>
      </w:tr>
      <w:tr w14:paraId="7308B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BBBD017">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CE400DA">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070FE2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氰化物</w:t>
            </w:r>
          </w:p>
        </w:tc>
        <w:tc>
          <w:tcPr>
            <w:tcW w:w="1387" w:type="dxa"/>
            <w:vAlign w:val="center"/>
          </w:tcPr>
          <w:p w14:paraId="2F6F3D4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2338C76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40398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330D5D8">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D607254">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CF7C19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氟化物（以F</w:t>
            </w:r>
            <w:r>
              <w:rPr>
                <w:rFonts w:hint="default" w:ascii="Times New Roman" w:hAnsi="Times New Roman" w:eastAsia="宋体" w:cs="Times New Roman"/>
                <w:b w:val="0"/>
                <w:bCs w:val="0"/>
                <w:color w:val="auto"/>
                <w:vertAlign w:val="superscript"/>
                <w:lang w:val="en-US" w:eastAsia="zh-CN"/>
              </w:rPr>
              <w:t>-</w:t>
            </w:r>
            <w:r>
              <w:rPr>
                <w:rFonts w:hint="default" w:ascii="Times New Roman" w:hAnsi="Times New Roman" w:eastAsia="宋体" w:cs="Times New Roman"/>
                <w:b w:val="0"/>
                <w:bCs w:val="0"/>
                <w:color w:val="auto"/>
                <w:vertAlign w:val="baseline"/>
                <w:lang w:val="en-US" w:eastAsia="zh-CN"/>
              </w:rPr>
              <w:t>计）</w:t>
            </w:r>
          </w:p>
        </w:tc>
        <w:tc>
          <w:tcPr>
            <w:tcW w:w="1387" w:type="dxa"/>
            <w:vAlign w:val="center"/>
          </w:tcPr>
          <w:p w14:paraId="58F7A0D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0.222</w:t>
            </w:r>
          </w:p>
        </w:tc>
        <w:tc>
          <w:tcPr>
            <w:tcW w:w="1475" w:type="dxa"/>
            <w:vAlign w:val="center"/>
          </w:tcPr>
          <w:p w14:paraId="4C70C98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≤1.0</w:t>
            </w:r>
          </w:p>
        </w:tc>
      </w:tr>
      <w:tr w14:paraId="56154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473514E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0578DD0">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F2D28A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汞</w:t>
            </w:r>
          </w:p>
        </w:tc>
        <w:tc>
          <w:tcPr>
            <w:tcW w:w="1387" w:type="dxa"/>
            <w:vAlign w:val="center"/>
          </w:tcPr>
          <w:p w14:paraId="6C9F0CD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1FD2C78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≤0.001</w:t>
            </w:r>
          </w:p>
        </w:tc>
      </w:tr>
      <w:tr w14:paraId="472F4A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CB951C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6DD10A0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316B7E7B">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砷</w:t>
            </w:r>
          </w:p>
        </w:tc>
        <w:tc>
          <w:tcPr>
            <w:tcW w:w="1387" w:type="dxa"/>
            <w:vAlign w:val="center"/>
          </w:tcPr>
          <w:p w14:paraId="55964FC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30DC339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4C3D2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19803C8">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B36CA46">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234C96A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镉</w:t>
            </w:r>
          </w:p>
        </w:tc>
        <w:tc>
          <w:tcPr>
            <w:tcW w:w="1387" w:type="dxa"/>
            <w:vAlign w:val="center"/>
          </w:tcPr>
          <w:p w14:paraId="7F386269">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56DF2BD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≤0.005</w:t>
            </w:r>
          </w:p>
        </w:tc>
      </w:tr>
      <w:tr w14:paraId="63AA7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DAE85E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0F4CBB5C">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58D8BAA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六价铬</w:t>
            </w:r>
          </w:p>
        </w:tc>
        <w:tc>
          <w:tcPr>
            <w:tcW w:w="1387" w:type="dxa"/>
            <w:vAlign w:val="center"/>
          </w:tcPr>
          <w:p w14:paraId="0EEBD2B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0.004</w:t>
            </w:r>
          </w:p>
        </w:tc>
        <w:tc>
          <w:tcPr>
            <w:tcW w:w="1475" w:type="dxa"/>
            <w:vAlign w:val="center"/>
          </w:tcPr>
          <w:p w14:paraId="1B5B43E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≤0.05</w:t>
            </w:r>
          </w:p>
        </w:tc>
      </w:tr>
      <w:tr w14:paraId="771F8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AB487D5">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04435D9">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0E6F2B6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铅</w:t>
            </w:r>
          </w:p>
        </w:tc>
        <w:tc>
          <w:tcPr>
            <w:tcW w:w="1387" w:type="dxa"/>
            <w:vAlign w:val="center"/>
          </w:tcPr>
          <w:p w14:paraId="65CA1FF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4.04×10</w:t>
            </w:r>
            <w:r>
              <w:rPr>
                <w:rFonts w:hint="default" w:ascii="Times New Roman" w:hAnsi="Times New Roman" w:eastAsia="宋体" w:cs="Times New Roman"/>
                <w:b w:val="0"/>
                <w:bCs w:val="0"/>
                <w:color w:val="auto"/>
                <w:vertAlign w:val="superscript"/>
                <w:lang w:val="en-US" w:eastAsia="zh-CN"/>
              </w:rPr>
              <w:t>-3</w:t>
            </w:r>
          </w:p>
        </w:tc>
        <w:tc>
          <w:tcPr>
            <w:tcW w:w="1475" w:type="dxa"/>
            <w:vAlign w:val="center"/>
          </w:tcPr>
          <w:p w14:paraId="411FE9C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≤0.01</w:t>
            </w:r>
          </w:p>
        </w:tc>
      </w:tr>
      <w:tr w14:paraId="66C7CA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84BECEB">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712203A5">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70BD28B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钙</w:t>
            </w:r>
          </w:p>
        </w:tc>
        <w:tc>
          <w:tcPr>
            <w:tcW w:w="1387" w:type="dxa"/>
            <w:vAlign w:val="center"/>
          </w:tcPr>
          <w:p w14:paraId="5E1248F8">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47.9</w:t>
            </w:r>
          </w:p>
        </w:tc>
        <w:tc>
          <w:tcPr>
            <w:tcW w:w="1475" w:type="dxa"/>
            <w:vAlign w:val="center"/>
          </w:tcPr>
          <w:p w14:paraId="50DA8AC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6B0F62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59D414B0">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E5FE2E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D002E2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镁</w:t>
            </w:r>
          </w:p>
        </w:tc>
        <w:tc>
          <w:tcPr>
            <w:tcW w:w="1387" w:type="dxa"/>
            <w:vAlign w:val="center"/>
          </w:tcPr>
          <w:p w14:paraId="708A866E">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19.6</w:t>
            </w:r>
          </w:p>
        </w:tc>
        <w:tc>
          <w:tcPr>
            <w:tcW w:w="1475" w:type="dxa"/>
            <w:vAlign w:val="center"/>
          </w:tcPr>
          <w:p w14:paraId="672116A7">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2C7437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0D2D6E57">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34A2F34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4983485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钾</w:t>
            </w:r>
          </w:p>
        </w:tc>
        <w:tc>
          <w:tcPr>
            <w:tcW w:w="1387" w:type="dxa"/>
            <w:vAlign w:val="center"/>
          </w:tcPr>
          <w:p w14:paraId="47723CD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6.40</w:t>
            </w:r>
          </w:p>
        </w:tc>
        <w:tc>
          <w:tcPr>
            <w:tcW w:w="1475" w:type="dxa"/>
            <w:vAlign w:val="center"/>
          </w:tcPr>
          <w:p w14:paraId="5E357E8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209F9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3139FA9C">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B7756C1">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E94034F">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碳酸根离子</w:t>
            </w:r>
          </w:p>
        </w:tc>
        <w:tc>
          <w:tcPr>
            <w:tcW w:w="1387" w:type="dxa"/>
            <w:vAlign w:val="center"/>
          </w:tcPr>
          <w:p w14:paraId="05292686">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未检出</w:t>
            </w:r>
          </w:p>
        </w:tc>
        <w:tc>
          <w:tcPr>
            <w:tcW w:w="1475" w:type="dxa"/>
            <w:vAlign w:val="center"/>
          </w:tcPr>
          <w:p w14:paraId="55EBE4D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7D8BF9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17773CD3">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18EFE3B7">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A5F00D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碳酸氢根离子</w:t>
            </w:r>
          </w:p>
        </w:tc>
        <w:tc>
          <w:tcPr>
            <w:tcW w:w="1387" w:type="dxa"/>
            <w:vAlign w:val="center"/>
          </w:tcPr>
          <w:p w14:paraId="0F67D3A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277</w:t>
            </w:r>
          </w:p>
        </w:tc>
        <w:tc>
          <w:tcPr>
            <w:tcW w:w="1475" w:type="dxa"/>
            <w:vAlign w:val="center"/>
          </w:tcPr>
          <w:p w14:paraId="29B5E9A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r w14:paraId="10A510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Merge w:val="continue"/>
            <w:vAlign w:val="center"/>
          </w:tcPr>
          <w:p w14:paraId="28B0E5B9">
            <w:pPr>
              <w:jc w:val="center"/>
              <w:rPr>
                <w:rFonts w:hint="default" w:ascii="Times New Roman" w:hAnsi="Times New Roman" w:eastAsia="宋体" w:cs="Times New Roman"/>
                <w:b w:val="0"/>
                <w:bCs w:val="0"/>
                <w:color w:val="auto"/>
                <w:vertAlign w:val="baseline"/>
                <w:lang w:val="en-US" w:eastAsia="zh-CN"/>
              </w:rPr>
            </w:pPr>
          </w:p>
        </w:tc>
        <w:tc>
          <w:tcPr>
            <w:tcW w:w="1844" w:type="dxa"/>
            <w:vMerge w:val="continue"/>
            <w:vAlign w:val="center"/>
          </w:tcPr>
          <w:p w14:paraId="54778710">
            <w:pPr>
              <w:jc w:val="center"/>
              <w:rPr>
                <w:rFonts w:hint="default" w:ascii="Times New Roman" w:hAnsi="Times New Roman" w:eastAsia="宋体" w:cs="Times New Roman"/>
                <w:b w:val="0"/>
                <w:bCs w:val="0"/>
                <w:color w:val="auto"/>
                <w:vertAlign w:val="baseline"/>
                <w:lang w:val="en-US" w:eastAsia="zh-CN"/>
              </w:rPr>
            </w:pPr>
          </w:p>
        </w:tc>
        <w:tc>
          <w:tcPr>
            <w:tcW w:w="2365" w:type="dxa"/>
            <w:vAlign w:val="center"/>
          </w:tcPr>
          <w:p w14:paraId="1F32DCA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石油类</w:t>
            </w:r>
          </w:p>
        </w:tc>
        <w:tc>
          <w:tcPr>
            <w:tcW w:w="1387" w:type="dxa"/>
            <w:vAlign w:val="center"/>
          </w:tcPr>
          <w:p w14:paraId="3BC818C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0.10</w:t>
            </w:r>
          </w:p>
        </w:tc>
        <w:tc>
          <w:tcPr>
            <w:tcW w:w="1475" w:type="dxa"/>
            <w:vAlign w:val="center"/>
          </w:tcPr>
          <w:p w14:paraId="12F837BC">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w:t>
            </w:r>
          </w:p>
        </w:tc>
      </w:tr>
    </w:tbl>
    <w:p w14:paraId="6EC46E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从上表可以看出，项目区地下水水质监测指标均能够达到《地下水质量标准》（GB/T14848-2017）Ⅲ类水体标准要求，项目区地下水水质良好。</w:t>
      </w:r>
    </w:p>
    <w:p w14:paraId="3F60A3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②地下水水位监测</w:t>
      </w:r>
    </w:p>
    <w:p w14:paraId="79FF5015">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表5.1-9 地下水水位监测结果表</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2129"/>
        <w:gridCol w:w="2081"/>
        <w:gridCol w:w="1942"/>
      </w:tblGrid>
      <w:tr w14:paraId="7002D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shd w:val="clear" w:color="auto" w:fill="D7D7D7" w:themeFill="background1" w:themeFillShade="D8"/>
            <w:vAlign w:val="center"/>
          </w:tcPr>
          <w:p w14:paraId="621B2A05">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采样时间</w:t>
            </w:r>
          </w:p>
        </w:tc>
        <w:tc>
          <w:tcPr>
            <w:tcW w:w="2129" w:type="dxa"/>
            <w:shd w:val="clear" w:color="auto" w:fill="D7D7D7" w:themeFill="background1" w:themeFillShade="D8"/>
            <w:vAlign w:val="center"/>
          </w:tcPr>
          <w:p w14:paraId="0EDDCF13">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检测点位</w:t>
            </w:r>
          </w:p>
        </w:tc>
        <w:tc>
          <w:tcPr>
            <w:tcW w:w="2081" w:type="dxa"/>
            <w:shd w:val="clear" w:color="auto" w:fill="D7D7D7" w:themeFill="background1" w:themeFillShade="D8"/>
            <w:vAlign w:val="center"/>
          </w:tcPr>
          <w:p w14:paraId="3CBD7EFB">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检测项目</w:t>
            </w:r>
          </w:p>
        </w:tc>
        <w:tc>
          <w:tcPr>
            <w:tcW w:w="1942" w:type="dxa"/>
            <w:shd w:val="clear" w:color="auto" w:fill="D7D7D7" w:themeFill="background1" w:themeFillShade="D8"/>
            <w:vAlign w:val="center"/>
          </w:tcPr>
          <w:p w14:paraId="3EE82AF6">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检测结果</w:t>
            </w:r>
          </w:p>
        </w:tc>
      </w:tr>
      <w:tr w14:paraId="78588C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restart"/>
            <w:vAlign w:val="center"/>
          </w:tcPr>
          <w:p w14:paraId="46BECDC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2022.11.05</w:t>
            </w:r>
          </w:p>
        </w:tc>
        <w:tc>
          <w:tcPr>
            <w:tcW w:w="2129" w:type="dxa"/>
            <w:vAlign w:val="center"/>
          </w:tcPr>
          <w:p w14:paraId="5CAB5180">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GW1</w:t>
            </w:r>
          </w:p>
        </w:tc>
        <w:tc>
          <w:tcPr>
            <w:tcW w:w="2081" w:type="dxa"/>
            <w:vMerge w:val="restart"/>
            <w:vAlign w:val="center"/>
          </w:tcPr>
          <w:p w14:paraId="08E09BC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水位</w:t>
            </w:r>
          </w:p>
        </w:tc>
        <w:tc>
          <w:tcPr>
            <w:tcW w:w="1942" w:type="dxa"/>
            <w:vAlign w:val="center"/>
          </w:tcPr>
          <w:p w14:paraId="7FF04DB4">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11</w:t>
            </w:r>
          </w:p>
        </w:tc>
      </w:tr>
      <w:tr w14:paraId="693C0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continue"/>
            <w:vAlign w:val="center"/>
          </w:tcPr>
          <w:p w14:paraId="6FCAEE83">
            <w:pPr>
              <w:jc w:val="center"/>
              <w:rPr>
                <w:rFonts w:hint="default" w:ascii="Times New Roman" w:hAnsi="Times New Roman" w:eastAsia="宋体" w:cs="Times New Roman"/>
                <w:b w:val="0"/>
                <w:bCs w:val="0"/>
                <w:color w:val="auto"/>
                <w:vertAlign w:val="baseline"/>
                <w:lang w:val="en-US" w:eastAsia="zh-CN"/>
              </w:rPr>
            </w:pPr>
          </w:p>
        </w:tc>
        <w:tc>
          <w:tcPr>
            <w:tcW w:w="2129" w:type="dxa"/>
            <w:vAlign w:val="center"/>
          </w:tcPr>
          <w:p w14:paraId="2DCCF97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GW2</w:t>
            </w:r>
          </w:p>
        </w:tc>
        <w:tc>
          <w:tcPr>
            <w:tcW w:w="2081" w:type="dxa"/>
            <w:vMerge w:val="continue"/>
            <w:vAlign w:val="center"/>
          </w:tcPr>
          <w:p w14:paraId="69C33D2A">
            <w:pPr>
              <w:jc w:val="center"/>
              <w:rPr>
                <w:rFonts w:hint="default" w:ascii="Times New Roman" w:hAnsi="Times New Roman" w:eastAsia="宋体" w:cs="Times New Roman"/>
                <w:b w:val="0"/>
                <w:bCs w:val="0"/>
                <w:color w:val="auto"/>
                <w:vertAlign w:val="baseline"/>
                <w:lang w:val="en-US" w:eastAsia="zh-CN"/>
              </w:rPr>
            </w:pPr>
          </w:p>
        </w:tc>
        <w:tc>
          <w:tcPr>
            <w:tcW w:w="1942" w:type="dxa"/>
            <w:vAlign w:val="center"/>
          </w:tcPr>
          <w:p w14:paraId="010BE9D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9</w:t>
            </w:r>
          </w:p>
        </w:tc>
      </w:tr>
      <w:tr w14:paraId="7BE07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continue"/>
            <w:vAlign w:val="center"/>
          </w:tcPr>
          <w:p w14:paraId="47BC48DB">
            <w:pPr>
              <w:jc w:val="center"/>
              <w:rPr>
                <w:rFonts w:hint="default" w:ascii="Times New Roman" w:hAnsi="Times New Roman" w:eastAsia="宋体" w:cs="Times New Roman"/>
                <w:b w:val="0"/>
                <w:bCs w:val="0"/>
                <w:color w:val="auto"/>
                <w:vertAlign w:val="baseline"/>
                <w:lang w:val="en-US" w:eastAsia="zh-CN"/>
              </w:rPr>
            </w:pPr>
          </w:p>
        </w:tc>
        <w:tc>
          <w:tcPr>
            <w:tcW w:w="2129" w:type="dxa"/>
            <w:vAlign w:val="center"/>
          </w:tcPr>
          <w:p w14:paraId="1B38921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GW3</w:t>
            </w:r>
          </w:p>
        </w:tc>
        <w:tc>
          <w:tcPr>
            <w:tcW w:w="2081" w:type="dxa"/>
            <w:vMerge w:val="continue"/>
            <w:vAlign w:val="center"/>
          </w:tcPr>
          <w:p w14:paraId="2F4B2970">
            <w:pPr>
              <w:jc w:val="center"/>
              <w:rPr>
                <w:rFonts w:hint="default" w:ascii="Times New Roman" w:hAnsi="Times New Roman" w:eastAsia="宋体" w:cs="Times New Roman"/>
                <w:b w:val="0"/>
                <w:bCs w:val="0"/>
                <w:color w:val="auto"/>
                <w:vertAlign w:val="baseline"/>
                <w:lang w:val="en-US" w:eastAsia="zh-CN"/>
              </w:rPr>
            </w:pPr>
          </w:p>
        </w:tc>
        <w:tc>
          <w:tcPr>
            <w:tcW w:w="1942" w:type="dxa"/>
            <w:vAlign w:val="center"/>
          </w:tcPr>
          <w:p w14:paraId="688CB522">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7</w:t>
            </w:r>
          </w:p>
        </w:tc>
      </w:tr>
      <w:tr w14:paraId="376E6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continue"/>
            <w:vAlign w:val="center"/>
          </w:tcPr>
          <w:p w14:paraId="6C773D24">
            <w:pPr>
              <w:jc w:val="center"/>
              <w:rPr>
                <w:rFonts w:hint="default" w:ascii="Times New Roman" w:hAnsi="Times New Roman" w:eastAsia="宋体" w:cs="Times New Roman"/>
                <w:b w:val="0"/>
                <w:bCs w:val="0"/>
                <w:color w:val="auto"/>
                <w:vertAlign w:val="baseline"/>
                <w:lang w:val="en-US" w:eastAsia="zh-CN"/>
              </w:rPr>
            </w:pPr>
          </w:p>
        </w:tc>
        <w:tc>
          <w:tcPr>
            <w:tcW w:w="2129" w:type="dxa"/>
            <w:vAlign w:val="center"/>
          </w:tcPr>
          <w:p w14:paraId="704487E5">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GW4</w:t>
            </w:r>
          </w:p>
        </w:tc>
        <w:tc>
          <w:tcPr>
            <w:tcW w:w="2081" w:type="dxa"/>
            <w:vMerge w:val="continue"/>
            <w:vAlign w:val="center"/>
          </w:tcPr>
          <w:p w14:paraId="751EF540">
            <w:pPr>
              <w:jc w:val="center"/>
              <w:rPr>
                <w:rFonts w:hint="default" w:ascii="Times New Roman" w:hAnsi="Times New Roman" w:eastAsia="宋体" w:cs="Times New Roman"/>
                <w:b w:val="0"/>
                <w:bCs w:val="0"/>
                <w:color w:val="auto"/>
                <w:vertAlign w:val="baseline"/>
                <w:lang w:val="en-US" w:eastAsia="zh-CN"/>
              </w:rPr>
            </w:pPr>
          </w:p>
        </w:tc>
        <w:tc>
          <w:tcPr>
            <w:tcW w:w="1942" w:type="dxa"/>
            <w:vAlign w:val="center"/>
          </w:tcPr>
          <w:p w14:paraId="26FB160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11</w:t>
            </w:r>
          </w:p>
        </w:tc>
      </w:tr>
      <w:tr w14:paraId="62753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continue"/>
            <w:vAlign w:val="center"/>
          </w:tcPr>
          <w:p w14:paraId="6F69D0C2">
            <w:pPr>
              <w:jc w:val="center"/>
              <w:rPr>
                <w:rFonts w:hint="default" w:ascii="Times New Roman" w:hAnsi="Times New Roman" w:eastAsia="宋体" w:cs="Times New Roman"/>
                <w:b w:val="0"/>
                <w:bCs w:val="0"/>
                <w:color w:val="auto"/>
                <w:vertAlign w:val="baseline"/>
                <w:lang w:val="en-US" w:eastAsia="zh-CN"/>
              </w:rPr>
            </w:pPr>
          </w:p>
        </w:tc>
        <w:tc>
          <w:tcPr>
            <w:tcW w:w="2129" w:type="dxa"/>
            <w:vAlign w:val="center"/>
          </w:tcPr>
          <w:p w14:paraId="0DE6AFDA">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GW5</w:t>
            </w:r>
          </w:p>
        </w:tc>
        <w:tc>
          <w:tcPr>
            <w:tcW w:w="2081" w:type="dxa"/>
            <w:vMerge w:val="continue"/>
            <w:vAlign w:val="center"/>
          </w:tcPr>
          <w:p w14:paraId="093670B6">
            <w:pPr>
              <w:jc w:val="center"/>
              <w:rPr>
                <w:rFonts w:hint="default" w:ascii="Times New Roman" w:hAnsi="Times New Roman" w:eastAsia="宋体" w:cs="Times New Roman"/>
                <w:b w:val="0"/>
                <w:bCs w:val="0"/>
                <w:color w:val="auto"/>
                <w:vertAlign w:val="baseline"/>
                <w:lang w:val="en-US" w:eastAsia="zh-CN"/>
              </w:rPr>
            </w:pPr>
          </w:p>
        </w:tc>
        <w:tc>
          <w:tcPr>
            <w:tcW w:w="1942" w:type="dxa"/>
            <w:vAlign w:val="center"/>
          </w:tcPr>
          <w:p w14:paraId="21A3FE1D">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12</w:t>
            </w:r>
          </w:p>
        </w:tc>
      </w:tr>
      <w:tr w14:paraId="2A66B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vMerge w:val="continue"/>
            <w:vAlign w:val="center"/>
          </w:tcPr>
          <w:p w14:paraId="73BDE535">
            <w:pPr>
              <w:jc w:val="center"/>
              <w:rPr>
                <w:rFonts w:hint="default" w:ascii="Times New Roman" w:hAnsi="Times New Roman" w:eastAsia="宋体" w:cs="Times New Roman"/>
                <w:b w:val="0"/>
                <w:bCs w:val="0"/>
                <w:color w:val="auto"/>
                <w:vertAlign w:val="baseline"/>
                <w:lang w:val="en-US" w:eastAsia="zh-CN"/>
              </w:rPr>
            </w:pPr>
          </w:p>
        </w:tc>
        <w:tc>
          <w:tcPr>
            <w:tcW w:w="2129" w:type="dxa"/>
            <w:vAlign w:val="center"/>
          </w:tcPr>
          <w:p w14:paraId="1D7C2441">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GW6</w:t>
            </w:r>
          </w:p>
        </w:tc>
        <w:tc>
          <w:tcPr>
            <w:tcW w:w="2081" w:type="dxa"/>
            <w:vMerge w:val="continue"/>
            <w:vAlign w:val="center"/>
          </w:tcPr>
          <w:p w14:paraId="3FAA10B5">
            <w:pPr>
              <w:jc w:val="center"/>
              <w:rPr>
                <w:rFonts w:hint="default" w:ascii="Times New Roman" w:hAnsi="Times New Roman" w:eastAsia="宋体" w:cs="Times New Roman"/>
                <w:b w:val="0"/>
                <w:bCs w:val="0"/>
                <w:color w:val="auto"/>
                <w:vertAlign w:val="baseline"/>
                <w:lang w:val="en-US" w:eastAsia="zh-CN"/>
              </w:rPr>
            </w:pPr>
          </w:p>
        </w:tc>
        <w:tc>
          <w:tcPr>
            <w:tcW w:w="1942" w:type="dxa"/>
            <w:vAlign w:val="center"/>
          </w:tcPr>
          <w:p w14:paraId="3F854333">
            <w:pPr>
              <w:jc w:val="center"/>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9</w:t>
            </w:r>
          </w:p>
        </w:tc>
      </w:tr>
    </w:tbl>
    <w:p w14:paraId="225450C7">
      <w:pPr>
        <w:pStyle w:val="7"/>
        <w:bidi w:val="0"/>
        <w:outlineLvl w:val="1"/>
        <w:rPr>
          <w:rFonts w:hint="default" w:ascii="Times New Roman" w:hAnsi="Times New Roman" w:eastAsia="宋体" w:cs="Times New Roman"/>
          <w:color w:val="auto"/>
          <w:lang w:val="en-US" w:eastAsia="zh-CN"/>
        </w:rPr>
      </w:pPr>
      <w:bookmarkStart w:id="1697" w:name="_Toc23332"/>
      <w:bookmarkStart w:id="1698" w:name="_Toc1260"/>
      <w:r>
        <w:rPr>
          <w:rFonts w:hint="default" w:ascii="Times New Roman" w:hAnsi="Times New Roman" w:eastAsia="宋体" w:cs="Times New Roman"/>
          <w:color w:val="auto"/>
          <w:lang w:val="en-US" w:eastAsia="zh-CN"/>
        </w:rPr>
        <w:t>5.1.5土壤环境质量</w:t>
      </w:r>
      <w:bookmarkEnd w:id="1697"/>
      <w:bookmarkEnd w:id="1698"/>
    </w:p>
    <w:p w14:paraId="43F88D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本项目为综合医院</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建设</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目，依据《环境影响评价技术导则土壤环境(试行)》(HJ964-2018)中附录A，本项目属于“其他行业”，因此，本项目属于IV类项目。依据导则“4.2.2 IV类项目可不开展土壤环境影响评价”，因此本项目不予开展土壤环境影响评价。</w:t>
      </w:r>
    </w:p>
    <w:p w14:paraId="70C14A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bookmarkStart w:id="1699" w:name="_Toc18222"/>
      <w:bookmarkStart w:id="1700" w:name="_Toc19805"/>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5.1.6生态环境现状</w:t>
      </w:r>
      <w:bookmarkEnd w:id="1699"/>
      <w:bookmarkEnd w:id="1700"/>
    </w:p>
    <w:p w14:paraId="7E48E5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项目位于大英县文旅产业园区，区域生态状态以城市生态环境为主。项目用地为医疗卫生用地，且已经建设有部分框架，周围有较多居民小区，人类活动频繁，整个地块不涉及拆迁，项目区域内无大型野生动物及古大珍稀植物，无特殊文物保护单位，不存在重大环境制约因素。</w:t>
      </w:r>
    </w:p>
    <w:p w14:paraId="0F0D268E">
      <w:pP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p>
    <w:p w14:paraId="24B8A676">
      <w:pP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br w:type="page"/>
      </w:r>
    </w:p>
    <w:p w14:paraId="744A75DF">
      <w:pPr>
        <w:pStyle w:val="5"/>
        <w:bidi w:val="0"/>
        <w:rPr>
          <w:rFonts w:hint="default" w:ascii="Times New Roman" w:hAnsi="Times New Roman" w:eastAsia="宋体" w:cs="Times New Roman"/>
          <w:color w:val="auto"/>
        </w:rPr>
      </w:pPr>
      <w:bookmarkStart w:id="1701" w:name="_Toc20786"/>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环境影响预测与评价</w:t>
      </w:r>
      <w:bookmarkEnd w:id="1589"/>
      <w:bookmarkEnd w:id="1590"/>
      <w:bookmarkEnd w:id="1701"/>
    </w:p>
    <w:p w14:paraId="71B7A87B">
      <w:pPr>
        <w:pStyle w:val="6"/>
        <w:bidi w:val="0"/>
        <w:rPr>
          <w:rFonts w:hint="default" w:ascii="Times New Roman" w:hAnsi="Times New Roman" w:eastAsia="宋体" w:cs="Times New Roman"/>
          <w:color w:val="auto"/>
        </w:rPr>
      </w:pPr>
      <w:bookmarkStart w:id="1702" w:name="_Toc2762"/>
      <w:bookmarkEnd w:id="1702"/>
      <w:bookmarkStart w:id="1703" w:name="_Toc1266"/>
      <w:bookmarkEnd w:id="1703"/>
      <w:bookmarkStart w:id="1704" w:name="_Toc440380475"/>
      <w:bookmarkEnd w:id="1704"/>
      <w:bookmarkStart w:id="1705" w:name="_Toc27023"/>
      <w:bookmarkEnd w:id="1705"/>
      <w:bookmarkStart w:id="1706" w:name="_Toc13845"/>
      <w:bookmarkEnd w:id="1706"/>
      <w:bookmarkStart w:id="1707" w:name="_Toc2700"/>
      <w:bookmarkEnd w:id="1707"/>
      <w:bookmarkStart w:id="1708" w:name="_Toc16552"/>
      <w:bookmarkEnd w:id="1708"/>
      <w:bookmarkStart w:id="1709" w:name="_Toc10019"/>
      <w:bookmarkEnd w:id="1709"/>
      <w:bookmarkStart w:id="1710" w:name="_Toc29138"/>
      <w:bookmarkEnd w:id="1710"/>
      <w:bookmarkStart w:id="1711" w:name="_Toc5233"/>
      <w:bookmarkEnd w:id="1711"/>
      <w:bookmarkStart w:id="1712" w:name="_Toc30195"/>
      <w:bookmarkEnd w:id="1712"/>
      <w:bookmarkStart w:id="1713" w:name="_Toc7673"/>
      <w:bookmarkEnd w:id="1713"/>
      <w:bookmarkStart w:id="1714" w:name="_Toc2720"/>
      <w:bookmarkEnd w:id="1714"/>
      <w:bookmarkStart w:id="1715" w:name="_Toc23399"/>
      <w:bookmarkStart w:id="1716" w:name="_Toc14131"/>
      <w:bookmarkStart w:id="1717" w:name="_Toc24042"/>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.1施工期环境影响评价</w:t>
      </w:r>
      <w:bookmarkEnd w:id="1715"/>
      <w:bookmarkEnd w:id="1716"/>
      <w:bookmarkEnd w:id="1717"/>
    </w:p>
    <w:p w14:paraId="408E1C99">
      <w:pPr>
        <w:pStyle w:val="7"/>
        <w:bidi w:val="0"/>
        <w:rPr>
          <w:rFonts w:hint="default" w:ascii="Times New Roman" w:hAnsi="Times New Roman" w:eastAsia="宋体" w:cs="Times New Roman"/>
          <w:color w:val="auto"/>
          <w:lang w:val="en-US" w:eastAsia="zh-CN"/>
        </w:rPr>
      </w:pPr>
      <w:bookmarkStart w:id="1718" w:name="_Toc8204"/>
      <w:bookmarkStart w:id="1719" w:name="_Toc23537"/>
      <w:bookmarkStart w:id="1720" w:name="_Toc16797"/>
      <w:r>
        <w:rPr>
          <w:rFonts w:hint="default" w:ascii="Times New Roman" w:hAnsi="Times New Roman" w:eastAsia="宋体" w:cs="Times New Roman"/>
          <w:color w:val="auto"/>
          <w:lang w:val="en-US" w:eastAsia="zh-CN"/>
        </w:rPr>
        <w:t>6.1.1施工期大气环境影响分析</w:t>
      </w:r>
      <w:bookmarkEnd w:id="1718"/>
      <w:r>
        <w:rPr>
          <w:rFonts w:hint="default" w:ascii="Times New Roman" w:hAnsi="Times New Roman" w:eastAsia="宋体" w:cs="Times New Roman"/>
          <w:color w:val="auto"/>
          <w:lang w:val="en-US" w:eastAsia="zh-CN"/>
        </w:rPr>
        <w:t xml:space="preserve"> </w:t>
      </w:r>
    </w:p>
    <w:p w14:paraId="48245A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本工程在施工内可能的大气环境污染主要表现为施工扬尘、施工机械排放的尾气等。</w:t>
      </w:r>
    </w:p>
    <w:p w14:paraId="5E2118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（1）施工扬尘 </w:t>
      </w:r>
    </w:p>
    <w:p w14:paraId="749FD9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由于影响施工粉尘发生量的因素较多，施工粉尘呈面源性质，为无组织排放。施工过程扬尘主要来自三个方面：道路运输扬尘、堆场扬尘、施工作业点施工扬尘。在各种扬尘中，车辆行驶产生的扬尘占施工扬尘总量的60%以上。</w:t>
      </w:r>
    </w:p>
    <w:p w14:paraId="192052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①道路运输扬尘影响分析</w:t>
      </w:r>
    </w:p>
    <w:p w14:paraId="53258B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在施工过程中，车辆行驶产生的扬尘量占扬尘总量的 60%以上。车辆在行驶过程中产生的扬尘，在完全干燥的情况下，可按下列经验公式计算：</w:t>
      </w:r>
    </w:p>
    <w:p w14:paraId="6A25D1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Q=0.123(V/5)(w/6.8)</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0.85</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(P/0.5)</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0.75</w:t>
      </w:r>
    </w:p>
    <w:p w14:paraId="0C06D3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式中：Q——汽车行驶的扬尘，kg/km·辆；</w:t>
      </w:r>
    </w:p>
    <w:p w14:paraId="144D2D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V——汽车速度，km/h；</w:t>
      </w:r>
    </w:p>
    <w:p w14:paraId="5A7105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W——汽车载重量，吨；</w:t>
      </w:r>
    </w:p>
    <w:p w14:paraId="7EA5AF8F">
      <w:pPr>
        <w:keepNext w:val="0"/>
        <w:keepLines w:val="0"/>
        <w:pageBreakBefore w:val="0"/>
        <w:widowControl w:val="0"/>
        <w:tabs>
          <w:tab w:val="center" w:pos="415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P——道路表面粉尘量，kg/m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p>
    <w:p w14:paraId="35CC4A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可见，在同样的路面条件下，车速越快，扬尘量越大；在同样的车速情况下，路面越脏，扬尘量越大。因此，限制车辆行驶速度以及保持路面的清洁是减少汽车扬尘的有效手段。在施工期间对车辆行驶的路面实施洒水抑尘，每天洒水4次-5次，可使扬尘减少70%左右,将TSP的污染距离缩小到20m-50m 范围。</w:t>
      </w:r>
    </w:p>
    <w:p w14:paraId="4956E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②临时堆场扬尘影响分析 </w:t>
      </w:r>
    </w:p>
    <w:p w14:paraId="473C6B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阶段扬尘的另一个主要来源是露天堆场和裸露场地的风力扬尘。由于施工需要，建筑材料需露天临时堆放，部分施工作业点表层土壤需人工开挖且临时堆放，在气候干燥又有风的情况下，会产生扬尘，其扬尘量可按堆场起尘的经验公式计算：</w:t>
      </w:r>
    </w:p>
    <w:p w14:paraId="7B9717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rPr>
        <w:drawing>
          <wp:inline distT="0" distB="0" distL="114300" distR="114300">
            <wp:extent cx="2485390" cy="461645"/>
            <wp:effectExtent l="0" t="0" r="10160"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2485390" cy="461645"/>
                    </a:xfrm>
                    <a:prstGeom prst="rect">
                      <a:avLst/>
                    </a:prstGeom>
                    <a:noFill/>
                    <a:ln>
                      <a:noFill/>
                    </a:ln>
                  </pic:spPr>
                </pic:pic>
              </a:graphicData>
            </a:graphic>
          </wp:inline>
        </w:drawing>
      </w:r>
    </w:p>
    <w:p w14:paraId="514918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式中：Q——起尘量，kg/吨·年； V50——距地面 50m 处风速，m/s；V0——起尘风速，m/s； W——尘粒的含水率，%。 </w:t>
      </w:r>
    </w:p>
    <w:p w14:paraId="10F100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起尘风速与粒径和含水量有关，因此，减少露天堆放和保证一定的含水量及减少裸露地面是减少风力起尘的有效手段。对建筑材料等用毡布进行遮盖，减少材料裸露的时间以减小扬尘对大气环境的影响。</w:t>
      </w:r>
    </w:p>
    <w:p w14:paraId="5796B1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③施工作业点扬尘影响分析</w:t>
      </w:r>
    </w:p>
    <w:p w14:paraId="70E759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施工过程中扬尘对环境产生的一些不良影响是不可避免的。根据类比调查研究结果表明，在不采取防护措施（如开放式施工）和土壤、天气较为干燥的条件下，开挖场地的最大扬尘量约为装卸量的 1%，在采取一定防护措施（半封闭式施工）和土壤、天气较湿润的条件下，开挖场地的扬尘量约为 0.04%。 </w:t>
      </w:r>
    </w:p>
    <w:p w14:paraId="76F63F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综上，施工单位必须采取抑尘措施，禁止大风天气作业，减少建材的露天堆放及保证一定的含水率；对施工场地进行洒水抑尘，减少二次扬尘。 </w:t>
      </w:r>
    </w:p>
    <w:p w14:paraId="36FB94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（2）施工机械废气</w:t>
      </w:r>
    </w:p>
    <w:p w14:paraId="0F39D2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本项目施工过程主要的施工机械有挖掘机、搅拌机、推土机等机械，它们会排放一定量的 CO、NOx 以及未完全燃烧的 THC 等，这些污染物排放量不大，间断性排放。由于施工区空气流通性好，排放废气中的各项污染物能够很快扩散，不会引起局部大气环境质量的恶化；在选用施工机械时，应选择新型环保型的设备并加强机械的维护，尽可能的减少烟气地排放；而且废气排放的不连续性和工程施工期有限，排则放的废气对区域的环境空气质量影响较小。综上，项目施工期将会对施工场地周围的环境空气质量造成一定影响，但这些影响随着施工期的结束而结束。因此，项目施工期不会造成项目所在地环境空气质量明显恶化。</w:t>
      </w:r>
    </w:p>
    <w:p w14:paraId="0CF7C103">
      <w:pPr>
        <w:pStyle w:val="7"/>
        <w:bidi w:val="0"/>
        <w:rPr>
          <w:rFonts w:hint="default" w:ascii="Times New Roman" w:hAnsi="Times New Roman" w:eastAsia="宋体" w:cs="Times New Roman"/>
          <w:color w:val="auto"/>
        </w:rPr>
      </w:pPr>
      <w:bookmarkStart w:id="1721" w:name="_Toc8109"/>
      <w:r>
        <w:rPr>
          <w:rFonts w:hint="default" w:ascii="Times New Roman" w:hAnsi="Times New Roman" w:eastAsia="宋体" w:cs="Times New Roman"/>
          <w:color w:val="auto"/>
          <w:lang w:val="en-US" w:eastAsia="zh-CN"/>
        </w:rPr>
        <w:t>6.1.2 施工期地表水环境影响分析</w:t>
      </w:r>
      <w:bookmarkEnd w:id="1721"/>
    </w:p>
    <w:p w14:paraId="77CDDB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rPr>
      </w:pPr>
      <w:bookmarkStart w:id="1722" w:name="_Toc3988"/>
      <w:bookmarkStart w:id="1723" w:name="_Toc11994"/>
      <w:bookmarkStart w:id="1724" w:name="_Toc9007"/>
      <w:bookmarkStart w:id="1725" w:name="_Toc213"/>
      <w:r>
        <w:rPr>
          <w:rFonts w:hint="default" w:ascii="Times New Roman" w:hAnsi="Times New Roman" w:eastAsia="宋体" w:cs="Times New Roman"/>
          <w:color w:val="auto"/>
          <w:kern w:val="0"/>
          <w:sz w:val="24"/>
          <w:szCs w:val="24"/>
          <w:lang w:val="en-US" w:eastAsia="zh-CN" w:bidi="ar"/>
        </w:rPr>
        <w:t>（1）施工废水</w:t>
      </w:r>
      <w:bookmarkEnd w:id="1722"/>
      <w:bookmarkEnd w:id="1723"/>
      <w:bookmarkEnd w:id="1724"/>
      <w:bookmarkEnd w:id="1725"/>
    </w:p>
    <w:p w14:paraId="080D2E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混凝土采用商品混凝土，施工废水是设备工具清洗水等，主要含SS和石油类，其产生量较小。根据工程分析内容，施工废水产生量约为2.7m³/d，建设单位在施工现场开挖修建隔油沉淀池，对施工废水进行隔油、沉淀除渣后循环使用，严格做到不外排，对区域水环境基本无影响。</w:t>
      </w:r>
    </w:p>
    <w:p w14:paraId="3FCFD1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rPr>
      </w:pPr>
      <w:bookmarkStart w:id="1726" w:name="_Toc28761"/>
      <w:bookmarkStart w:id="1727" w:name="_Toc17085"/>
      <w:bookmarkStart w:id="1728" w:name="_Toc2866"/>
      <w:bookmarkStart w:id="1729" w:name="_Toc1979"/>
      <w:r>
        <w:rPr>
          <w:rFonts w:hint="default" w:ascii="Times New Roman" w:hAnsi="Times New Roman" w:eastAsia="宋体" w:cs="Times New Roman"/>
          <w:color w:val="auto"/>
          <w:kern w:val="0"/>
          <w:sz w:val="24"/>
          <w:szCs w:val="24"/>
          <w:lang w:val="en-US" w:eastAsia="zh-CN" w:bidi="ar"/>
        </w:rPr>
        <w:t>（2）施工及管理人员生活废水</w:t>
      </w:r>
      <w:bookmarkEnd w:id="1726"/>
      <w:bookmarkEnd w:id="1727"/>
      <w:bookmarkEnd w:id="1728"/>
      <w:bookmarkEnd w:id="1729"/>
      <w:r>
        <w:rPr>
          <w:rFonts w:hint="default" w:ascii="Times New Roman" w:hAnsi="Times New Roman" w:eastAsia="宋体" w:cs="Times New Roman"/>
          <w:color w:val="auto"/>
          <w:kern w:val="0"/>
          <w:sz w:val="24"/>
          <w:szCs w:val="24"/>
          <w:lang w:val="en-US" w:eastAsia="zh-CN" w:bidi="ar"/>
        </w:rPr>
        <w:t xml:space="preserve"> </w:t>
      </w:r>
    </w:p>
    <w:p w14:paraId="66284C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项目施工期施工人员约100人，根据工程分析，施工期生活污水产生量为4.25m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/d，如果这些污废水不经适当处理，随意排放会污染周边地区的地面水环境。因此在施工期间要求加强对施工人员的管理，生活污水排入园区污水管网，避免对水环境的污染。</w:t>
      </w:r>
    </w:p>
    <w:p w14:paraId="190AEE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rPr>
      </w:pPr>
      <w:bookmarkStart w:id="1730" w:name="_Toc11002"/>
      <w:bookmarkStart w:id="1731" w:name="_Toc2369"/>
      <w:bookmarkStart w:id="1732" w:name="_Toc28569"/>
      <w:bookmarkStart w:id="1733" w:name="_Toc27440"/>
      <w:r>
        <w:rPr>
          <w:rFonts w:hint="default" w:ascii="Times New Roman" w:hAnsi="Times New Roman" w:eastAsia="宋体" w:cs="Times New Roman"/>
          <w:color w:val="auto"/>
          <w:kern w:val="0"/>
          <w:sz w:val="24"/>
          <w:szCs w:val="24"/>
          <w:lang w:val="en-US" w:eastAsia="zh-CN" w:bidi="ar"/>
        </w:rPr>
        <w:t>（3）初期雨水</w:t>
      </w:r>
      <w:bookmarkEnd w:id="1730"/>
      <w:bookmarkEnd w:id="1731"/>
      <w:bookmarkEnd w:id="1732"/>
      <w:bookmarkEnd w:id="1733"/>
    </w:p>
    <w:p w14:paraId="0B850F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在雨天施工时容易造成局部水土流失，该部分废水含有泥沙，直接外排会使周围水体的悬浮物含量增加，甚至还会阻塞排水管网。施工期在施工场地内设置临时排水沟，引排施工场地雨天产生的地表径流水，经项目临时施工沉淀池收集后部分回用于施工过程或施工现场洒水降尘，多余部分经进一步沉淀过滤处理，排入周边雨水管。经沉淀处理后的初期雨水悬浮物量较少，排入市政雨水管网不能堵塞管道，对周围水环境的影响不大。</w:t>
      </w:r>
    </w:p>
    <w:p w14:paraId="448A1D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sz w:val="24"/>
          <w:szCs w:val="24"/>
        </w:rPr>
      </w:pPr>
      <w:bookmarkStart w:id="1734" w:name="_Toc31013"/>
      <w:bookmarkStart w:id="1735" w:name="_Toc13595"/>
      <w:bookmarkStart w:id="1736" w:name="_Toc25122"/>
      <w:bookmarkStart w:id="1737" w:name="_Toc4890"/>
      <w:r>
        <w:rPr>
          <w:rFonts w:hint="default" w:ascii="Times New Roman" w:hAnsi="Times New Roman" w:eastAsia="宋体" w:cs="Times New Roman"/>
          <w:color w:val="auto"/>
          <w:kern w:val="0"/>
          <w:sz w:val="24"/>
          <w:szCs w:val="24"/>
          <w:lang w:val="en-US" w:eastAsia="zh-CN" w:bidi="ar"/>
        </w:rPr>
        <w:t>（4）基坑废水</w:t>
      </w:r>
      <w:bookmarkEnd w:id="1734"/>
      <w:bookmarkEnd w:id="1735"/>
      <w:bookmarkEnd w:id="1736"/>
      <w:bookmarkEnd w:id="1737"/>
    </w:p>
    <w:p w14:paraId="65E678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过程中当基坑开挖后立即组织人员对基坑周边设置有效的止水帷幕，对基坑四周进行钻孔打入锚杆灌浆，并在开挖面进行喷浆处理，保障开挖面稳定，基坑开挖与基坑支护交替作业。开挖结束后及时封闭基坑，以此减少基坑涌水的产生。</w:t>
      </w:r>
    </w:p>
    <w:p w14:paraId="7BD7C1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期基坑开挖过程中产生的基坑水中的主要污染物为SS。若不采取处理措施基坑水直接排出，随地势高程曼流排入周边道路，将影响周边居民正常出行及周边地表水水质。建设单位在项目区施工出入口设置沉淀池，采用水泵将基坑水泵入沉淀池沉淀处理后，充分回用于洒水降尘和施工用水。</w:t>
      </w:r>
    </w:p>
    <w:p w14:paraId="645655D7">
      <w:pPr>
        <w:pStyle w:val="7"/>
        <w:bidi w:val="0"/>
        <w:outlineLvl w:val="1"/>
        <w:rPr>
          <w:rFonts w:hint="default" w:ascii="Times New Roman" w:hAnsi="Times New Roman" w:eastAsia="宋体" w:cs="Times New Roman"/>
          <w:color w:val="auto"/>
        </w:rPr>
      </w:pPr>
      <w:bookmarkStart w:id="1738" w:name="_Toc17309"/>
      <w:r>
        <w:rPr>
          <w:rFonts w:hint="default" w:ascii="Times New Roman" w:hAnsi="Times New Roman" w:eastAsia="宋体" w:cs="Times New Roman"/>
          <w:color w:val="auto"/>
          <w:lang w:val="en-US" w:eastAsia="zh-CN"/>
        </w:rPr>
        <w:t>6.1.3 地下水环境影响分析</w:t>
      </w:r>
      <w:bookmarkEnd w:id="1738"/>
      <w:r>
        <w:rPr>
          <w:rFonts w:hint="default" w:ascii="Times New Roman" w:hAnsi="Times New Roman" w:eastAsia="宋体" w:cs="Times New Roman"/>
          <w:color w:val="auto"/>
          <w:lang w:val="en-US" w:eastAsia="zh-CN"/>
        </w:rPr>
        <w:t xml:space="preserve"> </w:t>
      </w:r>
    </w:p>
    <w:p w14:paraId="51EE570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39" w:name="_Toc2917"/>
      <w:bookmarkStart w:id="1740" w:name="_Toc15759"/>
      <w:bookmarkStart w:id="1741" w:name="_Toc21339"/>
      <w:bookmarkStart w:id="1742" w:name="_Toc1768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项目工程活动施工期对地下水环境的影响主要为施工期的废水、垃圾对地下水水质的影响。另外，项目基坑开挖过程中可能会对项目区地下水水量及水质造成一定影响。</w:t>
      </w:r>
      <w:bookmarkEnd w:id="1739"/>
      <w:bookmarkEnd w:id="1740"/>
      <w:bookmarkEnd w:id="1741"/>
      <w:bookmarkEnd w:id="1742"/>
    </w:p>
    <w:p w14:paraId="5A48EF2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43" w:name="_Toc30480"/>
      <w:bookmarkStart w:id="1744" w:name="_Toc24301"/>
      <w:bookmarkStart w:id="1745" w:name="_Toc12879"/>
      <w:bookmarkStart w:id="1746" w:name="_Toc1571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废水主要有施工作业废水、施工人员的生活废水及雨季地表径流。根据工程分析，施工作业废水经沉淀处理后回用于建筑材料的冲洗、施工作业和及施工场地喷水降尘，不外排。项目不单独设置施工生活区，施工人员产生的生活污水主要是洗手废水，通过沉淀池处理后回用，不外排。项目施工过程中产生的雨季地表径流，主要污染物为 SS，经沉淀处理后回用于施工作业和洒水降尘，剩余部分外排入雨水管网，对地下水影响很小。</w:t>
      </w:r>
      <w:bookmarkEnd w:id="1743"/>
      <w:bookmarkEnd w:id="1744"/>
      <w:bookmarkEnd w:id="1745"/>
      <w:bookmarkEnd w:id="1746"/>
    </w:p>
    <w:p w14:paraId="1B1A841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47" w:name="_Toc14111"/>
      <w:bookmarkStart w:id="1748" w:name="_Toc21251"/>
      <w:bookmarkStart w:id="1749" w:name="_Toc29074"/>
      <w:bookmarkStart w:id="1750" w:name="_Toc3131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施工过程中当基坑开挖后立即组织人员对基坑周边设置有效的止水帷幕，对基坑四周进行钻孔打入锚杆灌浆，并在开挖面进行喷浆处理，保障开挖面稳定，基坑开挖与基坑支护交替作业。开挖结束后及时封闭基坑，以此减少基坑涌水的产生。项目场区地处高原盆地边缘，地形平坦，地下水的储量较大，项目通过采取相应措施后，基坑涌水量较小，对区域地下水疏干作用不明显，对区域地下水水量影响不大。</w:t>
      </w:r>
      <w:bookmarkEnd w:id="1747"/>
      <w:bookmarkEnd w:id="1748"/>
      <w:bookmarkEnd w:id="1749"/>
      <w:bookmarkEnd w:id="1750"/>
    </w:p>
    <w:p w14:paraId="248C072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51" w:name="_Toc22379"/>
      <w:bookmarkStart w:id="1752" w:name="_Toc23170"/>
      <w:bookmarkStart w:id="1753" w:name="_Toc30825"/>
      <w:bookmarkStart w:id="1754" w:name="_Toc2699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项目施工期基坑开挖过程中产生的基坑涌水中的主要污染物为 SS。项目在施工过程中，及时采用水泵将基坑涌水泵入沉淀池进行沉淀处理后，充分回用于洒水降尘和施工用水。项目基坑废水不直接排放至外环境，对区域地下水水质影响较小。</w:t>
      </w:r>
      <w:bookmarkEnd w:id="1751"/>
      <w:bookmarkEnd w:id="1752"/>
      <w:bookmarkEnd w:id="1753"/>
      <w:bookmarkEnd w:id="1754"/>
    </w:p>
    <w:p w14:paraId="1A8E5DC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55" w:name="_Toc4717"/>
      <w:bookmarkStart w:id="1756" w:name="_Toc28580"/>
      <w:bookmarkStart w:id="1757" w:name="_Toc14922"/>
      <w:bookmarkStart w:id="1758" w:name="_Toc778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所述：项目基坑涌水量较小，对区域地下水疏干作用不明显，对区域地下水水量影响不大；基坑废水不直接排放至外环境，对区域地下水水质影响较小。项目施工期产生的施工废水、生活污水和雨季地表径流经分别经沉淀处理后回用，对地下水影响很小。</w:t>
      </w:r>
      <w:bookmarkEnd w:id="1755"/>
      <w:bookmarkEnd w:id="1756"/>
      <w:bookmarkEnd w:id="1757"/>
      <w:bookmarkEnd w:id="1758"/>
    </w:p>
    <w:p w14:paraId="7A4FA2A8">
      <w:pPr>
        <w:pStyle w:val="7"/>
        <w:bidi w:val="0"/>
        <w:outlineLvl w:val="1"/>
        <w:rPr>
          <w:rFonts w:hint="default" w:ascii="Times New Roman" w:hAnsi="Times New Roman" w:eastAsia="宋体" w:cs="Times New Roman"/>
          <w:color w:val="auto"/>
          <w:lang w:val="en-US" w:eastAsia="zh-CN"/>
        </w:rPr>
      </w:pPr>
      <w:bookmarkStart w:id="1759" w:name="_Toc32494"/>
      <w:r>
        <w:rPr>
          <w:rFonts w:hint="default" w:ascii="Times New Roman" w:hAnsi="Times New Roman" w:eastAsia="宋体" w:cs="Times New Roman"/>
          <w:color w:val="auto"/>
          <w:lang w:val="en-US" w:eastAsia="zh-CN"/>
        </w:rPr>
        <w:t>6.1.4 施工噪声对周围声环境的影响</w:t>
      </w:r>
      <w:bookmarkEnd w:id="1759"/>
      <w:r>
        <w:rPr>
          <w:rFonts w:hint="default" w:ascii="Times New Roman" w:hAnsi="Times New Roman" w:eastAsia="宋体" w:cs="Times New Roman"/>
          <w:color w:val="auto"/>
          <w:lang w:val="en-US" w:eastAsia="zh-CN"/>
        </w:rPr>
        <w:t xml:space="preserve"> </w:t>
      </w:r>
    </w:p>
    <w:p w14:paraId="1236E87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60" w:name="_Toc14863"/>
      <w:bookmarkStart w:id="1761" w:name="_Toc22232"/>
      <w:bookmarkStart w:id="1762" w:name="_Toc1115"/>
      <w:bookmarkStart w:id="1763" w:name="_Toc811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（1）施工噪声预测</w:t>
      </w:r>
      <w:bookmarkEnd w:id="1760"/>
      <w:bookmarkEnd w:id="1761"/>
      <w:bookmarkEnd w:id="1762"/>
      <w:bookmarkEnd w:id="176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 </w:t>
      </w:r>
    </w:p>
    <w:p w14:paraId="07AFAF51">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1）预测模式</w:t>
      </w:r>
    </w:p>
    <w:p w14:paraId="161182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计算声源作用在预测点时产生的A声级</w:t>
      </w:r>
    </w:p>
    <w:p w14:paraId="2D2CD0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项目噪声随着距离的衰减可采用以下预测模式计算：</w:t>
      </w:r>
    </w:p>
    <w:p w14:paraId="20F51A0C">
      <w:pPr>
        <w:keepNext w:val="0"/>
        <w:keepLines w:val="0"/>
        <w:pageBreakBefore w:val="0"/>
        <w:widowControl w:val="0"/>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－20lg(r</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)-△L</w:t>
      </w:r>
    </w:p>
    <w:p w14:paraId="1118F8E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——距声源r</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处的声级，dB(A)；</w:t>
      </w:r>
    </w:p>
    <w:p w14:paraId="14882F7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——距声源r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处的声级，dB(A)；</w:t>
      </w:r>
    </w:p>
    <w:p w14:paraId="1F0009A3">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——预测点距噪声源距离，m；</w:t>
      </w:r>
    </w:p>
    <w:p w14:paraId="2613D5C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——噪声测量点距噪声源距离，m；</w:t>
      </w:r>
    </w:p>
    <w:p w14:paraId="2AB007FB">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△L——各种因素引起的衰减量（包括遮挡物、空气吸收、地面效应引起的衰减量）。一般为8-25dB(A)。</w:t>
      </w:r>
    </w:p>
    <w:p w14:paraId="5E4C98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计算噪声从各声源传播到预测点的等效声级贡献值，计算公式如下：</w:t>
      </w:r>
    </w:p>
    <w:p w14:paraId="4C95D0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62100" cy="419735"/>
            <wp:effectExtent l="0" t="0" r="0" b="184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8"/>
                    <a:stretch>
                      <a:fillRect/>
                    </a:stretch>
                  </pic:blipFill>
                  <pic:spPr>
                    <a:xfrm>
                      <a:off x="0" y="0"/>
                      <a:ext cx="1562100" cy="419735"/>
                    </a:xfrm>
                    <a:prstGeom prst="rect">
                      <a:avLst/>
                    </a:prstGeom>
                    <a:noFill/>
                    <a:ln>
                      <a:noFill/>
                    </a:ln>
                  </pic:spPr>
                </pic:pic>
              </a:graphicData>
            </a:graphic>
          </wp:inline>
        </w:drawing>
      </w:r>
    </w:p>
    <w:p w14:paraId="5A7E66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4620B9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L—建设项目声源在预测点的等效声级贡献值，dB（A）；</w:t>
      </w:r>
    </w:p>
    <w:p w14:paraId="21AF9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—i声源在预测点产生的A声级，dB（A）；</w:t>
      </w:r>
    </w:p>
    <w:p w14:paraId="01A903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T—预测计算的时间段，s；</w:t>
      </w:r>
    </w:p>
    <w:p w14:paraId="159775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—i声源在T时段内的运行时间，s；</w:t>
      </w:r>
    </w:p>
    <w:p w14:paraId="5437DF1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764" w:name="_Toc7115"/>
      <w:bookmarkStart w:id="1765" w:name="_Toc22220"/>
      <w:bookmarkStart w:id="1766" w:name="_Toc32026"/>
      <w:bookmarkStart w:id="1767" w:name="_Toc1842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施工期噪声预测结果见表6.1-1</w:t>
      </w:r>
      <w:bookmarkEnd w:id="1764"/>
      <w:bookmarkEnd w:id="1765"/>
      <w:bookmarkEnd w:id="1766"/>
      <w:bookmarkEnd w:id="1767"/>
    </w:p>
    <w:p w14:paraId="4FF3EE1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outlineLvl w:val="1"/>
        <w:rPr>
          <w:rFonts w:hint="default" w:ascii="Times New Roman" w:hAnsi="Times New Roman" w:eastAsia="宋体" w:cs="Times New Roman"/>
          <w:b/>
          <w:bCs/>
          <w:color w:val="auto"/>
          <w:kern w:val="2"/>
          <w:sz w:val="21"/>
          <w:szCs w:val="21"/>
          <w:lang w:val="en-US" w:eastAsia="zh-CN" w:bidi="ar-SA"/>
        </w:rPr>
      </w:pPr>
      <w:bookmarkStart w:id="1768" w:name="_Toc22478"/>
      <w:bookmarkStart w:id="1769" w:name="_Toc28851"/>
      <w:bookmarkStart w:id="1770" w:name="_Toc26141"/>
      <w:bookmarkStart w:id="1771" w:name="_Toc28902"/>
      <w:r>
        <w:rPr>
          <w:rFonts w:hint="default" w:ascii="Times New Roman" w:hAnsi="Times New Roman" w:eastAsia="宋体" w:cs="Times New Roman"/>
          <w:b/>
          <w:bCs/>
          <w:color w:val="auto"/>
          <w:kern w:val="2"/>
          <w:sz w:val="21"/>
          <w:szCs w:val="21"/>
          <w:lang w:val="en-US" w:eastAsia="zh-CN" w:bidi="ar-SA"/>
        </w:rPr>
        <w:t>表6.1-1 施工期噪声预测结果</w:t>
      </w:r>
      <w:bookmarkEnd w:id="1768"/>
      <w:bookmarkEnd w:id="1769"/>
      <w:bookmarkEnd w:id="1770"/>
      <w:bookmarkEnd w:id="1771"/>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712"/>
        <w:gridCol w:w="675"/>
        <w:gridCol w:w="737"/>
        <w:gridCol w:w="787"/>
        <w:gridCol w:w="687"/>
        <w:gridCol w:w="675"/>
        <w:gridCol w:w="738"/>
        <w:gridCol w:w="725"/>
        <w:gridCol w:w="1096"/>
      </w:tblGrid>
      <w:tr w14:paraId="505B2A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0" w:type="dxa"/>
            <w:gridSpan w:val="2"/>
            <w:vMerge w:val="restart"/>
            <w:shd w:val="clear" w:color="auto" w:fill="D7D7D7" w:themeFill="background1" w:themeFillShade="D8"/>
            <w:vAlign w:val="center"/>
          </w:tcPr>
          <w:p w14:paraId="14AEE44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72" w:name="_Toc964"/>
            <w:bookmarkStart w:id="1773" w:name="_Toc10557"/>
            <w:bookmarkStart w:id="1774" w:name="_Toc23251"/>
            <w:bookmarkStart w:id="1775" w:name="_Toc2112"/>
            <w:r>
              <w:rPr>
                <w:rFonts w:hint="default" w:ascii="Times New Roman" w:hAnsi="Times New Roman" w:eastAsia="宋体" w:cs="Times New Roman"/>
                <w:b/>
                <w:bCs/>
                <w:color w:val="auto"/>
                <w:kern w:val="0"/>
                <w:sz w:val="21"/>
                <w:szCs w:val="21"/>
                <w:lang w:val="en-US" w:eastAsia="zh-CN" w:bidi="ar"/>
              </w:rPr>
              <w:t>噪声源强dB（A）</w:t>
            </w:r>
            <w:bookmarkEnd w:id="1772"/>
            <w:bookmarkEnd w:id="1773"/>
            <w:bookmarkEnd w:id="1774"/>
            <w:bookmarkEnd w:id="1775"/>
          </w:p>
        </w:tc>
        <w:tc>
          <w:tcPr>
            <w:tcW w:w="5025" w:type="dxa"/>
            <w:gridSpan w:val="7"/>
            <w:shd w:val="clear" w:color="auto" w:fill="D7D7D7" w:themeFill="background1" w:themeFillShade="D8"/>
            <w:vAlign w:val="center"/>
          </w:tcPr>
          <w:p w14:paraId="2544BB2D">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预测距离（m）</w:t>
            </w:r>
          </w:p>
        </w:tc>
        <w:tc>
          <w:tcPr>
            <w:tcW w:w="1097" w:type="dxa"/>
            <w:vMerge w:val="restart"/>
            <w:shd w:val="clear" w:color="auto" w:fill="D7D7D7" w:themeFill="background1" w:themeFillShade="D8"/>
            <w:vAlign w:val="center"/>
          </w:tcPr>
          <w:p w14:paraId="31DE245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76" w:name="_Toc22247"/>
            <w:bookmarkStart w:id="1777" w:name="_Toc14397"/>
            <w:bookmarkStart w:id="1778" w:name="_Toc27398"/>
            <w:bookmarkStart w:id="1779" w:name="_Toc25037"/>
            <w:r>
              <w:rPr>
                <w:rFonts w:hint="default" w:ascii="Times New Roman" w:hAnsi="Times New Roman" w:eastAsia="宋体" w:cs="Times New Roman"/>
                <w:b/>
                <w:bCs/>
                <w:color w:val="auto"/>
                <w:kern w:val="0"/>
                <w:sz w:val="21"/>
                <w:szCs w:val="21"/>
                <w:lang w:val="en-US" w:eastAsia="zh-CN" w:bidi="ar"/>
              </w:rPr>
              <w:t>备注</w:t>
            </w:r>
            <w:bookmarkEnd w:id="1776"/>
            <w:bookmarkEnd w:id="1777"/>
            <w:bookmarkEnd w:id="1778"/>
            <w:bookmarkEnd w:id="1779"/>
          </w:p>
        </w:tc>
      </w:tr>
      <w:tr w14:paraId="04100D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0" w:type="dxa"/>
            <w:gridSpan w:val="2"/>
            <w:vMerge w:val="continue"/>
            <w:shd w:val="clear" w:color="auto" w:fill="D7D7D7" w:themeFill="background1" w:themeFillShade="D8"/>
            <w:vAlign w:val="center"/>
          </w:tcPr>
          <w:p w14:paraId="2A2099C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color w:val="auto"/>
                <w:kern w:val="0"/>
                <w:sz w:val="21"/>
                <w:szCs w:val="21"/>
                <w:lang w:val="en-US" w:eastAsia="zh-CN" w:bidi="ar"/>
              </w:rPr>
            </w:pPr>
          </w:p>
        </w:tc>
        <w:tc>
          <w:tcPr>
            <w:tcW w:w="675" w:type="dxa"/>
            <w:shd w:val="clear" w:color="auto" w:fill="D7D7D7" w:themeFill="background1" w:themeFillShade="D8"/>
            <w:vAlign w:val="center"/>
          </w:tcPr>
          <w:p w14:paraId="29B2930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80" w:name="_Toc15040"/>
            <w:bookmarkStart w:id="1781" w:name="_Toc14790"/>
            <w:bookmarkStart w:id="1782" w:name="_Toc895"/>
            <w:bookmarkStart w:id="1783" w:name="_Toc30372"/>
            <w:r>
              <w:rPr>
                <w:rFonts w:hint="default" w:ascii="Times New Roman" w:hAnsi="Times New Roman" w:eastAsia="宋体" w:cs="Times New Roman"/>
                <w:b/>
                <w:bCs/>
                <w:color w:val="auto"/>
                <w:kern w:val="0"/>
                <w:sz w:val="21"/>
                <w:szCs w:val="21"/>
                <w:lang w:val="en-US" w:eastAsia="zh-CN" w:bidi="ar"/>
              </w:rPr>
              <w:t>10</w:t>
            </w:r>
            <w:bookmarkEnd w:id="1780"/>
            <w:bookmarkEnd w:id="1781"/>
            <w:bookmarkEnd w:id="1782"/>
            <w:bookmarkEnd w:id="1783"/>
          </w:p>
        </w:tc>
        <w:tc>
          <w:tcPr>
            <w:tcW w:w="737" w:type="dxa"/>
            <w:shd w:val="clear" w:color="auto" w:fill="D7D7D7" w:themeFill="background1" w:themeFillShade="D8"/>
            <w:vAlign w:val="center"/>
          </w:tcPr>
          <w:p w14:paraId="7BEAC11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84" w:name="_Toc19806"/>
            <w:bookmarkStart w:id="1785" w:name="_Toc1069"/>
            <w:bookmarkStart w:id="1786" w:name="_Toc9792"/>
            <w:bookmarkStart w:id="1787" w:name="_Toc29771"/>
            <w:r>
              <w:rPr>
                <w:rFonts w:hint="default" w:ascii="Times New Roman" w:hAnsi="Times New Roman" w:eastAsia="宋体" w:cs="Times New Roman"/>
                <w:b/>
                <w:bCs/>
                <w:color w:val="auto"/>
                <w:kern w:val="0"/>
                <w:sz w:val="21"/>
                <w:szCs w:val="21"/>
                <w:lang w:val="en-US" w:eastAsia="zh-CN" w:bidi="ar"/>
              </w:rPr>
              <w:t>20</w:t>
            </w:r>
            <w:bookmarkEnd w:id="1784"/>
            <w:bookmarkEnd w:id="1785"/>
            <w:bookmarkEnd w:id="1786"/>
            <w:bookmarkEnd w:id="1787"/>
          </w:p>
        </w:tc>
        <w:tc>
          <w:tcPr>
            <w:tcW w:w="788" w:type="dxa"/>
            <w:shd w:val="clear" w:color="auto" w:fill="D7D7D7" w:themeFill="background1" w:themeFillShade="D8"/>
            <w:vAlign w:val="center"/>
          </w:tcPr>
          <w:p w14:paraId="006E2C0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88" w:name="_Toc21034"/>
            <w:bookmarkStart w:id="1789" w:name="_Toc16462"/>
            <w:bookmarkStart w:id="1790" w:name="_Toc26400"/>
            <w:bookmarkStart w:id="1791" w:name="_Toc29685"/>
            <w:r>
              <w:rPr>
                <w:rFonts w:hint="default" w:ascii="Times New Roman" w:hAnsi="Times New Roman" w:eastAsia="宋体" w:cs="Times New Roman"/>
                <w:b/>
                <w:bCs/>
                <w:color w:val="auto"/>
                <w:kern w:val="0"/>
                <w:sz w:val="21"/>
                <w:szCs w:val="21"/>
                <w:lang w:val="en-US" w:eastAsia="zh-CN" w:bidi="ar"/>
              </w:rPr>
              <w:t>30</w:t>
            </w:r>
            <w:bookmarkEnd w:id="1788"/>
            <w:bookmarkEnd w:id="1789"/>
            <w:bookmarkEnd w:id="1790"/>
            <w:bookmarkEnd w:id="1791"/>
          </w:p>
        </w:tc>
        <w:tc>
          <w:tcPr>
            <w:tcW w:w="687" w:type="dxa"/>
            <w:shd w:val="clear" w:color="auto" w:fill="D7D7D7" w:themeFill="background1" w:themeFillShade="D8"/>
            <w:vAlign w:val="center"/>
          </w:tcPr>
          <w:p w14:paraId="043A088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92" w:name="_Toc30554"/>
            <w:bookmarkStart w:id="1793" w:name="_Toc10853"/>
            <w:bookmarkStart w:id="1794" w:name="_Toc18400"/>
            <w:bookmarkStart w:id="1795" w:name="_Toc17303"/>
            <w:r>
              <w:rPr>
                <w:rFonts w:hint="default" w:ascii="Times New Roman" w:hAnsi="Times New Roman" w:eastAsia="宋体" w:cs="Times New Roman"/>
                <w:b/>
                <w:bCs/>
                <w:color w:val="auto"/>
                <w:kern w:val="0"/>
                <w:sz w:val="21"/>
                <w:szCs w:val="21"/>
                <w:lang w:val="en-US" w:eastAsia="zh-CN" w:bidi="ar"/>
              </w:rPr>
              <w:t>50</w:t>
            </w:r>
            <w:bookmarkEnd w:id="1792"/>
            <w:bookmarkEnd w:id="1793"/>
            <w:bookmarkEnd w:id="1794"/>
            <w:bookmarkEnd w:id="1795"/>
          </w:p>
        </w:tc>
        <w:tc>
          <w:tcPr>
            <w:tcW w:w="675" w:type="dxa"/>
            <w:shd w:val="clear" w:color="auto" w:fill="D7D7D7" w:themeFill="background1" w:themeFillShade="D8"/>
            <w:vAlign w:val="center"/>
          </w:tcPr>
          <w:p w14:paraId="45CC2EB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796" w:name="_Toc27731"/>
            <w:bookmarkStart w:id="1797" w:name="_Toc17531"/>
            <w:bookmarkStart w:id="1798" w:name="_Toc781"/>
            <w:bookmarkStart w:id="1799" w:name="_Toc23158"/>
            <w:r>
              <w:rPr>
                <w:rFonts w:hint="default" w:ascii="Times New Roman" w:hAnsi="Times New Roman" w:eastAsia="宋体" w:cs="Times New Roman"/>
                <w:b/>
                <w:bCs/>
                <w:color w:val="auto"/>
                <w:kern w:val="0"/>
                <w:sz w:val="21"/>
                <w:szCs w:val="21"/>
                <w:lang w:val="en-US" w:eastAsia="zh-CN" w:bidi="ar"/>
              </w:rPr>
              <w:t>100</w:t>
            </w:r>
            <w:bookmarkEnd w:id="1796"/>
            <w:bookmarkEnd w:id="1797"/>
            <w:bookmarkEnd w:id="1798"/>
            <w:bookmarkEnd w:id="1799"/>
          </w:p>
        </w:tc>
        <w:tc>
          <w:tcPr>
            <w:tcW w:w="738" w:type="dxa"/>
            <w:shd w:val="clear" w:color="auto" w:fill="D7D7D7" w:themeFill="background1" w:themeFillShade="D8"/>
            <w:vAlign w:val="center"/>
          </w:tcPr>
          <w:p w14:paraId="41F32AB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800" w:name="_Toc22635"/>
            <w:bookmarkStart w:id="1801" w:name="_Toc7287"/>
            <w:bookmarkStart w:id="1802" w:name="_Toc25853"/>
            <w:bookmarkStart w:id="1803" w:name="_Toc28768"/>
            <w:r>
              <w:rPr>
                <w:rFonts w:hint="default" w:ascii="Times New Roman" w:hAnsi="Times New Roman" w:eastAsia="宋体" w:cs="Times New Roman"/>
                <w:b/>
                <w:bCs/>
                <w:color w:val="auto"/>
                <w:kern w:val="0"/>
                <w:sz w:val="21"/>
                <w:szCs w:val="21"/>
                <w:lang w:val="en-US" w:eastAsia="zh-CN" w:bidi="ar"/>
              </w:rPr>
              <w:t>150</w:t>
            </w:r>
            <w:bookmarkEnd w:id="1800"/>
            <w:bookmarkEnd w:id="1801"/>
            <w:bookmarkEnd w:id="1802"/>
            <w:bookmarkEnd w:id="1803"/>
          </w:p>
        </w:tc>
        <w:tc>
          <w:tcPr>
            <w:tcW w:w="725" w:type="dxa"/>
            <w:shd w:val="clear" w:color="auto" w:fill="D7D7D7" w:themeFill="background1" w:themeFillShade="D8"/>
            <w:vAlign w:val="center"/>
          </w:tcPr>
          <w:p w14:paraId="3253E36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color w:val="auto"/>
                <w:kern w:val="0"/>
                <w:sz w:val="21"/>
                <w:szCs w:val="21"/>
                <w:lang w:val="en-US" w:eastAsia="zh-CN" w:bidi="ar"/>
              </w:rPr>
            </w:pPr>
            <w:bookmarkStart w:id="1804" w:name="_Toc10202"/>
            <w:bookmarkStart w:id="1805" w:name="_Toc2365"/>
            <w:bookmarkStart w:id="1806" w:name="_Toc15043"/>
            <w:bookmarkStart w:id="1807" w:name="_Toc14694"/>
            <w:r>
              <w:rPr>
                <w:rFonts w:hint="default" w:ascii="Times New Roman" w:hAnsi="Times New Roman" w:eastAsia="宋体" w:cs="Times New Roman"/>
                <w:b/>
                <w:bCs/>
                <w:color w:val="auto"/>
                <w:kern w:val="0"/>
                <w:sz w:val="21"/>
                <w:szCs w:val="21"/>
                <w:lang w:val="en-US" w:eastAsia="zh-CN" w:bidi="ar"/>
              </w:rPr>
              <w:t>200</w:t>
            </w:r>
            <w:bookmarkEnd w:id="1804"/>
            <w:bookmarkEnd w:id="1805"/>
            <w:bookmarkEnd w:id="1806"/>
            <w:bookmarkEnd w:id="1807"/>
          </w:p>
        </w:tc>
        <w:tc>
          <w:tcPr>
            <w:tcW w:w="1097" w:type="dxa"/>
            <w:vMerge w:val="continue"/>
            <w:shd w:val="clear" w:color="auto" w:fill="D7D7D7" w:themeFill="background1" w:themeFillShade="D8"/>
            <w:vAlign w:val="center"/>
          </w:tcPr>
          <w:p w14:paraId="00AA225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color w:val="auto"/>
                <w:kern w:val="0"/>
                <w:sz w:val="21"/>
                <w:szCs w:val="21"/>
                <w:lang w:val="en-US" w:eastAsia="zh-CN" w:bidi="ar"/>
              </w:rPr>
            </w:pPr>
          </w:p>
        </w:tc>
      </w:tr>
      <w:tr w14:paraId="0CBD6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vAlign w:val="center"/>
          </w:tcPr>
          <w:p w14:paraId="03145EF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08" w:name="_Toc11089"/>
            <w:bookmarkStart w:id="1809" w:name="_Toc21285"/>
            <w:bookmarkStart w:id="1810" w:name="_Toc24677"/>
            <w:bookmarkStart w:id="1811" w:name="_Toc2659"/>
            <w:r>
              <w:rPr>
                <w:rFonts w:hint="default" w:ascii="Times New Roman" w:hAnsi="Times New Roman" w:eastAsia="宋体" w:cs="Times New Roman"/>
                <w:color w:val="auto"/>
                <w:kern w:val="0"/>
                <w:sz w:val="21"/>
                <w:szCs w:val="21"/>
                <w:lang w:val="en-US" w:eastAsia="zh-CN" w:bidi="ar"/>
              </w:rPr>
              <w:t>土石方阶段</w:t>
            </w:r>
            <w:bookmarkEnd w:id="1808"/>
            <w:bookmarkEnd w:id="1809"/>
            <w:bookmarkEnd w:id="1810"/>
            <w:bookmarkEnd w:id="1811"/>
          </w:p>
        </w:tc>
        <w:tc>
          <w:tcPr>
            <w:tcW w:w="713" w:type="dxa"/>
            <w:vAlign w:val="center"/>
          </w:tcPr>
          <w:p w14:paraId="35CC8EC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12" w:name="_Toc27970"/>
            <w:bookmarkStart w:id="1813" w:name="_Toc6882"/>
            <w:bookmarkStart w:id="1814" w:name="_Toc21931"/>
            <w:bookmarkStart w:id="1815" w:name="_Toc19298"/>
            <w:r>
              <w:rPr>
                <w:rFonts w:hint="default" w:ascii="Times New Roman" w:hAnsi="Times New Roman" w:eastAsia="宋体" w:cs="Times New Roman"/>
                <w:color w:val="auto"/>
                <w:kern w:val="0"/>
                <w:sz w:val="21"/>
                <w:szCs w:val="21"/>
                <w:lang w:val="en-US" w:eastAsia="zh-CN" w:bidi="ar"/>
              </w:rPr>
              <w:t>95.3</w:t>
            </w:r>
            <w:bookmarkEnd w:id="1812"/>
            <w:bookmarkEnd w:id="1813"/>
            <w:bookmarkEnd w:id="1814"/>
            <w:bookmarkEnd w:id="1815"/>
          </w:p>
        </w:tc>
        <w:tc>
          <w:tcPr>
            <w:tcW w:w="675" w:type="dxa"/>
            <w:vAlign w:val="center"/>
          </w:tcPr>
          <w:p w14:paraId="7F31B6A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16" w:name="_Toc3373"/>
            <w:bookmarkStart w:id="1817" w:name="_Toc20638"/>
            <w:bookmarkStart w:id="1818" w:name="_Toc31722"/>
            <w:bookmarkStart w:id="1819" w:name="_Toc22604"/>
            <w:r>
              <w:rPr>
                <w:rFonts w:hint="default" w:ascii="Times New Roman" w:hAnsi="Times New Roman" w:eastAsia="宋体" w:cs="Times New Roman"/>
                <w:color w:val="auto"/>
                <w:kern w:val="0"/>
                <w:sz w:val="21"/>
                <w:szCs w:val="21"/>
                <w:lang w:val="en-US" w:eastAsia="zh-CN" w:bidi="ar"/>
              </w:rPr>
              <w:t>75.3</w:t>
            </w:r>
            <w:bookmarkEnd w:id="1816"/>
            <w:bookmarkEnd w:id="1817"/>
            <w:bookmarkEnd w:id="1818"/>
            <w:bookmarkEnd w:id="1819"/>
          </w:p>
        </w:tc>
        <w:tc>
          <w:tcPr>
            <w:tcW w:w="737" w:type="dxa"/>
            <w:vAlign w:val="center"/>
          </w:tcPr>
          <w:p w14:paraId="3EE854B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20" w:name="_Toc10939"/>
            <w:bookmarkStart w:id="1821" w:name="_Toc10801"/>
            <w:bookmarkStart w:id="1822" w:name="_Toc2694"/>
            <w:bookmarkStart w:id="1823" w:name="_Toc10949"/>
            <w:r>
              <w:rPr>
                <w:rFonts w:hint="default" w:ascii="Times New Roman" w:hAnsi="Times New Roman" w:eastAsia="宋体" w:cs="Times New Roman"/>
                <w:color w:val="auto"/>
                <w:kern w:val="0"/>
                <w:sz w:val="21"/>
                <w:szCs w:val="21"/>
                <w:lang w:val="en-US" w:eastAsia="zh-CN" w:bidi="ar"/>
              </w:rPr>
              <w:t>69.3</w:t>
            </w:r>
            <w:bookmarkEnd w:id="1820"/>
            <w:bookmarkEnd w:id="1821"/>
            <w:bookmarkEnd w:id="1822"/>
            <w:bookmarkEnd w:id="1823"/>
          </w:p>
        </w:tc>
        <w:tc>
          <w:tcPr>
            <w:tcW w:w="788" w:type="dxa"/>
            <w:vAlign w:val="center"/>
          </w:tcPr>
          <w:p w14:paraId="0550BED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24" w:name="_Toc24586"/>
            <w:bookmarkStart w:id="1825" w:name="_Toc20889"/>
            <w:bookmarkStart w:id="1826" w:name="_Toc1584"/>
            <w:bookmarkStart w:id="1827" w:name="_Toc3653"/>
            <w:r>
              <w:rPr>
                <w:rFonts w:hint="default" w:ascii="Times New Roman" w:hAnsi="Times New Roman" w:eastAsia="宋体" w:cs="Times New Roman"/>
                <w:color w:val="auto"/>
                <w:kern w:val="0"/>
                <w:sz w:val="21"/>
                <w:szCs w:val="21"/>
                <w:lang w:val="en-US" w:eastAsia="zh-CN" w:bidi="ar"/>
              </w:rPr>
              <w:t>65.8</w:t>
            </w:r>
            <w:bookmarkEnd w:id="1824"/>
            <w:bookmarkEnd w:id="1825"/>
            <w:bookmarkEnd w:id="1826"/>
            <w:bookmarkEnd w:id="1827"/>
          </w:p>
        </w:tc>
        <w:tc>
          <w:tcPr>
            <w:tcW w:w="687" w:type="dxa"/>
            <w:vAlign w:val="center"/>
          </w:tcPr>
          <w:p w14:paraId="0697050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28" w:name="_Toc22567"/>
            <w:bookmarkStart w:id="1829" w:name="_Toc3584"/>
            <w:bookmarkStart w:id="1830" w:name="_Toc17609"/>
            <w:bookmarkStart w:id="1831" w:name="_Toc16217"/>
            <w:r>
              <w:rPr>
                <w:rFonts w:hint="default" w:ascii="Times New Roman" w:hAnsi="Times New Roman" w:eastAsia="宋体" w:cs="Times New Roman"/>
                <w:color w:val="auto"/>
                <w:kern w:val="0"/>
                <w:sz w:val="21"/>
                <w:szCs w:val="21"/>
                <w:lang w:val="en-US" w:eastAsia="zh-CN" w:bidi="ar"/>
              </w:rPr>
              <w:t>61.4</w:t>
            </w:r>
            <w:bookmarkEnd w:id="1828"/>
            <w:bookmarkEnd w:id="1829"/>
            <w:bookmarkEnd w:id="1830"/>
            <w:bookmarkEnd w:id="1831"/>
          </w:p>
        </w:tc>
        <w:tc>
          <w:tcPr>
            <w:tcW w:w="675" w:type="dxa"/>
            <w:vAlign w:val="center"/>
          </w:tcPr>
          <w:p w14:paraId="48ED495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32" w:name="_Toc1645"/>
            <w:bookmarkStart w:id="1833" w:name="_Toc32628"/>
            <w:bookmarkStart w:id="1834" w:name="_Toc11078"/>
            <w:bookmarkStart w:id="1835" w:name="_Toc10258"/>
            <w:r>
              <w:rPr>
                <w:rFonts w:hint="default" w:ascii="Times New Roman" w:hAnsi="Times New Roman" w:eastAsia="宋体" w:cs="Times New Roman"/>
                <w:color w:val="auto"/>
                <w:kern w:val="0"/>
                <w:sz w:val="21"/>
                <w:szCs w:val="21"/>
                <w:lang w:val="en-US" w:eastAsia="zh-CN" w:bidi="ar"/>
              </w:rPr>
              <w:t>55.4</w:t>
            </w:r>
            <w:bookmarkEnd w:id="1832"/>
            <w:bookmarkEnd w:id="1833"/>
            <w:bookmarkEnd w:id="1834"/>
            <w:bookmarkEnd w:id="1835"/>
          </w:p>
        </w:tc>
        <w:tc>
          <w:tcPr>
            <w:tcW w:w="738" w:type="dxa"/>
            <w:vAlign w:val="center"/>
          </w:tcPr>
          <w:p w14:paraId="7C6F182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36" w:name="_Toc27430"/>
            <w:bookmarkStart w:id="1837" w:name="_Toc3577"/>
            <w:bookmarkStart w:id="1838" w:name="_Toc3009"/>
            <w:bookmarkStart w:id="1839" w:name="_Toc18976"/>
            <w:r>
              <w:rPr>
                <w:rFonts w:hint="default" w:ascii="Times New Roman" w:hAnsi="Times New Roman" w:eastAsia="宋体" w:cs="Times New Roman"/>
                <w:color w:val="auto"/>
                <w:kern w:val="0"/>
                <w:sz w:val="21"/>
                <w:szCs w:val="21"/>
                <w:lang w:val="en-US" w:eastAsia="zh-CN" w:bidi="ar"/>
              </w:rPr>
              <w:t>51.9</w:t>
            </w:r>
            <w:bookmarkEnd w:id="1836"/>
            <w:bookmarkEnd w:id="1837"/>
            <w:bookmarkEnd w:id="1838"/>
            <w:bookmarkEnd w:id="1839"/>
          </w:p>
        </w:tc>
        <w:tc>
          <w:tcPr>
            <w:tcW w:w="725" w:type="dxa"/>
            <w:vAlign w:val="center"/>
          </w:tcPr>
          <w:p w14:paraId="03E7760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40" w:name="_Toc8179"/>
            <w:bookmarkStart w:id="1841" w:name="_Toc59"/>
            <w:bookmarkStart w:id="1842" w:name="_Toc10236"/>
            <w:bookmarkStart w:id="1843" w:name="_Toc11248"/>
            <w:r>
              <w:rPr>
                <w:rFonts w:hint="default" w:ascii="Times New Roman" w:hAnsi="Times New Roman" w:eastAsia="宋体" w:cs="Times New Roman"/>
                <w:color w:val="auto"/>
                <w:kern w:val="0"/>
                <w:sz w:val="21"/>
                <w:szCs w:val="21"/>
                <w:lang w:val="en-US" w:eastAsia="zh-CN" w:bidi="ar"/>
              </w:rPr>
              <w:t>49.4</w:t>
            </w:r>
            <w:bookmarkEnd w:id="1840"/>
            <w:bookmarkEnd w:id="1841"/>
            <w:bookmarkEnd w:id="1842"/>
            <w:bookmarkEnd w:id="1843"/>
          </w:p>
        </w:tc>
        <w:tc>
          <w:tcPr>
            <w:tcW w:w="1097" w:type="dxa"/>
            <w:vMerge w:val="restart"/>
            <w:vAlign w:val="center"/>
          </w:tcPr>
          <w:p w14:paraId="00F3F75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44" w:name="_Toc1060"/>
            <w:bookmarkStart w:id="1845" w:name="_Toc22924"/>
            <w:bookmarkStart w:id="1846" w:name="_Toc28688"/>
            <w:bookmarkStart w:id="1847" w:name="_Toc24843"/>
            <w:r>
              <w:rPr>
                <w:rFonts w:hint="default" w:ascii="Times New Roman" w:hAnsi="Times New Roman" w:eastAsia="宋体" w:cs="Times New Roman"/>
                <w:color w:val="auto"/>
                <w:kern w:val="0"/>
                <w:sz w:val="21"/>
                <w:szCs w:val="21"/>
                <w:lang w:val="en-US" w:eastAsia="zh-CN" w:bidi="ar"/>
              </w:rPr>
              <w:t>以施工期最强噪声值预测</w:t>
            </w:r>
            <w:bookmarkEnd w:id="1844"/>
            <w:bookmarkEnd w:id="1845"/>
            <w:bookmarkEnd w:id="1846"/>
            <w:bookmarkEnd w:id="1847"/>
          </w:p>
        </w:tc>
      </w:tr>
      <w:tr w14:paraId="6FC245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vAlign w:val="center"/>
          </w:tcPr>
          <w:p w14:paraId="6E9D32F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48" w:name="_Toc20744"/>
            <w:bookmarkStart w:id="1849" w:name="_Toc22040"/>
            <w:bookmarkStart w:id="1850" w:name="_Toc30808"/>
            <w:bookmarkStart w:id="1851" w:name="_Toc17297"/>
            <w:r>
              <w:rPr>
                <w:rFonts w:hint="default" w:ascii="Times New Roman" w:hAnsi="Times New Roman" w:eastAsia="宋体" w:cs="Times New Roman"/>
                <w:color w:val="auto"/>
                <w:kern w:val="0"/>
                <w:sz w:val="21"/>
                <w:szCs w:val="21"/>
                <w:lang w:val="en-US" w:eastAsia="zh-CN" w:bidi="ar"/>
              </w:rPr>
              <w:t>底板与结构阶段</w:t>
            </w:r>
            <w:bookmarkEnd w:id="1848"/>
            <w:bookmarkEnd w:id="1849"/>
            <w:bookmarkEnd w:id="1850"/>
            <w:bookmarkEnd w:id="1851"/>
          </w:p>
        </w:tc>
        <w:tc>
          <w:tcPr>
            <w:tcW w:w="713" w:type="dxa"/>
            <w:vAlign w:val="center"/>
          </w:tcPr>
          <w:p w14:paraId="6FBE497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52" w:name="_Toc30582"/>
            <w:bookmarkStart w:id="1853" w:name="_Toc17172"/>
            <w:bookmarkStart w:id="1854" w:name="_Toc16034"/>
            <w:bookmarkStart w:id="1855" w:name="_Toc27511"/>
            <w:r>
              <w:rPr>
                <w:rFonts w:hint="default" w:ascii="Times New Roman" w:hAnsi="Times New Roman" w:eastAsia="宋体" w:cs="Times New Roman"/>
                <w:color w:val="auto"/>
                <w:kern w:val="0"/>
                <w:sz w:val="21"/>
                <w:szCs w:val="21"/>
                <w:lang w:val="en-US" w:eastAsia="zh-CN" w:bidi="ar"/>
              </w:rPr>
              <w:t>95.8</w:t>
            </w:r>
            <w:bookmarkEnd w:id="1852"/>
            <w:bookmarkEnd w:id="1853"/>
            <w:bookmarkEnd w:id="1854"/>
            <w:bookmarkEnd w:id="1855"/>
          </w:p>
        </w:tc>
        <w:tc>
          <w:tcPr>
            <w:tcW w:w="675" w:type="dxa"/>
            <w:vAlign w:val="center"/>
          </w:tcPr>
          <w:p w14:paraId="2C46EB9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56" w:name="_Toc17849"/>
            <w:bookmarkStart w:id="1857" w:name="_Toc30947"/>
            <w:bookmarkStart w:id="1858" w:name="_Toc30850"/>
            <w:bookmarkStart w:id="1859" w:name="_Toc30450"/>
            <w:r>
              <w:rPr>
                <w:rFonts w:hint="default" w:ascii="Times New Roman" w:hAnsi="Times New Roman" w:eastAsia="宋体" w:cs="Times New Roman"/>
                <w:color w:val="auto"/>
                <w:kern w:val="0"/>
                <w:sz w:val="21"/>
                <w:szCs w:val="21"/>
                <w:lang w:val="en-US" w:eastAsia="zh-CN" w:bidi="ar"/>
              </w:rPr>
              <w:t>75.8</w:t>
            </w:r>
            <w:bookmarkEnd w:id="1856"/>
            <w:bookmarkEnd w:id="1857"/>
            <w:bookmarkEnd w:id="1858"/>
            <w:bookmarkEnd w:id="1859"/>
          </w:p>
        </w:tc>
        <w:tc>
          <w:tcPr>
            <w:tcW w:w="737" w:type="dxa"/>
            <w:vAlign w:val="center"/>
          </w:tcPr>
          <w:p w14:paraId="515A30D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60" w:name="_Toc15416"/>
            <w:bookmarkStart w:id="1861" w:name="_Toc13895"/>
            <w:bookmarkStart w:id="1862" w:name="_Toc26638"/>
            <w:bookmarkStart w:id="1863" w:name="_Toc4317"/>
            <w:r>
              <w:rPr>
                <w:rFonts w:hint="default" w:ascii="Times New Roman" w:hAnsi="Times New Roman" w:eastAsia="宋体" w:cs="Times New Roman"/>
                <w:color w:val="auto"/>
                <w:kern w:val="0"/>
                <w:sz w:val="21"/>
                <w:szCs w:val="21"/>
                <w:lang w:val="en-US" w:eastAsia="zh-CN" w:bidi="ar"/>
              </w:rPr>
              <w:t>69.8</w:t>
            </w:r>
            <w:bookmarkEnd w:id="1860"/>
            <w:bookmarkEnd w:id="1861"/>
            <w:bookmarkEnd w:id="1862"/>
            <w:bookmarkEnd w:id="1863"/>
          </w:p>
        </w:tc>
        <w:tc>
          <w:tcPr>
            <w:tcW w:w="788" w:type="dxa"/>
            <w:vAlign w:val="center"/>
          </w:tcPr>
          <w:p w14:paraId="3FA43EA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64" w:name="_Toc18917"/>
            <w:bookmarkStart w:id="1865" w:name="_Toc29404"/>
            <w:bookmarkStart w:id="1866" w:name="_Toc13562"/>
            <w:bookmarkStart w:id="1867" w:name="_Toc26614"/>
            <w:r>
              <w:rPr>
                <w:rFonts w:hint="default" w:ascii="Times New Roman" w:hAnsi="Times New Roman" w:eastAsia="宋体" w:cs="Times New Roman"/>
                <w:color w:val="auto"/>
                <w:kern w:val="0"/>
                <w:sz w:val="21"/>
                <w:szCs w:val="21"/>
                <w:lang w:val="en-US" w:eastAsia="zh-CN" w:bidi="ar"/>
              </w:rPr>
              <w:t>66.3</w:t>
            </w:r>
            <w:bookmarkEnd w:id="1864"/>
            <w:bookmarkEnd w:id="1865"/>
            <w:bookmarkEnd w:id="1866"/>
            <w:bookmarkEnd w:id="1867"/>
          </w:p>
        </w:tc>
        <w:tc>
          <w:tcPr>
            <w:tcW w:w="687" w:type="dxa"/>
            <w:vAlign w:val="center"/>
          </w:tcPr>
          <w:p w14:paraId="4473E27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68" w:name="_Toc14672"/>
            <w:bookmarkStart w:id="1869" w:name="_Toc27598"/>
            <w:bookmarkStart w:id="1870" w:name="_Toc23111"/>
            <w:bookmarkStart w:id="1871" w:name="_Toc17082"/>
            <w:r>
              <w:rPr>
                <w:rFonts w:hint="default" w:ascii="Times New Roman" w:hAnsi="Times New Roman" w:eastAsia="宋体" w:cs="Times New Roman"/>
                <w:color w:val="auto"/>
                <w:kern w:val="0"/>
                <w:sz w:val="21"/>
                <w:szCs w:val="21"/>
                <w:lang w:val="en-US" w:eastAsia="zh-CN" w:bidi="ar"/>
              </w:rPr>
              <w:t>61.9</w:t>
            </w:r>
            <w:bookmarkEnd w:id="1868"/>
            <w:bookmarkEnd w:id="1869"/>
            <w:bookmarkEnd w:id="1870"/>
            <w:bookmarkEnd w:id="1871"/>
          </w:p>
        </w:tc>
        <w:tc>
          <w:tcPr>
            <w:tcW w:w="675" w:type="dxa"/>
            <w:vAlign w:val="center"/>
          </w:tcPr>
          <w:p w14:paraId="3A442A2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72" w:name="_Toc7633"/>
            <w:bookmarkStart w:id="1873" w:name="_Toc7661"/>
            <w:bookmarkStart w:id="1874" w:name="_Toc22190"/>
            <w:bookmarkStart w:id="1875" w:name="_Toc27106"/>
            <w:r>
              <w:rPr>
                <w:rFonts w:hint="default" w:ascii="Times New Roman" w:hAnsi="Times New Roman" w:eastAsia="宋体" w:cs="Times New Roman"/>
                <w:color w:val="auto"/>
                <w:kern w:val="0"/>
                <w:sz w:val="21"/>
                <w:szCs w:val="21"/>
                <w:lang w:val="en-US" w:eastAsia="zh-CN" w:bidi="ar"/>
              </w:rPr>
              <w:t>55.9</w:t>
            </w:r>
            <w:bookmarkEnd w:id="1872"/>
            <w:bookmarkEnd w:id="1873"/>
            <w:bookmarkEnd w:id="1874"/>
            <w:bookmarkEnd w:id="1875"/>
          </w:p>
        </w:tc>
        <w:tc>
          <w:tcPr>
            <w:tcW w:w="738" w:type="dxa"/>
            <w:vAlign w:val="center"/>
          </w:tcPr>
          <w:p w14:paraId="1998BBA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76" w:name="_Toc13143"/>
            <w:bookmarkStart w:id="1877" w:name="_Toc20864"/>
            <w:bookmarkStart w:id="1878" w:name="_Toc1108"/>
            <w:bookmarkStart w:id="1879" w:name="_Toc17002"/>
            <w:r>
              <w:rPr>
                <w:rFonts w:hint="default" w:ascii="Times New Roman" w:hAnsi="Times New Roman" w:eastAsia="宋体" w:cs="Times New Roman"/>
                <w:color w:val="auto"/>
                <w:kern w:val="0"/>
                <w:sz w:val="21"/>
                <w:szCs w:val="21"/>
                <w:lang w:val="en-US" w:eastAsia="zh-CN" w:bidi="ar"/>
              </w:rPr>
              <w:t>52.4</w:t>
            </w:r>
            <w:bookmarkEnd w:id="1876"/>
            <w:bookmarkEnd w:id="1877"/>
            <w:bookmarkEnd w:id="1878"/>
            <w:bookmarkEnd w:id="1879"/>
          </w:p>
        </w:tc>
        <w:tc>
          <w:tcPr>
            <w:tcW w:w="725" w:type="dxa"/>
            <w:vAlign w:val="center"/>
          </w:tcPr>
          <w:p w14:paraId="195EC85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80" w:name="_Toc22666"/>
            <w:bookmarkStart w:id="1881" w:name="_Toc31637"/>
            <w:bookmarkStart w:id="1882" w:name="_Toc23841"/>
            <w:bookmarkStart w:id="1883" w:name="_Toc10818"/>
            <w:r>
              <w:rPr>
                <w:rFonts w:hint="default" w:ascii="Times New Roman" w:hAnsi="Times New Roman" w:eastAsia="宋体" w:cs="Times New Roman"/>
                <w:color w:val="auto"/>
                <w:kern w:val="0"/>
                <w:sz w:val="21"/>
                <w:szCs w:val="21"/>
                <w:lang w:val="en-US" w:eastAsia="zh-CN" w:bidi="ar"/>
              </w:rPr>
              <w:t>49.6</w:t>
            </w:r>
            <w:bookmarkEnd w:id="1880"/>
            <w:bookmarkEnd w:id="1881"/>
            <w:bookmarkEnd w:id="1882"/>
            <w:bookmarkEnd w:id="1883"/>
          </w:p>
        </w:tc>
        <w:tc>
          <w:tcPr>
            <w:tcW w:w="1097" w:type="dxa"/>
            <w:vMerge w:val="continue"/>
            <w:vAlign w:val="center"/>
          </w:tcPr>
          <w:p w14:paraId="119726C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color w:val="auto"/>
                <w:kern w:val="0"/>
                <w:sz w:val="21"/>
                <w:szCs w:val="21"/>
                <w:lang w:val="en-US" w:eastAsia="zh-CN" w:bidi="ar"/>
              </w:rPr>
            </w:pPr>
          </w:p>
        </w:tc>
      </w:tr>
      <w:tr w14:paraId="396E6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vAlign w:val="center"/>
          </w:tcPr>
          <w:p w14:paraId="08BFD6A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84" w:name="_Toc17966"/>
            <w:bookmarkStart w:id="1885" w:name="_Toc14052"/>
            <w:bookmarkStart w:id="1886" w:name="_Toc23418"/>
            <w:bookmarkStart w:id="1887" w:name="_Toc29738"/>
            <w:r>
              <w:rPr>
                <w:rFonts w:hint="default" w:ascii="Times New Roman" w:hAnsi="Times New Roman" w:eastAsia="宋体" w:cs="Times New Roman"/>
                <w:color w:val="auto"/>
                <w:kern w:val="0"/>
                <w:sz w:val="21"/>
                <w:szCs w:val="21"/>
                <w:lang w:val="en-US" w:eastAsia="zh-CN" w:bidi="ar"/>
              </w:rPr>
              <w:t>装修安装阶段</w:t>
            </w:r>
            <w:bookmarkEnd w:id="1884"/>
            <w:bookmarkEnd w:id="1885"/>
            <w:bookmarkEnd w:id="1886"/>
            <w:bookmarkEnd w:id="1887"/>
          </w:p>
        </w:tc>
        <w:tc>
          <w:tcPr>
            <w:tcW w:w="713" w:type="dxa"/>
            <w:vAlign w:val="center"/>
          </w:tcPr>
          <w:p w14:paraId="4429AE1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88" w:name="_Toc4054"/>
            <w:bookmarkStart w:id="1889" w:name="_Toc4945"/>
            <w:bookmarkStart w:id="1890" w:name="_Toc9368"/>
            <w:bookmarkStart w:id="1891" w:name="_Toc32680"/>
            <w:r>
              <w:rPr>
                <w:rFonts w:hint="default" w:ascii="Times New Roman" w:hAnsi="Times New Roman" w:eastAsia="宋体" w:cs="Times New Roman"/>
                <w:color w:val="auto"/>
                <w:kern w:val="0"/>
                <w:sz w:val="21"/>
                <w:szCs w:val="21"/>
                <w:lang w:val="en-US" w:eastAsia="zh-CN" w:bidi="ar"/>
              </w:rPr>
              <w:t>99.8</w:t>
            </w:r>
            <w:bookmarkEnd w:id="1888"/>
            <w:bookmarkEnd w:id="1889"/>
            <w:bookmarkEnd w:id="1890"/>
            <w:bookmarkEnd w:id="1891"/>
          </w:p>
        </w:tc>
        <w:tc>
          <w:tcPr>
            <w:tcW w:w="675" w:type="dxa"/>
            <w:vAlign w:val="center"/>
          </w:tcPr>
          <w:p w14:paraId="5CB83C1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92" w:name="_Toc31778"/>
            <w:bookmarkStart w:id="1893" w:name="_Toc28503"/>
            <w:bookmarkStart w:id="1894" w:name="_Toc27638"/>
            <w:bookmarkStart w:id="1895" w:name="_Toc15594"/>
            <w:r>
              <w:rPr>
                <w:rFonts w:hint="default" w:ascii="Times New Roman" w:hAnsi="Times New Roman" w:eastAsia="宋体" w:cs="Times New Roman"/>
                <w:color w:val="auto"/>
                <w:kern w:val="0"/>
                <w:sz w:val="21"/>
                <w:szCs w:val="21"/>
                <w:lang w:val="en-US" w:eastAsia="zh-CN" w:bidi="ar"/>
              </w:rPr>
              <w:t>79.8</w:t>
            </w:r>
            <w:bookmarkEnd w:id="1892"/>
            <w:bookmarkEnd w:id="1893"/>
            <w:bookmarkEnd w:id="1894"/>
            <w:bookmarkEnd w:id="1895"/>
          </w:p>
        </w:tc>
        <w:tc>
          <w:tcPr>
            <w:tcW w:w="737" w:type="dxa"/>
            <w:vAlign w:val="center"/>
          </w:tcPr>
          <w:p w14:paraId="7D3B6CE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896" w:name="_Toc12455"/>
            <w:bookmarkStart w:id="1897" w:name="_Toc15629"/>
            <w:bookmarkStart w:id="1898" w:name="_Toc29253"/>
            <w:bookmarkStart w:id="1899" w:name="_Toc8386"/>
            <w:r>
              <w:rPr>
                <w:rFonts w:hint="default" w:ascii="Times New Roman" w:hAnsi="Times New Roman" w:eastAsia="宋体" w:cs="Times New Roman"/>
                <w:color w:val="auto"/>
                <w:kern w:val="0"/>
                <w:sz w:val="21"/>
                <w:szCs w:val="21"/>
                <w:lang w:val="en-US" w:eastAsia="zh-CN" w:bidi="ar"/>
              </w:rPr>
              <w:t>73.8</w:t>
            </w:r>
            <w:bookmarkEnd w:id="1896"/>
            <w:bookmarkEnd w:id="1897"/>
            <w:bookmarkEnd w:id="1898"/>
            <w:bookmarkEnd w:id="1899"/>
          </w:p>
        </w:tc>
        <w:tc>
          <w:tcPr>
            <w:tcW w:w="788" w:type="dxa"/>
            <w:vAlign w:val="center"/>
          </w:tcPr>
          <w:p w14:paraId="52B6A2D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900" w:name="_Toc10036"/>
            <w:bookmarkStart w:id="1901" w:name="_Toc6197"/>
            <w:bookmarkStart w:id="1902" w:name="_Toc6695"/>
            <w:bookmarkStart w:id="1903" w:name="_Toc23451"/>
            <w:r>
              <w:rPr>
                <w:rFonts w:hint="default" w:ascii="Times New Roman" w:hAnsi="Times New Roman" w:eastAsia="宋体" w:cs="Times New Roman"/>
                <w:color w:val="auto"/>
                <w:kern w:val="0"/>
                <w:sz w:val="21"/>
                <w:szCs w:val="21"/>
                <w:lang w:val="en-US" w:eastAsia="zh-CN" w:bidi="ar"/>
              </w:rPr>
              <w:t>70.3</w:t>
            </w:r>
            <w:bookmarkEnd w:id="1900"/>
            <w:bookmarkEnd w:id="1901"/>
            <w:bookmarkEnd w:id="1902"/>
            <w:bookmarkEnd w:id="1903"/>
          </w:p>
        </w:tc>
        <w:tc>
          <w:tcPr>
            <w:tcW w:w="687" w:type="dxa"/>
            <w:vAlign w:val="center"/>
          </w:tcPr>
          <w:p w14:paraId="151FB40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904" w:name="_Toc28529"/>
            <w:bookmarkStart w:id="1905" w:name="_Toc25049"/>
            <w:bookmarkStart w:id="1906" w:name="_Toc15916"/>
            <w:bookmarkStart w:id="1907" w:name="_Toc12841"/>
            <w:r>
              <w:rPr>
                <w:rFonts w:hint="default" w:ascii="Times New Roman" w:hAnsi="Times New Roman" w:eastAsia="宋体" w:cs="Times New Roman"/>
                <w:color w:val="auto"/>
                <w:kern w:val="0"/>
                <w:sz w:val="21"/>
                <w:szCs w:val="21"/>
                <w:lang w:val="en-US" w:eastAsia="zh-CN" w:bidi="ar"/>
              </w:rPr>
              <w:t>65.8</w:t>
            </w:r>
            <w:bookmarkEnd w:id="1904"/>
            <w:bookmarkEnd w:id="1905"/>
            <w:bookmarkEnd w:id="1906"/>
            <w:bookmarkEnd w:id="1907"/>
          </w:p>
        </w:tc>
        <w:tc>
          <w:tcPr>
            <w:tcW w:w="675" w:type="dxa"/>
            <w:vAlign w:val="center"/>
          </w:tcPr>
          <w:p w14:paraId="18065EA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908" w:name="_Toc11252"/>
            <w:bookmarkStart w:id="1909" w:name="_Toc5555"/>
            <w:bookmarkStart w:id="1910" w:name="_Toc20476"/>
            <w:bookmarkStart w:id="1911" w:name="_Toc22514"/>
            <w:r>
              <w:rPr>
                <w:rFonts w:hint="default" w:ascii="Times New Roman" w:hAnsi="Times New Roman" w:eastAsia="宋体" w:cs="Times New Roman"/>
                <w:color w:val="auto"/>
                <w:kern w:val="0"/>
                <w:sz w:val="21"/>
                <w:szCs w:val="21"/>
                <w:lang w:val="en-US" w:eastAsia="zh-CN" w:bidi="ar"/>
              </w:rPr>
              <w:t>59.8</w:t>
            </w:r>
            <w:bookmarkEnd w:id="1908"/>
            <w:bookmarkEnd w:id="1909"/>
            <w:bookmarkEnd w:id="1910"/>
            <w:bookmarkEnd w:id="1911"/>
          </w:p>
        </w:tc>
        <w:tc>
          <w:tcPr>
            <w:tcW w:w="738" w:type="dxa"/>
            <w:vAlign w:val="center"/>
          </w:tcPr>
          <w:p w14:paraId="6B23AA4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912" w:name="_Toc6067"/>
            <w:bookmarkStart w:id="1913" w:name="_Toc5020"/>
            <w:bookmarkStart w:id="1914" w:name="_Toc13740"/>
            <w:bookmarkStart w:id="1915" w:name="_Toc10653"/>
            <w:r>
              <w:rPr>
                <w:rFonts w:hint="default" w:ascii="Times New Roman" w:hAnsi="Times New Roman" w:eastAsia="宋体" w:cs="Times New Roman"/>
                <w:color w:val="auto"/>
                <w:kern w:val="0"/>
                <w:sz w:val="21"/>
                <w:szCs w:val="21"/>
                <w:lang w:val="en-US" w:eastAsia="zh-CN" w:bidi="ar"/>
              </w:rPr>
              <w:t>56.3</w:t>
            </w:r>
            <w:bookmarkEnd w:id="1912"/>
            <w:bookmarkEnd w:id="1913"/>
            <w:bookmarkEnd w:id="1914"/>
            <w:bookmarkEnd w:id="1915"/>
          </w:p>
        </w:tc>
        <w:tc>
          <w:tcPr>
            <w:tcW w:w="725" w:type="dxa"/>
            <w:vAlign w:val="center"/>
          </w:tcPr>
          <w:p w14:paraId="520A2B3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color w:val="auto"/>
                <w:kern w:val="0"/>
                <w:sz w:val="21"/>
                <w:szCs w:val="21"/>
                <w:lang w:val="en-US" w:eastAsia="zh-CN" w:bidi="ar"/>
              </w:rPr>
            </w:pPr>
            <w:bookmarkStart w:id="1916" w:name="_Toc7532"/>
            <w:bookmarkStart w:id="1917" w:name="_Toc11601"/>
            <w:bookmarkStart w:id="1918" w:name="_Toc30172"/>
            <w:bookmarkStart w:id="1919" w:name="_Toc22630"/>
            <w:r>
              <w:rPr>
                <w:rFonts w:hint="default" w:ascii="Times New Roman" w:hAnsi="Times New Roman" w:eastAsia="宋体" w:cs="Times New Roman"/>
                <w:color w:val="auto"/>
                <w:kern w:val="0"/>
                <w:sz w:val="21"/>
                <w:szCs w:val="21"/>
                <w:lang w:val="en-US" w:eastAsia="zh-CN" w:bidi="ar"/>
              </w:rPr>
              <w:t>53.8</w:t>
            </w:r>
            <w:bookmarkEnd w:id="1916"/>
            <w:bookmarkEnd w:id="1917"/>
            <w:bookmarkEnd w:id="1918"/>
            <w:bookmarkEnd w:id="1919"/>
          </w:p>
        </w:tc>
        <w:tc>
          <w:tcPr>
            <w:tcW w:w="1097" w:type="dxa"/>
            <w:vMerge w:val="continue"/>
            <w:vAlign w:val="center"/>
          </w:tcPr>
          <w:p w14:paraId="044D33B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color w:val="auto"/>
                <w:kern w:val="0"/>
                <w:sz w:val="21"/>
                <w:szCs w:val="21"/>
                <w:lang w:val="en-US" w:eastAsia="zh-CN" w:bidi="ar"/>
              </w:rPr>
            </w:pPr>
          </w:p>
        </w:tc>
      </w:tr>
    </w:tbl>
    <w:p w14:paraId="7E12EA68">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20" w:name="_Toc28264"/>
      <w:bookmarkStart w:id="1921" w:name="_Toc17793"/>
      <w:bookmarkStart w:id="1922" w:name="_Toc27610"/>
      <w:bookmarkStart w:id="1923" w:name="_Toc607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（2）施工噪声预测结果</w:t>
      </w:r>
    </w:p>
    <w:p w14:paraId="6A1B26C7">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从上表可以看出，施工机械噪声较高，昼间施工噪声超过《建筑施工场界环境噪声排放标准》（GB12523-2011）的情况出现在距声源30m范围内，而且在施工现场往往是几种机械同时作业，综合噪声较高。</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项目最近的声环境保护目标在距厂界32m、距感染病区建筑60m的和喜·公园里。</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环评建议，建设单位根据项目施工特点，通过采用低噪声机械设备、合理安排施工计划和时间以及距离防护和隔声等措施减少施工噪声对区域声环境的影响，结合施工进展，具体采取如下防治措施：</w:t>
      </w:r>
      <w:bookmarkEnd w:id="1920"/>
      <w:bookmarkEnd w:id="1921"/>
      <w:bookmarkEnd w:id="1922"/>
      <w:bookmarkEnd w:id="1923"/>
    </w:p>
    <w:p w14:paraId="07E43C8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24" w:name="_Toc21575"/>
      <w:bookmarkStart w:id="1925" w:name="_Toc29402"/>
      <w:bookmarkStart w:id="1926" w:name="_Toc5363"/>
      <w:bookmarkStart w:id="1927" w:name="_Toc1865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①建设单位与施工单位签订合同的同时，应要求其使用的主要机械设备为低噪声机械设备，并在施工中应有专人对其进行保养维护，施工单位应对现场使用设备的人员进行培训，严格按操作规范使用各类机械。</w:t>
      </w:r>
      <w:bookmarkEnd w:id="1924"/>
      <w:bookmarkEnd w:id="1925"/>
      <w:bookmarkEnd w:id="1926"/>
      <w:bookmarkEnd w:id="1927"/>
    </w:p>
    <w:p w14:paraId="6BE76D3B">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28" w:name="_Toc2136"/>
      <w:bookmarkStart w:id="1929" w:name="_Toc18804"/>
      <w:bookmarkStart w:id="1930" w:name="_Toc10061"/>
      <w:bookmarkStart w:id="1931" w:name="_Toc579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②在施工的结构阶段和装修阶段，对建筑物的外部采用围档，减轻施工噪声对外环境的影响。</w:t>
      </w:r>
      <w:bookmarkEnd w:id="1928"/>
      <w:bookmarkEnd w:id="1929"/>
      <w:bookmarkEnd w:id="1930"/>
      <w:bookmarkEnd w:id="1931"/>
    </w:p>
    <w:p w14:paraId="7135BBC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32" w:name="_Toc20298"/>
      <w:bookmarkStart w:id="1933" w:name="_Toc22473"/>
      <w:bookmarkStart w:id="1934" w:name="_Toc25742"/>
      <w:bookmarkStart w:id="1935" w:name="_Toc1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运载建筑材料及建筑垃圾的车辆要选择合适的时间、路线进行运输，运输车辆行驶路线尽量避开环境敏感点。施工期噪声影响具有暂时性，且施工期噪声预测按所有设备均满负荷运行计算，实际施工过程中所有设备不可能全部同一时间满负荷运行，装修工程主要在室内，房屋墙面也具有隔声降噪作用，实际施工过程中的噪声要低于预测噪声；通过采取上述措施后，能有效减小施工噪声对周围敏感点的影响，施工场界噪声能达到《建筑施工场界环境噪声排放标准》（GB12523-2011）标准限值的要求；且随着施工期的结束施工噪声影响将消失。</w:t>
      </w:r>
      <w:bookmarkEnd w:id="1932"/>
      <w:bookmarkEnd w:id="1933"/>
      <w:bookmarkEnd w:id="1934"/>
      <w:bookmarkEnd w:id="1935"/>
    </w:p>
    <w:p w14:paraId="141EE34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36" w:name="_Toc17776"/>
      <w:bookmarkStart w:id="1937" w:name="_Toc1097"/>
      <w:bookmarkStart w:id="1938" w:name="_Toc2066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④禁止夜间施工，若遇紧急情况需要夜间施工，须征得相关部门同意后进行，严格遵守当地管理部门相关规定，高考及中考期间不能施工。</w:t>
      </w:r>
      <w:bookmarkEnd w:id="1936"/>
      <w:bookmarkEnd w:id="1937"/>
      <w:bookmarkEnd w:id="1938"/>
    </w:p>
    <w:p w14:paraId="556C2F87">
      <w:pPr>
        <w:pStyle w:val="7"/>
        <w:bidi w:val="0"/>
        <w:outlineLvl w:val="1"/>
        <w:rPr>
          <w:rFonts w:hint="default" w:ascii="Times New Roman" w:hAnsi="Times New Roman" w:eastAsia="宋体" w:cs="Times New Roman"/>
          <w:color w:val="auto"/>
          <w:lang w:val="en-US" w:eastAsia="zh-CN"/>
        </w:rPr>
      </w:pPr>
      <w:bookmarkStart w:id="1939" w:name="_Toc18942"/>
      <w:r>
        <w:rPr>
          <w:rFonts w:hint="default" w:ascii="Times New Roman" w:hAnsi="Times New Roman" w:eastAsia="宋体" w:cs="Times New Roman"/>
          <w:color w:val="auto"/>
          <w:lang w:val="en-US" w:eastAsia="zh-CN"/>
        </w:rPr>
        <w:t>6.1.5 施工期固体废物影响分析</w:t>
      </w:r>
      <w:bookmarkEnd w:id="1939"/>
    </w:p>
    <w:p w14:paraId="63C4E60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40" w:name="_Toc19226"/>
      <w:bookmarkStart w:id="1941" w:name="_Toc7056"/>
      <w:bookmarkStart w:id="1942" w:name="_Toc28443"/>
      <w:bookmarkStart w:id="1943" w:name="_Toc2739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本项目施工期产生的固体废物主要来源于建筑垃圾、施工人员生活垃圾、装修垃圾和包装材料。</w:t>
      </w:r>
      <w:bookmarkEnd w:id="1940"/>
      <w:bookmarkEnd w:id="1941"/>
      <w:bookmarkEnd w:id="1942"/>
      <w:bookmarkEnd w:id="1943"/>
    </w:p>
    <w:p w14:paraId="5A93AA3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44" w:name="_Toc650"/>
      <w:bookmarkStart w:id="1945" w:name="_Toc30275"/>
      <w:bookmarkStart w:id="1946" w:name="_Toc25665"/>
      <w:bookmarkStart w:id="1947" w:name="_Toc2689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施工期基础开挖土石方量与回填土方量工程弃土在场内周转，就地平衡、用于场地等的建设；施工生产的废料等建筑垃圾，可回收利用的回收利用，其余的应及时清运至指定地方处理；本项目施工产生生活垃圾约100kg/d，经袋装收集后送交环卫部门处置；本项目厂房装修将产生装修垃圾与生活垃圾分类收集，交由环卫部门处理，其中油漆桶交由原厂回收；待项目厂房修建完毕，设备进厂安装，会产生少量包装材料，可出售给废品站回收处理。</w:t>
      </w:r>
      <w:bookmarkEnd w:id="1944"/>
      <w:bookmarkEnd w:id="1945"/>
      <w:bookmarkEnd w:id="1946"/>
      <w:bookmarkEnd w:id="1947"/>
    </w:p>
    <w:p w14:paraId="1A53F9C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48" w:name="_Toc30748"/>
      <w:bookmarkStart w:id="1949" w:name="_Toc20880"/>
      <w:bookmarkStart w:id="1950" w:name="_Toc9067"/>
      <w:bookmarkStart w:id="1951" w:name="_Toc2456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因此对施工期产生的垃圾应妥善处置，禁止四处乱堆乱倾倒建筑垃圾，防止对环境空气和地表水的污染、对景观和土壤的破坏。</w:t>
      </w:r>
      <w:bookmarkEnd w:id="1948"/>
      <w:bookmarkEnd w:id="1949"/>
      <w:bookmarkEnd w:id="1950"/>
      <w:bookmarkEnd w:id="1951"/>
    </w:p>
    <w:p w14:paraId="7C82553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52" w:name="_Toc25966"/>
      <w:bookmarkStart w:id="1953" w:name="_Toc10074"/>
      <w:bookmarkStart w:id="1954" w:name="_Toc7675"/>
      <w:bookmarkStart w:id="1955" w:name="_Toc2028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总之，施工期各要素对环境的影响是暂时的、局部的，采取有效的控制措施，可将影响降至最低，施工结束后，大部分影响可消除，施工期造成的生态破坏也可得到一定程度的恢复。</w:t>
      </w:r>
      <w:bookmarkEnd w:id="1952"/>
      <w:bookmarkEnd w:id="1953"/>
      <w:bookmarkEnd w:id="1954"/>
      <w:bookmarkEnd w:id="1955"/>
    </w:p>
    <w:p w14:paraId="4BD5E310">
      <w:pPr>
        <w:pStyle w:val="7"/>
        <w:bidi w:val="0"/>
        <w:outlineLvl w:val="1"/>
        <w:rPr>
          <w:rFonts w:hint="default" w:ascii="Times New Roman" w:hAnsi="Times New Roman" w:eastAsia="宋体" w:cs="Times New Roman"/>
          <w:color w:val="auto"/>
          <w:lang w:val="en-US" w:eastAsia="zh-CN"/>
        </w:rPr>
      </w:pPr>
      <w:bookmarkStart w:id="1956" w:name="_Toc25390"/>
      <w:r>
        <w:rPr>
          <w:rFonts w:hint="default" w:ascii="Times New Roman" w:hAnsi="Times New Roman" w:eastAsia="宋体" w:cs="Times New Roman"/>
          <w:color w:val="auto"/>
          <w:lang w:val="en-US" w:eastAsia="zh-CN"/>
        </w:rPr>
        <w:t>6.1.6 施工期的生态环境影响分析</w:t>
      </w:r>
      <w:bookmarkEnd w:id="1956"/>
    </w:p>
    <w:p w14:paraId="71170DE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57" w:name="_Toc11033"/>
      <w:bookmarkStart w:id="1958" w:name="_Toc13790"/>
      <w:bookmarkStart w:id="1959" w:name="_Toc29919"/>
      <w:bookmarkStart w:id="1960" w:name="_Toc832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平整过程中，出现大量裸露的土坡面，在暴雨时节将产生较严重的水土流失，故应尽可能安排在暴雨时节前或后进行土地平整工程。而挖出的土石在没有搬运前形成的土堆在大雨时节由于结构疏松也会产生水土流失。因此，施工过程一定要采取临时防护措施，在施工场地周围设临时导水沟，在地势较低的地方应修建临时挡土墙，防止泥、沙等随雨水进入。另外，对一些土建筑材料（如沙、石等）堆放场要加盖防水雨布等，回填场地如暂时不予利用，应及时进行植被绿化，防止水土流失发生。</w:t>
      </w:r>
      <w:bookmarkEnd w:id="1957"/>
      <w:bookmarkEnd w:id="1958"/>
      <w:bookmarkEnd w:id="1959"/>
      <w:bookmarkEnd w:id="1960"/>
    </w:p>
    <w:p w14:paraId="0B3E0EF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61" w:name="_Toc12918"/>
      <w:bookmarkStart w:id="1962" w:name="_Toc14338"/>
      <w:bookmarkStart w:id="1963" w:name="_Toc25123"/>
      <w:bookmarkStart w:id="1964" w:name="_Toc2478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另外从施工的本身来说，填挖土方等作业在气候干燥且来往运输车辆较频繁时，扬尘污染比较大，施工作业产生的扬尘会影响周边区域农作物的生长。扬尘对生态的影响主要是细小的颗粒覆盖手叶片表面，堵塞作物气孔，影响植物呼吸作用和光合作用，从而影响作物生长不良。但这一影响在雨天可消除，影响程度不大。</w:t>
      </w:r>
      <w:bookmarkEnd w:id="1961"/>
      <w:bookmarkEnd w:id="1962"/>
      <w:bookmarkEnd w:id="1963"/>
      <w:bookmarkEnd w:id="1964"/>
    </w:p>
    <w:p w14:paraId="4486378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65" w:name="_Toc28344"/>
      <w:bookmarkStart w:id="1966" w:name="_Toc3782"/>
      <w:bookmarkStart w:id="1967" w:name="_Toc19344"/>
      <w:bookmarkStart w:id="1968" w:name="_Toc2230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综上分析，项目施工期采取有效的生态防护措施，建成后采取有效的生态恢复措施，加强地下水资源开采的有效管理，从生态环境影响角度分析是可以接受的。</w:t>
      </w:r>
      <w:bookmarkEnd w:id="1965"/>
      <w:bookmarkEnd w:id="1966"/>
      <w:bookmarkEnd w:id="1967"/>
      <w:bookmarkEnd w:id="1968"/>
    </w:p>
    <w:p w14:paraId="109CEDA8">
      <w:pPr>
        <w:pStyle w:val="7"/>
        <w:bidi w:val="0"/>
        <w:outlineLvl w:val="1"/>
        <w:rPr>
          <w:rFonts w:hint="default" w:ascii="Times New Roman" w:hAnsi="Times New Roman" w:eastAsia="宋体" w:cs="Times New Roman"/>
          <w:color w:val="auto"/>
          <w:lang w:val="en-US" w:eastAsia="zh-CN"/>
        </w:rPr>
      </w:pPr>
      <w:bookmarkStart w:id="1969" w:name="_Toc22842"/>
      <w:r>
        <w:rPr>
          <w:rFonts w:hint="default" w:ascii="Times New Roman" w:hAnsi="Times New Roman" w:eastAsia="宋体" w:cs="Times New Roman"/>
          <w:color w:val="auto"/>
          <w:lang w:val="en-US" w:eastAsia="zh-CN"/>
        </w:rPr>
        <w:t>6.1.7 施工期环境影响分析小结</w:t>
      </w:r>
      <w:bookmarkEnd w:id="1969"/>
    </w:p>
    <w:p w14:paraId="04907D3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70" w:name="_Toc6842"/>
      <w:bookmarkStart w:id="1971" w:name="_Toc6468"/>
      <w:bookmarkStart w:id="1972" w:name="_Toc1363"/>
      <w:bookmarkStart w:id="1973" w:name="_Toc2748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总体而言，项目施工期环境影响时间短、影响范围小。采用相应环保措施后可降至最低，并随施工期结束而消失。</w:t>
      </w:r>
      <w:bookmarkEnd w:id="1970"/>
      <w:bookmarkEnd w:id="1971"/>
      <w:bookmarkEnd w:id="1972"/>
      <w:bookmarkEnd w:id="1973"/>
    </w:p>
    <w:p w14:paraId="549123D2">
      <w:pPr>
        <w:pStyle w:val="6"/>
        <w:bidi w:val="0"/>
        <w:outlineLvl w:val="2"/>
        <w:rPr>
          <w:rFonts w:hint="default" w:ascii="Times New Roman" w:hAnsi="Times New Roman" w:eastAsia="宋体" w:cs="Times New Roman"/>
          <w:color w:val="auto"/>
          <w:lang w:val="en-US" w:eastAsia="zh-CN"/>
        </w:rPr>
      </w:pPr>
      <w:bookmarkStart w:id="1974" w:name="_Toc32210"/>
      <w:r>
        <w:rPr>
          <w:rFonts w:hint="default" w:ascii="Times New Roman" w:hAnsi="Times New Roman" w:eastAsia="宋体" w:cs="Times New Roman"/>
          <w:color w:val="auto"/>
          <w:lang w:val="en-US" w:eastAsia="zh-CN"/>
        </w:rPr>
        <w:t>6.2 项目营运期大气环境影响分析</w:t>
      </w:r>
      <w:bookmarkEnd w:id="1974"/>
    </w:p>
    <w:p w14:paraId="4498D5D4">
      <w:pPr>
        <w:pStyle w:val="7"/>
        <w:bidi w:val="0"/>
        <w:outlineLvl w:val="1"/>
        <w:rPr>
          <w:rFonts w:hint="default" w:ascii="Times New Roman" w:hAnsi="Times New Roman" w:eastAsia="宋体" w:cs="Times New Roman"/>
          <w:color w:val="auto"/>
          <w:lang w:val="en-US" w:eastAsia="zh-CN"/>
        </w:rPr>
      </w:pPr>
      <w:bookmarkStart w:id="1975" w:name="_Toc32557"/>
      <w:r>
        <w:rPr>
          <w:rFonts w:hint="default" w:ascii="Times New Roman" w:hAnsi="Times New Roman" w:eastAsia="宋体" w:cs="Times New Roman"/>
          <w:color w:val="auto"/>
          <w:lang w:val="en-US" w:eastAsia="zh-CN"/>
        </w:rPr>
        <w:t>6.2.1 大气污染产生及治理</w:t>
      </w:r>
      <w:bookmarkEnd w:id="1975"/>
    </w:p>
    <w:p w14:paraId="79E114E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76" w:name="_Toc17021"/>
      <w:bookmarkStart w:id="1977" w:name="_Toc22243"/>
      <w:bookmarkStart w:id="1978" w:name="_Toc23887"/>
      <w:bookmarkStart w:id="1979" w:name="_Toc412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项目废气主要来源于污水处理站废气、食堂油烟、医疗废气、医废暂存间产生的异味、备用柴油发电机烟气</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汽车尾气</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和熬制中药异味</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等。主要影响对象为以医院为环境保护目标及运营期医院内工作人员及就医人员。项目有组织废气为污水处理站废气，排口编号为DA001。</w:t>
      </w:r>
      <w:bookmarkEnd w:id="1976"/>
      <w:bookmarkEnd w:id="1977"/>
      <w:bookmarkEnd w:id="1978"/>
      <w:bookmarkEnd w:id="1979"/>
    </w:p>
    <w:p w14:paraId="71B0FA28">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1980" w:name="_Toc20577"/>
      <w:bookmarkStart w:id="1981" w:name="_Toc26935"/>
      <w:bookmarkStart w:id="1982" w:name="_Toc26974"/>
      <w:bookmarkStart w:id="1983" w:name="_Toc790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1、废气影响分析</w:t>
      </w:r>
      <w:bookmarkEnd w:id="1980"/>
      <w:bookmarkEnd w:id="1981"/>
      <w:bookmarkEnd w:id="1982"/>
      <w:bookmarkEnd w:id="1983"/>
    </w:p>
    <w:p w14:paraId="547B86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按照《环境影响评价技术导则一大气环境》（HJ2.2-2018）中 5.3 节工作等级的确定方法，结合项目工程分析结果，选择正常排放的主要污染物及排放参数，采用附录 A 推荐模型中的 AERSCREEN 模式计算项目污染源的最大环境影响，然后按照评价工作分级判据进行分级。</w:t>
      </w:r>
    </w:p>
    <w:p w14:paraId="61447E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rPr>
      </w:pPr>
      <w:bookmarkStart w:id="1984" w:name="_Toc17422"/>
      <w:bookmarkStart w:id="1985" w:name="_Toc7751"/>
      <w:bookmarkStart w:id="1986" w:name="_Toc31417"/>
      <w:bookmarkStart w:id="1987" w:name="_Toc15763"/>
      <w:r>
        <w:rPr>
          <w:rFonts w:hint="default" w:ascii="Times New Roman" w:hAnsi="Times New Roman" w:eastAsia="宋体" w:cs="Times New Roman"/>
          <w:color w:val="auto"/>
          <w:kern w:val="0"/>
          <w:sz w:val="24"/>
          <w:szCs w:val="24"/>
          <w:lang w:val="en-US" w:eastAsia="zh-CN" w:bidi="ar"/>
        </w:rPr>
        <w:t>（1）评价工作分级</w:t>
      </w:r>
      <w:bookmarkEnd w:id="1984"/>
      <w:bookmarkEnd w:id="1985"/>
      <w:bookmarkEnd w:id="1986"/>
      <w:bookmarkEnd w:id="1987"/>
      <w:r>
        <w:rPr>
          <w:rFonts w:hint="default" w:ascii="Times New Roman" w:hAnsi="Times New Roman" w:eastAsia="宋体" w:cs="Times New Roman"/>
          <w:color w:val="auto"/>
          <w:kern w:val="0"/>
          <w:sz w:val="24"/>
          <w:szCs w:val="24"/>
          <w:lang w:val="en-US" w:eastAsia="zh-CN" w:bidi="ar"/>
        </w:rPr>
        <w:t xml:space="preserve"> </w:t>
      </w:r>
    </w:p>
    <w:p w14:paraId="3F8EE2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依据《环境影响评价技术导则一大气环境》（HJ2.2-2018）中最大地面浓度占标率 Pi 定义如下：</w:t>
      </w:r>
    </w:p>
    <w:p w14:paraId="4472DF98">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center"/>
        <w:textAlignment w:val="auto"/>
        <w:outlineLvl w:val="9"/>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szCs w:val="22"/>
          <w:highlight w:val="none"/>
        </w:rPr>
        <w:drawing>
          <wp:inline distT="0" distB="0" distL="114300" distR="114300">
            <wp:extent cx="1242060" cy="371475"/>
            <wp:effectExtent l="0" t="0" r="15240" b="889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242060" cy="371475"/>
                    </a:xfrm>
                    <a:prstGeom prst="rect">
                      <a:avLst/>
                    </a:prstGeom>
                    <a:noFill/>
                    <a:ln w="9525">
                      <a:noFill/>
                    </a:ln>
                  </pic:spPr>
                </pic:pic>
              </a:graphicData>
            </a:graphic>
          </wp:inline>
        </w:drawing>
      </w:r>
    </w:p>
    <w:p w14:paraId="13DD7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——第 i 个污染物的最大地面空气质量浓度占标率，%；</w:t>
      </w:r>
    </w:p>
    <w:p w14:paraId="5EF18E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——采用估算模型计算出的第 i 个污染物的最大 1h 地面空气质量浓度，μg/m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14:paraId="45AD28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——第 i 个污染物的环境空气质量浓度标准，μg/m3。一般选用 GB3095 中1h 平均质量浓度的二级浓度限值，如项目位于一类环境空气功能区，应选择相应的一级浓度限值；对该标准中未包含的污染物，使用导则中 5.2 确定的一个评价因子 1h 评价质量浓度限值。对仅有 8h 评价质量浓度限值、日平均质量浓度限值或年平均质量浓度限值的，可分别按 2 倍、3 倍、6 倍折算为 1h 平均质量浓度限值。</w:t>
      </w:r>
    </w:p>
    <w:p w14:paraId="46124D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24"/>
        </w:rPr>
      </w:pPr>
      <w:bookmarkStart w:id="1988" w:name="_Toc18930"/>
      <w:bookmarkStart w:id="1989" w:name="_Toc28751"/>
      <w:bookmarkStart w:id="1990" w:name="_Toc20206"/>
      <w:bookmarkStart w:id="1991" w:name="_Toc14019"/>
      <w:r>
        <w:rPr>
          <w:rFonts w:hint="default" w:ascii="Times New Roman" w:hAnsi="Times New Roman" w:eastAsia="宋体" w:cs="Times New Roman"/>
          <w:color w:val="auto"/>
          <w:kern w:val="0"/>
          <w:sz w:val="24"/>
          <w:szCs w:val="24"/>
          <w:lang w:val="en-US" w:eastAsia="zh-CN" w:bidi="ar"/>
        </w:rPr>
        <w:t>（2）评价等级判别</w:t>
      </w:r>
      <w:bookmarkEnd w:id="1988"/>
      <w:bookmarkEnd w:id="1989"/>
      <w:bookmarkEnd w:id="1990"/>
      <w:bookmarkEnd w:id="1991"/>
      <w:r>
        <w:rPr>
          <w:rFonts w:hint="default" w:ascii="Times New Roman" w:hAnsi="Times New Roman" w:eastAsia="宋体" w:cs="Times New Roman"/>
          <w:color w:val="auto"/>
          <w:kern w:val="0"/>
          <w:sz w:val="24"/>
          <w:szCs w:val="24"/>
          <w:lang w:val="en-US" w:eastAsia="zh-CN" w:bidi="ar"/>
        </w:rPr>
        <w:t xml:space="preserve"> </w:t>
      </w:r>
    </w:p>
    <w:p w14:paraId="5802FE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评价等级按表 6.2-1 的分级判据进行划分。</w:t>
      </w:r>
    </w:p>
    <w:p w14:paraId="6A3333CC">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bCs/>
          <w:color w:val="auto"/>
          <w:kern w:val="0"/>
          <w:sz w:val="20"/>
          <w:szCs w:val="20"/>
          <w:lang w:val="en-US" w:eastAsia="zh-CN" w:bidi="ar"/>
        </w:rPr>
        <w:t>表 6.2-1 评价等级判别表</w:t>
      </w:r>
    </w:p>
    <w:tbl>
      <w:tblPr>
        <w:tblStyle w:val="20"/>
        <w:tblW w:w="891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5"/>
        <w:gridCol w:w="4455"/>
      </w:tblGrid>
      <w:tr w14:paraId="1B8946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4455" w:type="dxa"/>
            <w:shd w:val="clear" w:color="auto" w:fill="D7D7D7" w:themeFill="background1" w:themeFillShade="D8"/>
            <w:vAlign w:val="center"/>
          </w:tcPr>
          <w:p w14:paraId="7B0DDF5F">
            <w:pPr>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评价工作等级</w:t>
            </w:r>
          </w:p>
        </w:tc>
        <w:tc>
          <w:tcPr>
            <w:tcW w:w="4455" w:type="dxa"/>
            <w:shd w:val="clear" w:color="auto" w:fill="D7D7D7" w:themeFill="background1" w:themeFillShade="D8"/>
            <w:vAlign w:val="center"/>
          </w:tcPr>
          <w:p w14:paraId="75DA12E6">
            <w:pPr>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评价工作分级判据</w:t>
            </w:r>
          </w:p>
        </w:tc>
      </w:tr>
      <w:tr w14:paraId="47C0A5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455" w:type="dxa"/>
            <w:vAlign w:val="center"/>
          </w:tcPr>
          <w:p w14:paraId="01DC48FE">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一级评价</w:t>
            </w:r>
          </w:p>
        </w:tc>
        <w:tc>
          <w:tcPr>
            <w:tcW w:w="4455" w:type="dxa"/>
            <w:vAlign w:val="center"/>
          </w:tcPr>
          <w:p w14:paraId="3A268FAD">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Pmax≧10%</w:t>
            </w:r>
          </w:p>
        </w:tc>
      </w:tr>
      <w:tr w14:paraId="3BE9B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455" w:type="dxa"/>
            <w:vAlign w:val="center"/>
          </w:tcPr>
          <w:p w14:paraId="40C70C9A">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二级评价</w:t>
            </w:r>
          </w:p>
        </w:tc>
        <w:tc>
          <w:tcPr>
            <w:tcW w:w="4455" w:type="dxa"/>
            <w:vAlign w:val="center"/>
          </w:tcPr>
          <w:p w14:paraId="411A7E1D">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1%≦Pmax&lt;10%</w:t>
            </w:r>
          </w:p>
        </w:tc>
      </w:tr>
      <w:tr w14:paraId="31656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455" w:type="dxa"/>
            <w:vAlign w:val="center"/>
          </w:tcPr>
          <w:p w14:paraId="76173CC1">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三级评价</w:t>
            </w:r>
          </w:p>
        </w:tc>
        <w:tc>
          <w:tcPr>
            <w:tcW w:w="4455" w:type="dxa"/>
            <w:vAlign w:val="center"/>
          </w:tcPr>
          <w:p w14:paraId="67CB0B7D">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Pmax&lt;1%</w:t>
            </w:r>
          </w:p>
        </w:tc>
      </w:tr>
    </w:tbl>
    <w:p w14:paraId="073F5B6A">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val="en-US" w:eastAsia="zh-CN" w:bidi="ar"/>
        </w:rPr>
        <w:t>注：同一项目有多个（两个以上，含两个）污染源排放同一种污染物时，则按各污染源分别确定其评价等级，并取评价级别最高者作为项目的评价等级。</w:t>
      </w:r>
    </w:p>
    <w:p w14:paraId="4D5A5A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rPr>
      </w:pPr>
      <w:bookmarkStart w:id="1992" w:name="_Toc636"/>
      <w:bookmarkStart w:id="1993" w:name="_Toc19427"/>
      <w:bookmarkStart w:id="1994" w:name="_Toc14520"/>
      <w:bookmarkStart w:id="1995" w:name="_Toc20870"/>
      <w:r>
        <w:rPr>
          <w:rFonts w:hint="default" w:ascii="Times New Roman" w:hAnsi="Times New Roman" w:eastAsia="宋体" w:cs="Times New Roman"/>
          <w:color w:val="auto"/>
          <w:kern w:val="0"/>
          <w:sz w:val="24"/>
          <w:szCs w:val="24"/>
          <w:lang w:val="en-US" w:eastAsia="zh-CN" w:bidi="ar"/>
        </w:rPr>
        <w:t>（3）污染物评价标准</w:t>
      </w:r>
      <w:bookmarkEnd w:id="1992"/>
      <w:bookmarkEnd w:id="1993"/>
      <w:bookmarkEnd w:id="1994"/>
      <w:bookmarkEnd w:id="1995"/>
    </w:p>
    <w:p w14:paraId="2CC00A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污染物评价标准和来源见表 6.2-2。</w:t>
      </w:r>
    </w:p>
    <w:p w14:paraId="49C0A17A">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 6.2-2 污染物评价标准</w:t>
      </w:r>
    </w:p>
    <w:tbl>
      <w:tblPr>
        <w:tblStyle w:val="21"/>
        <w:tblW w:w="87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3606"/>
      </w:tblGrid>
      <w:tr w14:paraId="3ECBC9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shd w:val="clear" w:color="auto" w:fill="D7D7D7" w:themeFill="background1" w:themeFillShade="D8"/>
            <w:vAlign w:val="center"/>
          </w:tcPr>
          <w:p w14:paraId="63F2794F">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1996" w:name="_Toc25279"/>
            <w:bookmarkStart w:id="1997" w:name="_Toc17413"/>
            <w:bookmarkStart w:id="1998" w:name="_Toc4586"/>
            <w:bookmarkStart w:id="1999" w:name="_Toc30094"/>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污染物</w:t>
            </w:r>
            <w:bookmarkEnd w:id="1996"/>
            <w:bookmarkEnd w:id="1997"/>
            <w:bookmarkEnd w:id="1998"/>
            <w:bookmarkEnd w:id="1999"/>
          </w:p>
        </w:tc>
        <w:tc>
          <w:tcPr>
            <w:tcW w:w="1703" w:type="dxa"/>
            <w:shd w:val="clear" w:color="auto" w:fill="D7D7D7" w:themeFill="background1" w:themeFillShade="D8"/>
            <w:vAlign w:val="center"/>
          </w:tcPr>
          <w:p w14:paraId="4F94D532">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00" w:name="_Toc30064"/>
            <w:bookmarkStart w:id="2001" w:name="_Toc5600"/>
            <w:bookmarkStart w:id="2002" w:name="_Toc11176"/>
            <w:bookmarkStart w:id="2003" w:name="_Toc2740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功能区</w:t>
            </w:r>
            <w:bookmarkEnd w:id="2000"/>
            <w:bookmarkEnd w:id="2001"/>
            <w:bookmarkEnd w:id="2002"/>
            <w:bookmarkEnd w:id="2003"/>
          </w:p>
        </w:tc>
        <w:tc>
          <w:tcPr>
            <w:tcW w:w="1703" w:type="dxa"/>
            <w:shd w:val="clear" w:color="auto" w:fill="D7D7D7" w:themeFill="background1" w:themeFillShade="D8"/>
            <w:vAlign w:val="center"/>
          </w:tcPr>
          <w:p w14:paraId="2B45686C">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04" w:name="_Toc7837"/>
            <w:bookmarkStart w:id="2005" w:name="_Toc14304"/>
            <w:bookmarkStart w:id="2006" w:name="_Toc31758"/>
            <w:bookmarkStart w:id="2007" w:name="_Toc7099"/>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标准值（ug/m</w:t>
            </w:r>
            <w:r>
              <w:rPr>
                <w:rFonts w:hint="default" w:ascii="Times New Roman" w:hAnsi="Times New Roman" w:eastAsia="宋体" w:cs="Times New Roman"/>
                <w:b/>
                <w:bCs/>
                <w:i w:val="0"/>
                <w:iCs w:val="0"/>
                <w:caps w:val="0"/>
                <w:color w:val="auto"/>
                <w:spacing w:val="0"/>
                <w:kern w:val="0"/>
                <w:sz w:val="21"/>
                <w:szCs w:val="21"/>
                <w:shd w:val="clear" w:fill="FFFFFF"/>
                <w:vertAlign w:val="superscript"/>
                <w:lang w:val="en-US" w:eastAsia="zh-CN" w:bidi="ar"/>
              </w:rPr>
              <w:t>3</w:t>
            </w: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w:t>
            </w:r>
            <w:bookmarkEnd w:id="2004"/>
            <w:bookmarkEnd w:id="2005"/>
            <w:bookmarkEnd w:id="2006"/>
            <w:bookmarkEnd w:id="2007"/>
          </w:p>
        </w:tc>
        <w:tc>
          <w:tcPr>
            <w:tcW w:w="3606" w:type="dxa"/>
            <w:shd w:val="clear" w:color="auto" w:fill="D7D7D7" w:themeFill="background1" w:themeFillShade="D8"/>
            <w:vAlign w:val="center"/>
          </w:tcPr>
          <w:p w14:paraId="13D04BE6">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08" w:name="_Toc19531"/>
            <w:bookmarkStart w:id="2009" w:name="_Toc29082"/>
            <w:bookmarkStart w:id="2010" w:name="_Toc27273"/>
            <w:bookmarkStart w:id="2011" w:name="_Toc22988"/>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标准来源</w:t>
            </w:r>
            <w:bookmarkEnd w:id="2008"/>
            <w:bookmarkEnd w:id="2009"/>
            <w:bookmarkEnd w:id="2010"/>
            <w:bookmarkEnd w:id="2011"/>
          </w:p>
        </w:tc>
      </w:tr>
      <w:tr w14:paraId="40E23B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116A0411">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12" w:name="_Toc7844"/>
            <w:bookmarkStart w:id="2013" w:name="_Toc27803"/>
            <w:bookmarkStart w:id="2014" w:name="_Toc6739"/>
            <w:bookmarkStart w:id="2015" w:name="_Toc2664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NH</w:t>
            </w:r>
            <w:r>
              <w:rPr>
                <w:rFonts w:hint="default" w:ascii="Times New Roman" w:hAnsi="Times New Roman" w:eastAsia="宋体" w:cs="Times New Roman"/>
                <w:i w:val="0"/>
                <w:iCs w:val="0"/>
                <w:caps w:val="0"/>
                <w:color w:val="auto"/>
                <w:spacing w:val="0"/>
                <w:kern w:val="0"/>
                <w:sz w:val="21"/>
                <w:szCs w:val="21"/>
                <w:shd w:val="clear" w:fill="FFFFFF"/>
                <w:vertAlign w:val="subscript"/>
                <w:lang w:val="en-US" w:eastAsia="zh-CN" w:bidi="ar"/>
              </w:rPr>
              <w:t>3</w:t>
            </w:r>
            <w:bookmarkEnd w:id="2012"/>
            <w:bookmarkEnd w:id="2013"/>
            <w:bookmarkEnd w:id="2014"/>
            <w:bookmarkEnd w:id="2015"/>
          </w:p>
        </w:tc>
        <w:tc>
          <w:tcPr>
            <w:tcW w:w="1703" w:type="dxa"/>
            <w:vAlign w:val="center"/>
          </w:tcPr>
          <w:p w14:paraId="2FB42E83">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16" w:name="_Toc17553"/>
            <w:bookmarkStart w:id="2017" w:name="_Toc28214"/>
            <w:bookmarkStart w:id="2018" w:name="_Toc29431"/>
            <w:bookmarkStart w:id="2019" w:name="_Toc11496"/>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二类</w:t>
            </w:r>
            <w:bookmarkEnd w:id="2016"/>
            <w:bookmarkEnd w:id="2017"/>
            <w:bookmarkEnd w:id="2018"/>
            <w:bookmarkEnd w:id="2019"/>
          </w:p>
        </w:tc>
        <w:tc>
          <w:tcPr>
            <w:tcW w:w="1703" w:type="dxa"/>
            <w:vAlign w:val="center"/>
          </w:tcPr>
          <w:p w14:paraId="700A8B27">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20" w:name="_Toc1709"/>
            <w:bookmarkStart w:id="2021" w:name="_Toc8834"/>
            <w:bookmarkStart w:id="2022" w:name="_Toc2309"/>
            <w:bookmarkStart w:id="2023" w:name="_Toc239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200.0</w:t>
            </w:r>
            <w:bookmarkEnd w:id="2020"/>
            <w:bookmarkEnd w:id="2021"/>
            <w:bookmarkEnd w:id="2022"/>
            <w:bookmarkEnd w:id="2023"/>
          </w:p>
        </w:tc>
        <w:tc>
          <w:tcPr>
            <w:tcW w:w="3606" w:type="dxa"/>
            <w:vAlign w:val="center"/>
          </w:tcPr>
          <w:p w14:paraId="2F1E4D23">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《环境影响评价技术导则一大气环境》HJ2.2-2018 附录 D</w:t>
            </w:r>
          </w:p>
        </w:tc>
      </w:tr>
      <w:tr w14:paraId="03420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3E5E9D4F">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24" w:name="_Toc20514"/>
            <w:bookmarkStart w:id="2025" w:name="_Toc17518"/>
            <w:bookmarkStart w:id="2026" w:name="_Toc28248"/>
            <w:bookmarkStart w:id="2027" w:name="_Toc7023"/>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H</w:t>
            </w:r>
            <w:r>
              <w:rPr>
                <w:rFonts w:hint="default" w:ascii="Times New Roman" w:hAnsi="Times New Roman" w:eastAsia="宋体" w:cs="Times New Roman"/>
                <w:i w:val="0"/>
                <w:iCs w:val="0"/>
                <w:caps w:val="0"/>
                <w:color w:val="auto"/>
                <w:spacing w:val="0"/>
                <w:kern w:val="0"/>
                <w:sz w:val="21"/>
                <w:szCs w:val="21"/>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S</w:t>
            </w:r>
            <w:bookmarkEnd w:id="2024"/>
            <w:bookmarkEnd w:id="2025"/>
            <w:bookmarkEnd w:id="2026"/>
            <w:bookmarkEnd w:id="2027"/>
          </w:p>
        </w:tc>
        <w:tc>
          <w:tcPr>
            <w:tcW w:w="1703" w:type="dxa"/>
            <w:vAlign w:val="center"/>
          </w:tcPr>
          <w:p w14:paraId="6A8BB62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28" w:name="_Toc29076"/>
            <w:bookmarkStart w:id="2029" w:name="_Toc3947"/>
            <w:bookmarkStart w:id="2030" w:name="_Toc30535"/>
            <w:bookmarkStart w:id="2031" w:name="_Toc10859"/>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二类</w:t>
            </w:r>
            <w:bookmarkEnd w:id="2028"/>
            <w:bookmarkEnd w:id="2029"/>
            <w:bookmarkEnd w:id="2030"/>
            <w:bookmarkEnd w:id="2031"/>
          </w:p>
        </w:tc>
        <w:tc>
          <w:tcPr>
            <w:tcW w:w="1703" w:type="dxa"/>
            <w:vAlign w:val="center"/>
          </w:tcPr>
          <w:p w14:paraId="67C1512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32" w:name="_Toc21318"/>
            <w:bookmarkStart w:id="2033" w:name="_Toc17905"/>
            <w:bookmarkStart w:id="2034" w:name="_Toc4406"/>
            <w:bookmarkStart w:id="2035" w:name="_Toc15525"/>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10.0</w:t>
            </w:r>
            <w:bookmarkEnd w:id="2032"/>
            <w:bookmarkEnd w:id="2033"/>
            <w:bookmarkEnd w:id="2034"/>
            <w:bookmarkEnd w:id="2035"/>
          </w:p>
        </w:tc>
        <w:tc>
          <w:tcPr>
            <w:tcW w:w="3606" w:type="dxa"/>
            <w:vAlign w:val="center"/>
          </w:tcPr>
          <w:p w14:paraId="5CB9FEAA">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36" w:name="_Toc5012"/>
            <w:bookmarkStart w:id="2037" w:name="_Toc16291"/>
            <w:bookmarkStart w:id="2038" w:name="_Toc11651"/>
            <w:bookmarkStart w:id="2039" w:name="_Toc23785"/>
            <w:r>
              <w:rPr>
                <w:rFonts w:hint="default" w:ascii="Times New Roman" w:hAnsi="Times New Roman" w:eastAsia="宋体" w:cs="Times New Roman"/>
                <w:color w:val="auto"/>
                <w:kern w:val="0"/>
                <w:sz w:val="21"/>
                <w:szCs w:val="21"/>
                <w:lang w:val="en-US" w:eastAsia="zh-CN" w:bidi="ar"/>
              </w:rPr>
              <w:t>《环境影响评价技术导则一大气环境》HJ2.2-2018 附录 D</w:t>
            </w:r>
            <w:bookmarkEnd w:id="2036"/>
            <w:bookmarkEnd w:id="2037"/>
            <w:bookmarkEnd w:id="2038"/>
            <w:bookmarkEnd w:id="2039"/>
          </w:p>
        </w:tc>
      </w:tr>
    </w:tbl>
    <w:p w14:paraId="35A183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rPr>
      </w:pPr>
      <w:bookmarkStart w:id="2040" w:name="_Toc24916"/>
      <w:bookmarkStart w:id="2041" w:name="_Toc5982"/>
      <w:bookmarkStart w:id="2042" w:name="_Toc16751"/>
      <w:bookmarkStart w:id="2043" w:name="_Toc19627"/>
      <w:r>
        <w:rPr>
          <w:rFonts w:hint="default" w:ascii="Times New Roman" w:hAnsi="Times New Roman" w:eastAsia="宋体" w:cs="Times New Roman"/>
          <w:color w:val="auto"/>
          <w:kern w:val="0"/>
          <w:sz w:val="24"/>
          <w:szCs w:val="24"/>
          <w:lang w:val="en-US" w:eastAsia="zh-CN" w:bidi="ar"/>
        </w:rPr>
        <w:t>（4）污染源参数</w:t>
      </w:r>
      <w:bookmarkEnd w:id="2040"/>
      <w:bookmarkEnd w:id="2041"/>
      <w:bookmarkEnd w:id="2042"/>
      <w:bookmarkEnd w:id="2043"/>
    </w:p>
    <w:p w14:paraId="4F7230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项目废气污染源参数见表6.2-3、6.2-4。</w:t>
      </w:r>
    </w:p>
    <w:p w14:paraId="049453CF">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 6.2-3 主要废气污染源参数一览表（点源）</w:t>
      </w:r>
    </w:p>
    <w:tbl>
      <w:tblPr>
        <w:tblStyle w:val="21"/>
        <w:tblW w:w="88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184"/>
        <w:gridCol w:w="1082"/>
        <w:gridCol w:w="1066"/>
        <w:gridCol w:w="1010"/>
        <w:gridCol w:w="1180"/>
        <w:gridCol w:w="952"/>
        <w:gridCol w:w="1056"/>
      </w:tblGrid>
      <w:tr w14:paraId="6A7275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89" w:type="dxa"/>
            <w:vMerge w:val="restart"/>
            <w:shd w:val="clear" w:color="auto" w:fill="D7D7D7" w:themeFill="background1" w:themeFillShade="D8"/>
            <w:vAlign w:val="center"/>
          </w:tcPr>
          <w:p w14:paraId="78D965DE">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44" w:name="_Toc19785"/>
            <w:bookmarkStart w:id="2045" w:name="_Toc31710"/>
            <w:bookmarkStart w:id="2046" w:name="_Toc7658"/>
            <w:bookmarkStart w:id="2047" w:name="_Toc30508"/>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污染源名称</w:t>
            </w:r>
            <w:bookmarkEnd w:id="2044"/>
            <w:bookmarkEnd w:id="2045"/>
            <w:bookmarkEnd w:id="2046"/>
            <w:bookmarkEnd w:id="2047"/>
          </w:p>
        </w:tc>
        <w:tc>
          <w:tcPr>
            <w:tcW w:w="5522" w:type="dxa"/>
            <w:gridSpan w:val="5"/>
            <w:shd w:val="clear" w:color="auto" w:fill="D7D7D7" w:themeFill="background1" w:themeFillShade="D8"/>
            <w:vAlign w:val="center"/>
          </w:tcPr>
          <w:p w14:paraId="6E982BAF">
            <w:pPr>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排气筒底部中心坐标</w:t>
            </w:r>
          </w:p>
        </w:tc>
        <w:tc>
          <w:tcPr>
            <w:tcW w:w="2008" w:type="dxa"/>
            <w:gridSpan w:val="2"/>
            <w:shd w:val="clear" w:color="auto" w:fill="D7D7D7" w:themeFill="background1" w:themeFillShade="D8"/>
            <w:vAlign w:val="center"/>
          </w:tcPr>
          <w:p w14:paraId="4DD4CDB2">
            <w:pPr>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污染物排放速率（kg/h）</w:t>
            </w:r>
          </w:p>
        </w:tc>
      </w:tr>
      <w:tr w14:paraId="5CDC90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89" w:type="dxa"/>
            <w:vMerge w:val="continue"/>
            <w:shd w:val="clear" w:color="auto" w:fill="D7D7D7" w:themeFill="background1" w:themeFillShade="D8"/>
            <w:vAlign w:val="center"/>
          </w:tcPr>
          <w:p w14:paraId="1C95D5C9">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184" w:type="dxa"/>
            <w:shd w:val="clear" w:color="auto" w:fill="D7D7D7" w:themeFill="background1" w:themeFillShade="D8"/>
            <w:vAlign w:val="center"/>
          </w:tcPr>
          <w:p w14:paraId="5E88AE12">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48" w:name="_Toc24122"/>
            <w:bookmarkStart w:id="2049" w:name="_Toc10864"/>
            <w:bookmarkStart w:id="2050" w:name="_Toc30506"/>
            <w:bookmarkStart w:id="2051" w:name="_Toc612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经度</w:t>
            </w:r>
            <w:bookmarkEnd w:id="2048"/>
            <w:bookmarkEnd w:id="2049"/>
            <w:bookmarkEnd w:id="2050"/>
            <w:bookmarkEnd w:id="2051"/>
          </w:p>
        </w:tc>
        <w:tc>
          <w:tcPr>
            <w:tcW w:w="1082" w:type="dxa"/>
            <w:shd w:val="clear" w:color="auto" w:fill="D7D7D7" w:themeFill="background1" w:themeFillShade="D8"/>
            <w:vAlign w:val="center"/>
          </w:tcPr>
          <w:p w14:paraId="34B41CFC">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52" w:name="_Toc6126"/>
            <w:bookmarkStart w:id="2053" w:name="_Toc11177"/>
            <w:bookmarkStart w:id="2054" w:name="_Toc27136"/>
            <w:bookmarkStart w:id="2055" w:name="_Toc10520"/>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纬度</w:t>
            </w:r>
            <w:bookmarkEnd w:id="2052"/>
            <w:bookmarkEnd w:id="2053"/>
            <w:bookmarkEnd w:id="2054"/>
            <w:bookmarkEnd w:id="2055"/>
          </w:p>
        </w:tc>
        <w:tc>
          <w:tcPr>
            <w:tcW w:w="1066" w:type="dxa"/>
            <w:shd w:val="clear" w:color="auto" w:fill="D7D7D7" w:themeFill="background1" w:themeFillShade="D8"/>
            <w:vAlign w:val="center"/>
          </w:tcPr>
          <w:p w14:paraId="325D4351">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56" w:name="_Toc20245"/>
            <w:bookmarkStart w:id="2057" w:name="_Toc1674"/>
            <w:bookmarkStart w:id="2058" w:name="_Toc8978"/>
            <w:bookmarkStart w:id="2059" w:name="_Toc14553"/>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高度（m）</w:t>
            </w:r>
            <w:bookmarkEnd w:id="2056"/>
            <w:bookmarkEnd w:id="2057"/>
            <w:bookmarkEnd w:id="2058"/>
            <w:bookmarkEnd w:id="2059"/>
          </w:p>
        </w:tc>
        <w:tc>
          <w:tcPr>
            <w:tcW w:w="1010" w:type="dxa"/>
            <w:shd w:val="clear" w:color="auto" w:fill="D7D7D7" w:themeFill="background1" w:themeFillShade="D8"/>
            <w:vAlign w:val="center"/>
          </w:tcPr>
          <w:p w14:paraId="36D4F7A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60" w:name="_Toc23268"/>
            <w:bookmarkStart w:id="2061" w:name="_Toc8330"/>
            <w:bookmarkStart w:id="2062" w:name="_Toc6978"/>
            <w:bookmarkStart w:id="2063" w:name="_Toc10088"/>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内径（m）</w:t>
            </w:r>
            <w:bookmarkEnd w:id="2060"/>
            <w:bookmarkEnd w:id="2061"/>
            <w:bookmarkEnd w:id="2062"/>
            <w:bookmarkEnd w:id="2063"/>
          </w:p>
        </w:tc>
        <w:tc>
          <w:tcPr>
            <w:tcW w:w="1180" w:type="dxa"/>
            <w:shd w:val="clear" w:color="auto" w:fill="D7D7D7" w:themeFill="background1" w:themeFillShade="D8"/>
            <w:vAlign w:val="center"/>
          </w:tcPr>
          <w:p w14:paraId="09AD4E4A">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64" w:name="_Toc26765"/>
            <w:bookmarkStart w:id="2065" w:name="_Toc28491"/>
            <w:bookmarkStart w:id="2066" w:name="_Toc13843"/>
            <w:bookmarkStart w:id="2067" w:name="_Toc2006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流速(m/s</w:t>
            </w:r>
            <w:bookmarkEnd w:id="2064"/>
            <w:bookmarkEnd w:id="2065"/>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w:t>
            </w:r>
            <w:bookmarkEnd w:id="2066"/>
            <w:bookmarkEnd w:id="2067"/>
          </w:p>
        </w:tc>
        <w:tc>
          <w:tcPr>
            <w:tcW w:w="952" w:type="dxa"/>
            <w:shd w:val="clear" w:color="auto" w:fill="D7D7D7" w:themeFill="background1" w:themeFillShade="D8"/>
            <w:vAlign w:val="center"/>
          </w:tcPr>
          <w:p w14:paraId="576C8FC4">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68" w:name="_Toc24714"/>
            <w:bookmarkStart w:id="2069" w:name="_Toc26545"/>
            <w:bookmarkStart w:id="2070" w:name="_Toc10424"/>
            <w:bookmarkStart w:id="2071" w:name="_Toc2625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NH</w:t>
            </w:r>
            <w:r>
              <w:rPr>
                <w:rFonts w:hint="default" w:ascii="Times New Roman" w:hAnsi="Times New Roman" w:eastAsia="宋体" w:cs="Times New Roman"/>
                <w:b/>
                <w:bCs/>
                <w:i w:val="0"/>
                <w:iCs w:val="0"/>
                <w:caps w:val="0"/>
                <w:color w:val="auto"/>
                <w:spacing w:val="0"/>
                <w:kern w:val="0"/>
                <w:sz w:val="21"/>
                <w:szCs w:val="21"/>
                <w:shd w:val="clear" w:fill="FFFFFF"/>
                <w:vertAlign w:val="subscript"/>
                <w:lang w:val="en-US" w:eastAsia="zh-CN" w:bidi="ar"/>
              </w:rPr>
              <w:t>3</w:t>
            </w:r>
            <w:bookmarkEnd w:id="2068"/>
            <w:bookmarkEnd w:id="2069"/>
            <w:bookmarkEnd w:id="2070"/>
            <w:bookmarkEnd w:id="2071"/>
          </w:p>
        </w:tc>
        <w:tc>
          <w:tcPr>
            <w:tcW w:w="1056" w:type="dxa"/>
            <w:shd w:val="clear" w:color="auto" w:fill="D7D7D7" w:themeFill="background1" w:themeFillShade="D8"/>
            <w:vAlign w:val="center"/>
          </w:tcPr>
          <w:p w14:paraId="77C0272E">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072" w:name="_Toc3112"/>
            <w:bookmarkStart w:id="2073" w:name="_Toc7900"/>
            <w:bookmarkStart w:id="2074" w:name="_Toc25763"/>
            <w:bookmarkStart w:id="2075" w:name="_Toc1181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H</w:t>
            </w:r>
            <w:r>
              <w:rPr>
                <w:rFonts w:hint="default" w:ascii="Times New Roman" w:hAnsi="Times New Roman" w:eastAsia="宋体" w:cs="Times New Roman"/>
                <w:b/>
                <w:bCs/>
                <w:i w:val="0"/>
                <w:iCs w:val="0"/>
                <w:caps w:val="0"/>
                <w:color w:val="auto"/>
                <w:spacing w:val="0"/>
                <w:kern w:val="0"/>
                <w:sz w:val="21"/>
                <w:szCs w:val="21"/>
                <w:shd w:val="clear" w:fill="FFFFFF"/>
                <w:vertAlign w:val="subscript"/>
                <w:lang w:val="en-US" w:eastAsia="zh-CN" w:bidi="ar"/>
              </w:rPr>
              <w:t>2</w:t>
            </w: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S</w:t>
            </w:r>
            <w:bookmarkEnd w:id="2072"/>
            <w:bookmarkEnd w:id="2073"/>
            <w:bookmarkEnd w:id="2074"/>
            <w:bookmarkEnd w:id="2075"/>
          </w:p>
        </w:tc>
      </w:tr>
      <w:tr w14:paraId="156D53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289" w:type="dxa"/>
            <w:vAlign w:val="center"/>
          </w:tcPr>
          <w:p w14:paraId="5BFF775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76" w:name="_Toc10693"/>
            <w:bookmarkStart w:id="2077" w:name="_Toc17679"/>
            <w:bookmarkStart w:id="2078" w:name="_Toc6800"/>
            <w:bookmarkStart w:id="2079" w:name="_Toc22785"/>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污水处理站有组织</w:t>
            </w:r>
            <w:bookmarkEnd w:id="2076"/>
            <w:bookmarkEnd w:id="2077"/>
            <w:bookmarkEnd w:id="2078"/>
            <w:bookmarkEnd w:id="2079"/>
          </w:p>
        </w:tc>
        <w:tc>
          <w:tcPr>
            <w:tcW w:w="1184" w:type="dxa"/>
            <w:vAlign w:val="center"/>
          </w:tcPr>
          <w:p w14:paraId="5CBE9C77">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80" w:name="_Toc2784"/>
            <w:bookmarkStart w:id="2081" w:name="_Toc27539"/>
            <w:bookmarkStart w:id="2082" w:name="_Toc27116"/>
            <w:bookmarkStart w:id="2083" w:name="_Toc23255"/>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E105.25</w:t>
            </w:r>
            <w:bookmarkEnd w:id="208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8894°</w:t>
            </w:r>
            <w:bookmarkEnd w:id="2081"/>
            <w:bookmarkEnd w:id="2082"/>
            <w:bookmarkEnd w:id="2083"/>
          </w:p>
        </w:tc>
        <w:tc>
          <w:tcPr>
            <w:tcW w:w="1082" w:type="dxa"/>
            <w:vAlign w:val="center"/>
          </w:tcPr>
          <w:p w14:paraId="1C323493">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84" w:name="_Toc24225"/>
            <w:bookmarkStart w:id="2085" w:name="_Toc544"/>
            <w:bookmarkStart w:id="2086" w:name="_Toc25226"/>
            <w:bookmarkStart w:id="2087" w:name="_Toc1761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N30.598</w:t>
            </w:r>
            <w:bookmarkEnd w:id="2084"/>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395°</w:t>
            </w:r>
            <w:bookmarkEnd w:id="2085"/>
            <w:bookmarkEnd w:id="2086"/>
            <w:bookmarkEnd w:id="2087"/>
          </w:p>
        </w:tc>
        <w:tc>
          <w:tcPr>
            <w:tcW w:w="1066" w:type="dxa"/>
            <w:vAlign w:val="center"/>
          </w:tcPr>
          <w:p w14:paraId="38A8C4D2">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88" w:name="_Toc5847"/>
            <w:bookmarkStart w:id="2089" w:name="_Toc6689"/>
            <w:bookmarkStart w:id="2090" w:name="_Toc32381"/>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25</w:t>
            </w:r>
            <w:bookmarkEnd w:id="2088"/>
            <w:bookmarkEnd w:id="2089"/>
            <w:bookmarkEnd w:id="2090"/>
          </w:p>
        </w:tc>
        <w:tc>
          <w:tcPr>
            <w:tcW w:w="1010" w:type="dxa"/>
            <w:vAlign w:val="center"/>
          </w:tcPr>
          <w:p w14:paraId="742AE196">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91" w:name="_Toc5621"/>
            <w:bookmarkStart w:id="2092" w:name="_Toc15578"/>
            <w:bookmarkStart w:id="2093" w:name="_Toc15803"/>
            <w:bookmarkStart w:id="2094" w:name="_Toc23836"/>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0.2</w:t>
            </w:r>
            <w:bookmarkEnd w:id="2091"/>
            <w:bookmarkEnd w:id="2092"/>
            <w:bookmarkEnd w:id="2093"/>
            <w:bookmarkEnd w:id="2094"/>
          </w:p>
        </w:tc>
        <w:tc>
          <w:tcPr>
            <w:tcW w:w="1180" w:type="dxa"/>
            <w:vAlign w:val="center"/>
          </w:tcPr>
          <w:p w14:paraId="7AAEA438">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95" w:name="_Toc26594"/>
            <w:bookmarkStart w:id="2096" w:name="_Toc8859"/>
            <w:bookmarkStart w:id="2097" w:name="_Toc26082"/>
            <w:bookmarkStart w:id="2098" w:name="_Toc180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44.21</w:t>
            </w:r>
            <w:bookmarkEnd w:id="2095"/>
            <w:bookmarkEnd w:id="2096"/>
            <w:bookmarkEnd w:id="2097"/>
            <w:bookmarkEnd w:id="2098"/>
          </w:p>
        </w:tc>
        <w:tc>
          <w:tcPr>
            <w:tcW w:w="952" w:type="dxa"/>
            <w:vAlign w:val="center"/>
          </w:tcPr>
          <w:p w14:paraId="4DCCCA46">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099" w:name="_Toc23339"/>
            <w:bookmarkStart w:id="2100" w:name="_Toc16140"/>
            <w:bookmarkStart w:id="2101" w:name="_Toc15835"/>
            <w:bookmarkStart w:id="2102" w:name="_Toc9412"/>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0.000</w:t>
            </w:r>
            <w:bookmarkEnd w:id="2099"/>
            <w:bookmarkEnd w:id="2100"/>
            <w:bookmarkEnd w:id="2101"/>
            <w:bookmarkEnd w:id="2102"/>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39</w:t>
            </w:r>
          </w:p>
        </w:tc>
        <w:tc>
          <w:tcPr>
            <w:tcW w:w="1056" w:type="dxa"/>
            <w:vAlign w:val="center"/>
          </w:tcPr>
          <w:p w14:paraId="4A0CCA5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103" w:name="_Toc24697"/>
            <w:bookmarkStart w:id="2104" w:name="_Toc24369"/>
            <w:bookmarkStart w:id="2105" w:name="_Toc9163"/>
            <w:bookmarkStart w:id="2106" w:name="_Toc10705"/>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0.0000</w:t>
            </w:r>
            <w:bookmarkEnd w:id="2103"/>
            <w:bookmarkEnd w:id="2104"/>
            <w:bookmarkEnd w:id="2105"/>
            <w:bookmarkEnd w:id="2106"/>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15</w:t>
            </w:r>
          </w:p>
        </w:tc>
      </w:tr>
    </w:tbl>
    <w:p w14:paraId="4232A663">
      <w:pPr>
        <w:keepNext w:val="0"/>
        <w:keepLines w:val="0"/>
        <w:widowControl/>
        <w:suppressLineNumbers w:val="0"/>
        <w:jc w:val="center"/>
        <w:rPr>
          <w:rFonts w:hint="default" w:ascii="Times New Roman" w:hAnsi="Times New Roman" w:eastAsia="宋体" w:cs="Times New Roman"/>
          <w:b/>
          <w:bCs/>
          <w:color w:val="auto"/>
          <w:kern w:val="0"/>
          <w:sz w:val="20"/>
          <w:szCs w:val="20"/>
          <w:lang w:val="en-US" w:eastAsia="zh-CN" w:bidi="ar"/>
        </w:rPr>
      </w:pPr>
      <w:bookmarkStart w:id="2107" w:name="_Toc3742"/>
      <w:r>
        <w:rPr>
          <w:rFonts w:hint="default" w:ascii="Times New Roman" w:hAnsi="Times New Roman" w:eastAsia="宋体" w:cs="Times New Roman"/>
          <w:b/>
          <w:bCs/>
          <w:color w:val="auto"/>
          <w:kern w:val="0"/>
          <w:sz w:val="20"/>
          <w:szCs w:val="20"/>
          <w:lang w:val="en-US" w:eastAsia="zh-CN" w:bidi="ar"/>
        </w:rPr>
        <w:t>表 6.2-4 主要废气污染源参数一览表（面源）</w:t>
      </w:r>
    </w:p>
    <w:tbl>
      <w:tblPr>
        <w:tblStyle w:val="20"/>
        <w:tblW w:w="8758"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338"/>
        <w:gridCol w:w="1448"/>
        <w:gridCol w:w="1321"/>
        <w:gridCol w:w="1262"/>
        <w:gridCol w:w="1127"/>
        <w:gridCol w:w="936"/>
        <w:gridCol w:w="1326"/>
      </w:tblGrid>
      <w:tr w14:paraId="04B7683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2" w:hRule="atLeast"/>
          <w:jc w:val="center"/>
        </w:trPr>
        <w:tc>
          <w:tcPr>
            <w:tcW w:w="1338" w:type="dxa"/>
            <w:vMerge w:val="restart"/>
            <w:tcBorders>
              <w:tl2br w:val="nil"/>
              <w:tr2bl w:val="nil"/>
            </w:tcBorders>
            <w:shd w:val="clear" w:color="auto" w:fill="D7D7D7" w:themeFill="background1" w:themeFillShade="D8"/>
            <w:noWrap w:val="0"/>
            <w:vAlign w:val="center"/>
          </w:tcPr>
          <w:p w14:paraId="46B9A8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Cs w:val="22"/>
                <w:highlight w:val="none"/>
              </w:rPr>
            </w:pPr>
            <w:r>
              <w:rPr>
                <w:rFonts w:hint="default" w:ascii="Times New Roman" w:hAnsi="Times New Roman" w:eastAsia="宋体" w:cs="Times New Roman"/>
                <w:b/>
                <w:bCs/>
                <w:color w:val="auto"/>
                <w:kern w:val="2"/>
                <w:szCs w:val="22"/>
                <w:highlight w:val="none"/>
              </w:rPr>
              <w:t>污染源</w:t>
            </w:r>
          </w:p>
          <w:p w14:paraId="7CBF7D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Cs w:val="22"/>
                <w:highlight w:val="none"/>
                <w:lang w:val="en-US" w:eastAsia="zh-CN"/>
              </w:rPr>
            </w:pPr>
            <w:r>
              <w:rPr>
                <w:rFonts w:hint="default" w:ascii="Times New Roman" w:hAnsi="Times New Roman" w:eastAsia="宋体" w:cs="Times New Roman"/>
                <w:b/>
                <w:bCs/>
                <w:color w:val="auto"/>
                <w:kern w:val="2"/>
                <w:szCs w:val="22"/>
                <w:highlight w:val="none"/>
              </w:rPr>
              <w:t>名称</w:t>
            </w:r>
          </w:p>
        </w:tc>
        <w:tc>
          <w:tcPr>
            <w:tcW w:w="2769" w:type="dxa"/>
            <w:gridSpan w:val="2"/>
            <w:tcBorders>
              <w:tl2br w:val="nil"/>
              <w:tr2bl w:val="nil"/>
            </w:tcBorders>
            <w:shd w:val="clear" w:color="auto" w:fill="D7D7D7" w:themeFill="background1" w:themeFillShade="D8"/>
            <w:noWrap w:val="0"/>
            <w:vAlign w:val="center"/>
          </w:tcPr>
          <w:p w14:paraId="0AA04CC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Cs w:val="22"/>
                <w:highlight w:val="none"/>
                <w:lang w:val="en-US" w:eastAsia="zh-CN"/>
              </w:rPr>
            </w:pPr>
            <w:r>
              <w:rPr>
                <w:rFonts w:hint="default" w:ascii="Times New Roman" w:hAnsi="Times New Roman" w:eastAsia="宋体" w:cs="Times New Roman"/>
                <w:b/>
                <w:bCs/>
                <w:color w:val="auto"/>
                <w:kern w:val="2"/>
                <w:szCs w:val="21"/>
                <w:highlight w:val="none"/>
                <w:lang w:val="en-US" w:eastAsia="zh-CN"/>
              </w:rPr>
              <w:t>中心</w:t>
            </w:r>
            <w:r>
              <w:rPr>
                <w:rFonts w:hint="default" w:ascii="Times New Roman" w:hAnsi="Times New Roman" w:eastAsia="宋体" w:cs="Times New Roman"/>
                <w:b/>
                <w:bCs/>
                <w:color w:val="auto"/>
                <w:kern w:val="2"/>
                <w:szCs w:val="21"/>
                <w:highlight w:val="none"/>
              </w:rPr>
              <w:t>坐标</w:t>
            </w:r>
          </w:p>
        </w:tc>
        <w:tc>
          <w:tcPr>
            <w:tcW w:w="1262" w:type="dxa"/>
            <w:vMerge w:val="restart"/>
            <w:tcBorders>
              <w:tl2br w:val="nil"/>
              <w:tr2bl w:val="nil"/>
            </w:tcBorders>
            <w:shd w:val="clear" w:color="auto" w:fill="D7D7D7" w:themeFill="background1" w:themeFillShade="D8"/>
            <w:noWrap w:val="0"/>
            <w:vAlign w:val="center"/>
          </w:tcPr>
          <w:p w14:paraId="43DEFF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2"/>
                <w:szCs w:val="22"/>
                <w:highlight w:val="none"/>
                <w:lang w:val="en-US" w:eastAsia="zh-CN"/>
              </w:rPr>
            </w:pPr>
            <w:r>
              <w:rPr>
                <w:rFonts w:hint="default" w:ascii="Times New Roman" w:hAnsi="Times New Roman" w:eastAsia="宋体" w:cs="Times New Roman"/>
                <w:b/>
                <w:bCs/>
                <w:color w:val="auto"/>
                <w:kern w:val="2"/>
                <w:szCs w:val="22"/>
                <w:highlight w:val="none"/>
                <w:lang w:val="en-US" w:eastAsia="zh-CN"/>
              </w:rPr>
              <w:t>面源长度（m）</w:t>
            </w:r>
          </w:p>
        </w:tc>
        <w:tc>
          <w:tcPr>
            <w:tcW w:w="1127" w:type="dxa"/>
            <w:vMerge w:val="restart"/>
            <w:tcBorders>
              <w:tl2br w:val="nil"/>
              <w:tr2bl w:val="nil"/>
            </w:tcBorders>
            <w:shd w:val="clear" w:color="auto" w:fill="D7D7D7" w:themeFill="background1" w:themeFillShade="D8"/>
            <w:noWrap w:val="0"/>
            <w:vAlign w:val="center"/>
          </w:tcPr>
          <w:p w14:paraId="72D5F5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2"/>
                <w:szCs w:val="22"/>
                <w:highlight w:val="none"/>
                <w:lang w:val="en-US" w:eastAsia="zh-CN"/>
              </w:rPr>
            </w:pPr>
            <w:r>
              <w:rPr>
                <w:rFonts w:hint="default" w:ascii="Times New Roman" w:hAnsi="Times New Roman" w:eastAsia="宋体" w:cs="Times New Roman"/>
                <w:b/>
                <w:bCs/>
                <w:color w:val="auto"/>
                <w:kern w:val="2"/>
                <w:szCs w:val="22"/>
                <w:highlight w:val="none"/>
                <w:lang w:val="en-US" w:eastAsia="zh-CN"/>
              </w:rPr>
              <w:t>面源宽度（m）</w:t>
            </w:r>
          </w:p>
        </w:tc>
        <w:tc>
          <w:tcPr>
            <w:tcW w:w="2262" w:type="dxa"/>
            <w:gridSpan w:val="2"/>
            <w:vMerge w:val="restart"/>
            <w:tcBorders>
              <w:tl2br w:val="nil"/>
              <w:tr2bl w:val="nil"/>
            </w:tcBorders>
            <w:shd w:val="clear" w:color="auto" w:fill="D7D7D7" w:themeFill="background1" w:themeFillShade="D8"/>
            <w:noWrap w:val="0"/>
            <w:vAlign w:val="center"/>
          </w:tcPr>
          <w:p w14:paraId="4AED71E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b/>
                <w:bCs/>
                <w:color w:val="auto"/>
                <w:kern w:val="0"/>
                <w:sz w:val="21"/>
                <w:szCs w:val="21"/>
                <w:lang w:val="en-US" w:eastAsia="zh-CN" w:bidi="ar"/>
              </w:rPr>
              <w:t>污染物排放速率（kg/h）</w:t>
            </w:r>
          </w:p>
        </w:tc>
      </w:tr>
      <w:tr w14:paraId="14B7435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12" w:hRule="atLeast"/>
          <w:jc w:val="center"/>
        </w:trPr>
        <w:tc>
          <w:tcPr>
            <w:tcW w:w="1338" w:type="dxa"/>
            <w:vMerge w:val="continue"/>
            <w:tcBorders>
              <w:tl2br w:val="nil"/>
              <w:tr2bl w:val="nil"/>
            </w:tcBorders>
            <w:shd w:val="clear" w:color="auto" w:fill="D7D7D7" w:themeFill="background1" w:themeFillShade="D8"/>
            <w:noWrap w:val="0"/>
            <w:vAlign w:val="center"/>
          </w:tcPr>
          <w:p w14:paraId="625035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rPr>
            </w:pPr>
          </w:p>
        </w:tc>
        <w:tc>
          <w:tcPr>
            <w:tcW w:w="1448" w:type="dxa"/>
            <w:vMerge w:val="restart"/>
            <w:tcBorders>
              <w:tl2br w:val="nil"/>
              <w:tr2bl w:val="nil"/>
            </w:tcBorders>
            <w:shd w:val="clear" w:color="auto" w:fill="D7D7D7" w:themeFill="background1" w:themeFillShade="D8"/>
            <w:noWrap w:val="0"/>
            <w:vAlign w:val="center"/>
          </w:tcPr>
          <w:p w14:paraId="6963E120">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1"/>
              <w:rPr>
                <w:rFonts w:hint="default" w:ascii="Times New Roman" w:hAnsi="Times New Roman" w:eastAsia="宋体" w:cs="Times New Roman"/>
                <w:b/>
                <w:bCs/>
                <w:color w:val="auto"/>
                <w:kern w:val="2"/>
                <w:szCs w:val="22"/>
                <w:highlight w:val="none"/>
                <w:lang w:val="en-US" w:eastAsia="zh-CN"/>
              </w:rPr>
            </w:pPr>
            <w:bookmarkStart w:id="2108" w:name="_Toc27154"/>
            <w:bookmarkStart w:id="2109" w:name="_Toc10374"/>
            <w:bookmarkStart w:id="2110" w:name="_Toc15936"/>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经度</w:t>
            </w:r>
            <w:bookmarkEnd w:id="2108"/>
            <w:bookmarkEnd w:id="2109"/>
            <w:bookmarkEnd w:id="2110"/>
          </w:p>
        </w:tc>
        <w:tc>
          <w:tcPr>
            <w:tcW w:w="1321" w:type="dxa"/>
            <w:vMerge w:val="restart"/>
            <w:tcBorders>
              <w:tl2br w:val="nil"/>
              <w:tr2bl w:val="nil"/>
            </w:tcBorders>
            <w:shd w:val="clear" w:color="auto" w:fill="D7D7D7" w:themeFill="background1" w:themeFillShade="D8"/>
            <w:noWrap w:val="0"/>
            <w:vAlign w:val="center"/>
          </w:tcPr>
          <w:p w14:paraId="72EA19F3">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1"/>
              <w:rPr>
                <w:rFonts w:hint="default" w:ascii="Times New Roman" w:hAnsi="Times New Roman" w:eastAsia="宋体" w:cs="Times New Roman"/>
                <w:b/>
                <w:bCs/>
                <w:color w:val="auto"/>
                <w:kern w:val="2"/>
                <w:szCs w:val="22"/>
                <w:highlight w:val="none"/>
                <w:lang w:val="en-US" w:eastAsia="zh-CN"/>
              </w:rPr>
            </w:pPr>
            <w:bookmarkStart w:id="2111" w:name="_Toc2344"/>
            <w:bookmarkStart w:id="2112" w:name="_Toc15507"/>
            <w:bookmarkStart w:id="2113" w:name="_Toc11203"/>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纬度</w:t>
            </w:r>
            <w:bookmarkEnd w:id="2111"/>
            <w:bookmarkEnd w:id="2112"/>
            <w:bookmarkEnd w:id="2113"/>
          </w:p>
        </w:tc>
        <w:tc>
          <w:tcPr>
            <w:tcW w:w="1262" w:type="dxa"/>
            <w:vMerge w:val="continue"/>
            <w:tcBorders>
              <w:tl2br w:val="nil"/>
              <w:tr2bl w:val="nil"/>
            </w:tcBorders>
            <w:shd w:val="clear" w:color="auto" w:fill="D7D7D7" w:themeFill="background1" w:themeFillShade="D8"/>
            <w:noWrap w:val="0"/>
            <w:vAlign w:val="center"/>
          </w:tcPr>
          <w:p w14:paraId="23CABA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eastAsia="zh-CN"/>
              </w:rPr>
            </w:pPr>
          </w:p>
        </w:tc>
        <w:tc>
          <w:tcPr>
            <w:tcW w:w="1127" w:type="dxa"/>
            <w:vMerge w:val="continue"/>
            <w:tcBorders>
              <w:tl2br w:val="nil"/>
              <w:tr2bl w:val="nil"/>
            </w:tcBorders>
            <w:shd w:val="clear" w:color="auto" w:fill="D7D7D7" w:themeFill="background1" w:themeFillShade="D8"/>
            <w:noWrap w:val="0"/>
            <w:vAlign w:val="center"/>
          </w:tcPr>
          <w:p w14:paraId="356C48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eastAsia="zh-CN"/>
              </w:rPr>
            </w:pPr>
          </w:p>
        </w:tc>
        <w:tc>
          <w:tcPr>
            <w:tcW w:w="2262" w:type="dxa"/>
            <w:gridSpan w:val="2"/>
            <w:vMerge w:val="continue"/>
            <w:tcBorders>
              <w:tl2br w:val="nil"/>
              <w:tr2bl w:val="nil"/>
            </w:tcBorders>
            <w:shd w:val="clear" w:color="auto" w:fill="D7D7D7" w:themeFill="background1" w:themeFillShade="D8"/>
            <w:noWrap w:val="0"/>
            <w:vAlign w:val="center"/>
          </w:tcPr>
          <w:p w14:paraId="05364C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p>
        </w:tc>
      </w:tr>
      <w:tr w14:paraId="103913D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57" w:hRule="atLeast"/>
          <w:jc w:val="center"/>
        </w:trPr>
        <w:tc>
          <w:tcPr>
            <w:tcW w:w="1338" w:type="dxa"/>
            <w:vMerge w:val="continue"/>
            <w:tcBorders>
              <w:tl2br w:val="nil"/>
              <w:tr2bl w:val="nil"/>
            </w:tcBorders>
            <w:shd w:val="clear" w:color="auto" w:fill="D7D7D7" w:themeFill="background1" w:themeFillShade="D8"/>
            <w:noWrap w:val="0"/>
            <w:vAlign w:val="center"/>
          </w:tcPr>
          <w:p w14:paraId="222FD7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rPr>
            </w:pPr>
          </w:p>
        </w:tc>
        <w:tc>
          <w:tcPr>
            <w:tcW w:w="1448" w:type="dxa"/>
            <w:vMerge w:val="continue"/>
            <w:tcBorders>
              <w:tl2br w:val="nil"/>
              <w:tr2bl w:val="nil"/>
            </w:tcBorders>
            <w:shd w:val="clear" w:color="auto" w:fill="D7D7D7" w:themeFill="background1" w:themeFillShade="D8"/>
            <w:noWrap w:val="0"/>
            <w:vAlign w:val="center"/>
          </w:tcPr>
          <w:p w14:paraId="1428A9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p>
        </w:tc>
        <w:tc>
          <w:tcPr>
            <w:tcW w:w="1321" w:type="dxa"/>
            <w:vMerge w:val="continue"/>
            <w:tcBorders>
              <w:tl2br w:val="nil"/>
              <w:tr2bl w:val="nil"/>
            </w:tcBorders>
            <w:shd w:val="clear" w:color="auto" w:fill="D7D7D7" w:themeFill="background1" w:themeFillShade="D8"/>
            <w:noWrap w:val="0"/>
            <w:vAlign w:val="center"/>
          </w:tcPr>
          <w:p w14:paraId="3E9D29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p>
        </w:tc>
        <w:tc>
          <w:tcPr>
            <w:tcW w:w="1262" w:type="dxa"/>
            <w:vMerge w:val="continue"/>
            <w:tcBorders>
              <w:tl2br w:val="nil"/>
              <w:tr2bl w:val="nil"/>
            </w:tcBorders>
            <w:shd w:val="clear" w:color="auto" w:fill="D7D7D7" w:themeFill="background1" w:themeFillShade="D8"/>
            <w:noWrap w:val="0"/>
            <w:vAlign w:val="center"/>
          </w:tcPr>
          <w:p w14:paraId="21437C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rPr>
            </w:pPr>
          </w:p>
        </w:tc>
        <w:tc>
          <w:tcPr>
            <w:tcW w:w="1127" w:type="dxa"/>
            <w:vMerge w:val="continue"/>
            <w:tcBorders>
              <w:tl2br w:val="nil"/>
              <w:tr2bl w:val="nil"/>
            </w:tcBorders>
            <w:shd w:val="clear" w:color="auto" w:fill="D7D7D7" w:themeFill="background1" w:themeFillShade="D8"/>
            <w:noWrap w:val="0"/>
            <w:vAlign w:val="center"/>
          </w:tcPr>
          <w:p w14:paraId="15812A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rPr>
            </w:pPr>
          </w:p>
        </w:tc>
        <w:tc>
          <w:tcPr>
            <w:tcW w:w="936" w:type="dxa"/>
            <w:tcBorders>
              <w:tl2br w:val="nil"/>
              <w:tr2bl w:val="nil"/>
            </w:tcBorders>
            <w:shd w:val="clear" w:color="auto" w:fill="D7D7D7" w:themeFill="background1" w:themeFillShade="D8"/>
            <w:noWrap w:val="0"/>
            <w:vAlign w:val="center"/>
          </w:tcPr>
          <w:p w14:paraId="35306C9D">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default" w:ascii="Times New Roman" w:hAnsi="Times New Roman" w:eastAsia="宋体" w:cs="Times New Roman"/>
                <w:color w:val="auto"/>
                <w:kern w:val="2"/>
                <w:szCs w:val="22"/>
                <w:highlight w:val="none"/>
                <w:lang w:val="en-US" w:eastAsia="zh-CN"/>
              </w:rPr>
            </w:pPr>
            <w:bookmarkStart w:id="2114" w:name="_Toc27700"/>
            <w:bookmarkStart w:id="2115" w:name="_Toc7910"/>
            <w:bookmarkStart w:id="2116" w:name="_Toc1730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NH</w:t>
            </w:r>
            <w:r>
              <w:rPr>
                <w:rFonts w:hint="default" w:ascii="Times New Roman" w:hAnsi="Times New Roman" w:eastAsia="宋体" w:cs="Times New Roman"/>
                <w:i w:val="0"/>
                <w:iCs w:val="0"/>
                <w:caps w:val="0"/>
                <w:color w:val="auto"/>
                <w:spacing w:val="0"/>
                <w:kern w:val="0"/>
                <w:sz w:val="21"/>
                <w:szCs w:val="21"/>
                <w:shd w:val="clear" w:fill="FFFFFF"/>
                <w:vertAlign w:val="subscript"/>
                <w:lang w:val="en-US" w:eastAsia="zh-CN" w:bidi="ar"/>
              </w:rPr>
              <w:t>3</w:t>
            </w:r>
            <w:bookmarkEnd w:id="2114"/>
            <w:bookmarkEnd w:id="2115"/>
            <w:bookmarkEnd w:id="2116"/>
          </w:p>
        </w:tc>
        <w:tc>
          <w:tcPr>
            <w:tcW w:w="1326" w:type="dxa"/>
            <w:tcBorders>
              <w:tl2br w:val="nil"/>
              <w:tr2bl w:val="nil"/>
            </w:tcBorders>
            <w:shd w:val="clear" w:color="auto" w:fill="D7D7D7" w:themeFill="background1" w:themeFillShade="D8"/>
            <w:noWrap w:val="0"/>
            <w:vAlign w:val="center"/>
          </w:tcPr>
          <w:p w14:paraId="2A6B647E">
            <w:pPr>
              <w:pStyle w:val="1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default" w:ascii="Times New Roman" w:hAnsi="Times New Roman" w:eastAsia="宋体" w:cs="Times New Roman"/>
                <w:color w:val="auto"/>
                <w:kern w:val="2"/>
                <w:szCs w:val="22"/>
                <w:highlight w:val="none"/>
                <w:lang w:val="en-US" w:eastAsia="zh-CN"/>
              </w:rPr>
            </w:pPr>
            <w:bookmarkStart w:id="2117" w:name="_Toc2244"/>
            <w:bookmarkStart w:id="2118" w:name="_Toc1297"/>
            <w:bookmarkStart w:id="2119" w:name="_Toc25062"/>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H</w:t>
            </w:r>
            <w:r>
              <w:rPr>
                <w:rFonts w:hint="default" w:ascii="Times New Roman" w:hAnsi="Times New Roman" w:eastAsia="宋体" w:cs="Times New Roman"/>
                <w:i w:val="0"/>
                <w:iCs w:val="0"/>
                <w:caps w:val="0"/>
                <w:color w:val="auto"/>
                <w:spacing w:val="0"/>
                <w:kern w:val="0"/>
                <w:sz w:val="21"/>
                <w:szCs w:val="21"/>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S</w:t>
            </w:r>
            <w:bookmarkEnd w:id="2117"/>
            <w:bookmarkEnd w:id="2118"/>
            <w:bookmarkEnd w:id="2119"/>
          </w:p>
        </w:tc>
      </w:tr>
      <w:tr w14:paraId="2ADB40A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0" w:hRule="atLeast"/>
          <w:jc w:val="center"/>
        </w:trPr>
        <w:tc>
          <w:tcPr>
            <w:tcW w:w="1338" w:type="dxa"/>
            <w:tcBorders>
              <w:tl2br w:val="nil"/>
              <w:tr2bl w:val="nil"/>
            </w:tcBorders>
            <w:noWrap w:val="0"/>
            <w:vAlign w:val="center"/>
          </w:tcPr>
          <w:p w14:paraId="5DB03C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污水处理站</w:t>
            </w:r>
          </w:p>
        </w:tc>
        <w:tc>
          <w:tcPr>
            <w:tcW w:w="1448" w:type="dxa"/>
            <w:tcBorders>
              <w:tl2br w:val="nil"/>
              <w:tr2bl w:val="nil"/>
            </w:tcBorders>
            <w:noWrap w:val="0"/>
            <w:vAlign w:val="center"/>
          </w:tcPr>
          <w:p w14:paraId="5A71F6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E105.257735</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1321" w:type="dxa"/>
            <w:tcBorders>
              <w:tl2br w:val="nil"/>
              <w:tr2bl w:val="nil"/>
            </w:tcBorders>
            <w:noWrap w:val="0"/>
            <w:vAlign w:val="center"/>
          </w:tcPr>
          <w:p w14:paraId="3FAD7B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N30.598672</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c>
          <w:tcPr>
            <w:tcW w:w="1262" w:type="dxa"/>
            <w:tcBorders>
              <w:tl2br w:val="nil"/>
              <w:tr2bl w:val="nil"/>
            </w:tcBorders>
            <w:noWrap w:val="0"/>
            <w:vAlign w:val="center"/>
          </w:tcPr>
          <w:p w14:paraId="3DD2D6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25</w:t>
            </w:r>
          </w:p>
        </w:tc>
        <w:tc>
          <w:tcPr>
            <w:tcW w:w="1127" w:type="dxa"/>
            <w:tcBorders>
              <w:tl2br w:val="nil"/>
              <w:tr2bl w:val="nil"/>
            </w:tcBorders>
            <w:noWrap w:val="0"/>
            <w:vAlign w:val="center"/>
          </w:tcPr>
          <w:p w14:paraId="1F7820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16</w:t>
            </w:r>
          </w:p>
        </w:tc>
        <w:tc>
          <w:tcPr>
            <w:tcW w:w="936" w:type="dxa"/>
            <w:tcBorders>
              <w:tl2br w:val="nil"/>
              <w:tr2bl w:val="nil"/>
            </w:tcBorders>
            <w:noWrap w:val="0"/>
            <w:vAlign w:val="center"/>
          </w:tcPr>
          <w:p w14:paraId="2E0869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0.000</w:t>
            </w:r>
            <w:r>
              <w:rPr>
                <w:rFonts w:hint="eastAsia" w:ascii="Times New Roman" w:hAnsi="Times New Roman" w:eastAsia="宋体" w:cs="Times New Roman"/>
                <w:color w:val="auto"/>
                <w:kern w:val="2"/>
                <w:szCs w:val="22"/>
                <w:highlight w:val="none"/>
                <w:lang w:val="en-US" w:eastAsia="zh-CN"/>
              </w:rPr>
              <w:t>1</w:t>
            </w:r>
          </w:p>
        </w:tc>
        <w:tc>
          <w:tcPr>
            <w:tcW w:w="1326" w:type="dxa"/>
            <w:tcBorders>
              <w:tl2br w:val="nil"/>
              <w:tr2bl w:val="nil"/>
            </w:tcBorders>
            <w:noWrap w:val="0"/>
            <w:vAlign w:val="center"/>
          </w:tcPr>
          <w:p w14:paraId="301776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Cs w:val="22"/>
                <w:highlight w:val="none"/>
                <w:lang w:val="en-US" w:eastAsia="zh-CN"/>
              </w:rPr>
            </w:pPr>
            <w:r>
              <w:rPr>
                <w:rFonts w:hint="default" w:ascii="Times New Roman" w:hAnsi="Times New Roman" w:eastAsia="宋体" w:cs="Times New Roman"/>
                <w:color w:val="auto"/>
                <w:kern w:val="2"/>
                <w:szCs w:val="22"/>
                <w:highlight w:val="none"/>
                <w:lang w:val="en-US" w:eastAsia="zh-CN"/>
              </w:rPr>
              <w:t>0.00000</w:t>
            </w:r>
            <w:r>
              <w:rPr>
                <w:rFonts w:hint="eastAsia" w:ascii="Times New Roman" w:hAnsi="Times New Roman" w:eastAsia="宋体" w:cs="Times New Roman"/>
                <w:color w:val="auto"/>
                <w:kern w:val="2"/>
                <w:szCs w:val="22"/>
                <w:highlight w:val="none"/>
                <w:lang w:val="en-US" w:eastAsia="zh-CN"/>
              </w:rPr>
              <w:t>4</w:t>
            </w:r>
          </w:p>
        </w:tc>
      </w:tr>
    </w:tbl>
    <w:p w14:paraId="7BA65C78">
      <w:pPr>
        <w:keepNext w:val="0"/>
        <w:keepLines w:val="0"/>
        <w:widowControl/>
        <w:suppressLineNumbers w:val="0"/>
        <w:jc w:val="left"/>
        <w:outlineLvl w:val="1"/>
        <w:rPr>
          <w:rFonts w:hint="default" w:ascii="Times New Roman" w:hAnsi="Times New Roman" w:eastAsia="宋体" w:cs="Times New Roman"/>
          <w:color w:val="auto"/>
          <w:kern w:val="0"/>
          <w:sz w:val="24"/>
          <w:szCs w:val="24"/>
          <w:lang w:val="en-US" w:eastAsia="zh-CN" w:bidi="ar"/>
        </w:rPr>
      </w:pPr>
    </w:p>
    <w:p w14:paraId="0F5CF2B4">
      <w:pPr>
        <w:keepNext w:val="0"/>
        <w:keepLines w:val="0"/>
        <w:widowControl/>
        <w:suppressLineNumbers w:val="0"/>
        <w:jc w:val="left"/>
        <w:outlineLvl w:val="1"/>
        <w:rPr>
          <w:rFonts w:hint="default" w:ascii="Times New Roman" w:hAnsi="Times New Roman" w:eastAsia="宋体" w:cs="Times New Roman"/>
          <w:color w:val="auto"/>
          <w:kern w:val="0"/>
          <w:sz w:val="24"/>
          <w:szCs w:val="24"/>
          <w:lang w:val="en-US" w:eastAsia="zh-CN" w:bidi="ar"/>
        </w:rPr>
      </w:pPr>
    </w:p>
    <w:p w14:paraId="3743216F">
      <w:pPr>
        <w:keepNext w:val="0"/>
        <w:keepLines w:val="0"/>
        <w:widowControl/>
        <w:suppressLineNumbers w:val="0"/>
        <w:jc w:val="left"/>
        <w:outlineLvl w:val="1"/>
        <w:rPr>
          <w:rFonts w:hint="default" w:ascii="Times New Roman" w:hAnsi="Times New Roman" w:eastAsia="宋体" w:cs="Times New Roman"/>
          <w:color w:val="auto"/>
        </w:rPr>
      </w:pPr>
      <w:bookmarkStart w:id="2120" w:name="_Toc32645"/>
      <w:bookmarkStart w:id="2121" w:name="_Toc5467"/>
      <w:bookmarkStart w:id="2122" w:name="_Toc11180"/>
      <w:r>
        <w:rPr>
          <w:rFonts w:hint="default" w:ascii="Times New Roman" w:hAnsi="Times New Roman" w:eastAsia="宋体" w:cs="Times New Roman"/>
          <w:color w:val="auto"/>
          <w:kern w:val="0"/>
          <w:sz w:val="24"/>
          <w:szCs w:val="24"/>
          <w:lang w:val="en-US" w:eastAsia="zh-CN" w:bidi="ar"/>
        </w:rPr>
        <w:t>（5）估算模型参数</w:t>
      </w:r>
      <w:bookmarkEnd w:id="2107"/>
      <w:bookmarkEnd w:id="2120"/>
      <w:bookmarkEnd w:id="2121"/>
      <w:bookmarkEnd w:id="2122"/>
    </w:p>
    <w:p w14:paraId="5D73A84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drawing>
          <wp:inline distT="0" distB="0" distL="114300" distR="114300">
            <wp:extent cx="5266690" cy="6985000"/>
            <wp:effectExtent l="0" t="0" r="10160" b="6350"/>
            <wp:docPr id="31" name="图片 31" descr="41d0ae2c7954fce870d2ac6f8309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1d0ae2c7954fce870d2ac6f8309f0d"/>
                    <pic:cNvPicPr>
                      <a:picLocks noChangeAspect="1"/>
                    </pic:cNvPicPr>
                  </pic:nvPicPr>
                  <pic:blipFill>
                    <a:blip r:embed="rId29"/>
                    <a:stretch>
                      <a:fillRect/>
                    </a:stretch>
                  </pic:blipFill>
                  <pic:spPr>
                    <a:xfrm>
                      <a:off x="0" y="0"/>
                      <a:ext cx="5266690" cy="6985000"/>
                    </a:xfrm>
                    <a:prstGeom prst="rect">
                      <a:avLst/>
                    </a:prstGeom>
                  </pic:spPr>
                </pic:pic>
              </a:graphicData>
            </a:graphic>
          </wp:inline>
        </w:drawing>
      </w:r>
    </w:p>
    <w:p w14:paraId="3941A8F3">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22" w:firstLineChars="200"/>
        <w:jc w:val="center"/>
        <w:textAlignment w:val="auto"/>
        <w:outlineLvl w:val="2"/>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123" w:name="_Toc7490"/>
      <w:bookmarkStart w:id="2124" w:name="_Toc15263"/>
      <w:bookmarkStart w:id="2125" w:name="_Toc27381"/>
      <w:bookmarkStart w:id="2126" w:name="_Toc20618"/>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图6.2-1 估算模式参数图</w:t>
      </w:r>
      <w:bookmarkEnd w:id="2123"/>
      <w:bookmarkEnd w:id="2124"/>
      <w:bookmarkEnd w:id="2125"/>
      <w:bookmarkEnd w:id="2126"/>
    </w:p>
    <w:p w14:paraId="5C466B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rPr>
      </w:pPr>
      <w:bookmarkStart w:id="2127" w:name="_Toc15521"/>
      <w:bookmarkStart w:id="2128" w:name="_Toc16316"/>
      <w:bookmarkStart w:id="2129" w:name="_Toc32132"/>
      <w:bookmarkStart w:id="2130" w:name="_Toc32575"/>
      <w:r>
        <w:rPr>
          <w:rFonts w:hint="default" w:ascii="Times New Roman" w:hAnsi="Times New Roman" w:eastAsia="宋体" w:cs="Times New Roman"/>
          <w:color w:val="auto"/>
          <w:kern w:val="0"/>
          <w:sz w:val="24"/>
          <w:szCs w:val="24"/>
          <w:lang w:val="en-US" w:eastAsia="zh-CN" w:bidi="ar"/>
        </w:rPr>
        <w:t>（6）评级工作等级确定</w:t>
      </w:r>
      <w:bookmarkEnd w:id="2127"/>
      <w:bookmarkEnd w:id="2128"/>
      <w:bookmarkEnd w:id="2129"/>
      <w:bookmarkEnd w:id="2130"/>
      <w:r>
        <w:rPr>
          <w:rFonts w:hint="default" w:ascii="Times New Roman" w:hAnsi="Times New Roman" w:eastAsia="宋体" w:cs="Times New Roman"/>
          <w:color w:val="auto"/>
          <w:kern w:val="0"/>
          <w:sz w:val="24"/>
          <w:szCs w:val="24"/>
          <w:lang w:val="en-US" w:eastAsia="zh-CN" w:bidi="ar"/>
        </w:rPr>
        <w:t xml:space="preserve"> </w:t>
      </w:r>
    </w:p>
    <w:p w14:paraId="0DBF7F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项目污染源排放污染物预测结果见下图。</w:t>
      </w:r>
    </w:p>
    <w:p w14:paraId="57006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67960" cy="3225800"/>
            <wp:effectExtent l="0" t="0" r="8890" b="12700"/>
            <wp:docPr id="5" name="图片 5" descr="5ec3ce279ba585b04f2733bf333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ec3ce279ba585b04f2733bf3332035"/>
                    <pic:cNvPicPr>
                      <a:picLocks noChangeAspect="1"/>
                    </pic:cNvPicPr>
                  </pic:nvPicPr>
                  <pic:blipFill>
                    <a:blip r:embed="rId12"/>
                    <a:stretch>
                      <a:fillRect/>
                    </a:stretch>
                  </pic:blipFill>
                  <pic:spPr>
                    <a:xfrm>
                      <a:off x="0" y="0"/>
                      <a:ext cx="5267960" cy="3225800"/>
                    </a:xfrm>
                    <a:prstGeom prst="rect">
                      <a:avLst/>
                    </a:prstGeom>
                  </pic:spPr>
                </pic:pic>
              </a:graphicData>
            </a:graphic>
          </wp:inline>
        </w:drawing>
      </w:r>
    </w:p>
    <w:p w14:paraId="44C32628">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Chars="0" w:right="0" w:rightChars="0" w:firstLine="0" w:firstLineChars="0"/>
        <w:jc w:val="center"/>
        <w:textAlignment w:val="auto"/>
        <w:outlineLvl w:val="2"/>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drawing>
          <wp:inline distT="0" distB="0" distL="114300" distR="114300">
            <wp:extent cx="5268595" cy="3410585"/>
            <wp:effectExtent l="0" t="0" r="8255" b="18415"/>
            <wp:docPr id="10" name="图片 10" descr="f8ca8eb44e09a2be75c070ee247d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8ca8eb44e09a2be75c070ee247d82d"/>
                    <pic:cNvPicPr>
                      <a:picLocks noChangeAspect="1"/>
                    </pic:cNvPicPr>
                  </pic:nvPicPr>
                  <pic:blipFill>
                    <a:blip r:embed="rId30"/>
                    <a:stretch>
                      <a:fillRect/>
                    </a:stretch>
                  </pic:blipFill>
                  <pic:spPr>
                    <a:xfrm>
                      <a:off x="0" y="0"/>
                      <a:ext cx="5268595" cy="3410585"/>
                    </a:xfrm>
                    <a:prstGeom prst="rect">
                      <a:avLst/>
                    </a:prstGeom>
                  </pic:spPr>
                </pic:pic>
              </a:graphicData>
            </a:graphic>
          </wp:inline>
        </w:drawing>
      </w:r>
    </w:p>
    <w:p w14:paraId="0FF98389">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Chars="0" w:right="0" w:rightChars="0" w:firstLine="0" w:firstLineChars="0"/>
        <w:jc w:val="center"/>
        <w:textAlignment w:val="auto"/>
        <w:outlineLvl w:val="2"/>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131" w:name="_Toc16820"/>
      <w:bookmarkStart w:id="2132" w:name="_Toc8126"/>
      <w:bookmarkStart w:id="2133" w:name="_Toc12890"/>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图6.2-2 正常排放预测结果</w:t>
      </w:r>
      <w:bookmarkEnd w:id="2131"/>
      <w:bookmarkEnd w:id="2132"/>
      <w:bookmarkEnd w:id="2133"/>
    </w:p>
    <w:p w14:paraId="5563D3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综上，正常排放时，</w:t>
      </w:r>
      <w:r>
        <w:rPr>
          <w:rFonts w:hint="default" w:ascii="Times New Roman" w:hAnsi="Times New Roman" w:eastAsia="宋体" w:cs="Times New Roman"/>
          <w:color w:val="auto"/>
          <w:kern w:val="0"/>
          <w:sz w:val="24"/>
          <w:szCs w:val="24"/>
          <w:lang w:val="en-US" w:eastAsia="zh-CN" w:bidi="ar"/>
        </w:rPr>
        <w:t>本项目P</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为NH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，P</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值为0.</w:t>
      </w:r>
      <w:r>
        <w:rPr>
          <w:rFonts w:hint="eastAsia" w:ascii="Times New Roman" w:hAnsi="Times New Roman" w:eastAsia="宋体" w:cs="Times New Roman"/>
          <w:color w:val="auto"/>
          <w:kern w:val="0"/>
          <w:sz w:val="24"/>
          <w:szCs w:val="24"/>
          <w:lang w:val="en-US" w:eastAsia="zh-CN" w:bidi="ar"/>
        </w:rPr>
        <w:t>63</w:t>
      </w:r>
      <w:r>
        <w:rPr>
          <w:rFonts w:hint="default" w:ascii="Times New Roman" w:hAnsi="Times New Roman" w:eastAsia="宋体" w:cs="Times New Roman"/>
          <w:color w:val="auto"/>
          <w:kern w:val="0"/>
          <w:sz w:val="24"/>
          <w:szCs w:val="24"/>
          <w:lang w:val="en-US" w:eastAsia="zh-CN" w:bidi="ar"/>
        </w:rPr>
        <w:t>%，C</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为</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w:t>
      </w:r>
      <w:r>
        <w:rPr>
          <w:rFonts w:hint="eastAsia"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26</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×10</w:t>
      </w:r>
      <w:r>
        <w:rPr>
          <w:rFonts w:hint="default" w:ascii="Times New Roman" w:hAnsi="Times New Roman" w:eastAsia="宋体" w:cs="Times New Roman"/>
          <w:b w:val="0"/>
          <w:bCs w:val="0"/>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w:t>
      </w:r>
      <w:r>
        <w:rPr>
          <w:rFonts w:hint="default" w:ascii="Times New Roman" w:hAnsi="Times New Roman" w:eastAsia="宋体" w:cs="Times New Roman"/>
          <w:color w:val="auto"/>
          <w:kern w:val="0"/>
          <w:sz w:val="24"/>
          <w:szCs w:val="24"/>
          <w:lang w:val="en-US" w:eastAsia="zh-CN" w:bidi="ar"/>
        </w:rPr>
        <w:t>根据《环境影响评价技术导则—大气环境》（HJ2.2-2018）分级判据，确定本项目大气环境影响评价工作等级为</w:t>
      </w: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rPr>
        <w:t>级，不进一步预测和评价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不需设置大气评价范围</w:t>
      </w:r>
      <w:r>
        <w:rPr>
          <w:rFonts w:hint="default" w:ascii="Times New Roman" w:hAnsi="Times New Roman" w:eastAsia="宋体" w:cs="Times New Roman"/>
          <w:color w:val="auto"/>
          <w:sz w:val="24"/>
          <w:szCs w:val="24"/>
          <w:lang w:eastAsia="zh-CN"/>
        </w:rPr>
        <w:t>。</w:t>
      </w:r>
    </w:p>
    <w:p w14:paraId="0B3900E8">
      <w:pPr>
        <w:keepNext w:val="0"/>
        <w:keepLines w:val="0"/>
        <w:widowControl/>
        <w:suppressLineNumbers w:val="0"/>
        <w:jc w:val="left"/>
        <w:outlineLvl w:val="1"/>
        <w:rPr>
          <w:rFonts w:hint="default" w:ascii="Times New Roman" w:hAnsi="Times New Roman" w:eastAsia="宋体" w:cs="Times New Roman"/>
          <w:color w:val="auto"/>
          <w:kern w:val="0"/>
          <w:sz w:val="24"/>
          <w:szCs w:val="24"/>
          <w:lang w:val="en-US" w:eastAsia="zh-CN" w:bidi="ar"/>
        </w:rPr>
      </w:pPr>
      <w:bookmarkStart w:id="2134" w:name="_Toc3698"/>
      <w:bookmarkStart w:id="2135" w:name="_Toc24235"/>
      <w:bookmarkStart w:id="2136" w:name="_Toc20001"/>
      <w:bookmarkStart w:id="2137" w:name="_Toc8875"/>
      <w:r>
        <w:rPr>
          <w:rFonts w:hint="eastAsia" w:ascii="Times New Roman" w:hAnsi="Times New Roman" w:eastAsia="宋体" w:cs="Times New Roman"/>
          <w:color w:val="auto"/>
          <w:kern w:val="0"/>
          <w:sz w:val="24"/>
          <w:szCs w:val="24"/>
          <w:lang w:val="en-US" w:eastAsia="zh-CN" w:bidi="ar"/>
        </w:rPr>
        <w:t>（7）非正常排放预测</w:t>
      </w:r>
    </w:p>
    <w:p w14:paraId="60099224">
      <w:pPr>
        <w:pStyle w:val="19"/>
        <w:spacing w:after="0" w:line="360" w:lineRule="auto"/>
        <w:ind w:firstLine="48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废气在非正常（事故）排放情景为：废气处理系统完全失效，处理效率为零，对环境的影响最大，非正常工况下大气污染源强如下表所示。</w:t>
      </w:r>
    </w:p>
    <w:p w14:paraId="037F2FC5">
      <w:pPr>
        <w:adjustRightInd w:val="0"/>
        <w:spacing w:line="240" w:lineRule="auto"/>
        <w:ind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6.2-5 </w:t>
      </w:r>
      <w:r>
        <w:rPr>
          <w:rFonts w:hint="default" w:ascii="Times New Roman" w:hAnsi="Times New Roman" w:cs="Times New Roman"/>
          <w:b/>
          <w:color w:val="auto"/>
          <w:sz w:val="21"/>
          <w:szCs w:val="21"/>
          <w:highlight w:val="none"/>
        </w:rPr>
        <w:t>项目</w:t>
      </w:r>
      <w:r>
        <w:rPr>
          <w:rFonts w:hint="default" w:ascii="Times New Roman" w:hAnsi="Times New Roman" w:cs="Times New Roman"/>
          <w:b/>
          <w:color w:val="auto"/>
          <w:sz w:val="21"/>
          <w:szCs w:val="21"/>
          <w:highlight w:val="none"/>
          <w:lang w:eastAsia="zh-CN"/>
        </w:rPr>
        <w:t>非正常工况大气污染源强表</w:t>
      </w:r>
    </w:p>
    <w:tbl>
      <w:tblPr>
        <w:tblStyle w:val="21"/>
        <w:tblW w:w="81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03"/>
        <w:gridCol w:w="1047"/>
        <w:gridCol w:w="1066"/>
        <w:gridCol w:w="884"/>
        <w:gridCol w:w="850"/>
        <w:gridCol w:w="1125"/>
        <w:gridCol w:w="1146"/>
      </w:tblGrid>
      <w:tr w14:paraId="4CE36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7" w:type="dxa"/>
            <w:shd w:val="clear" w:color="auto" w:fill="D7D7D7" w:themeFill="background1" w:themeFillShade="D8"/>
            <w:vAlign w:val="center"/>
          </w:tcPr>
          <w:p w14:paraId="34D23F3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03" w:type="dxa"/>
            <w:shd w:val="clear" w:color="auto" w:fill="D7D7D7" w:themeFill="background1" w:themeFillShade="D8"/>
            <w:vAlign w:val="center"/>
          </w:tcPr>
          <w:p w14:paraId="5C7CDFC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p w14:paraId="561567C4">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47" w:type="dxa"/>
            <w:shd w:val="clear" w:color="auto" w:fill="D7D7D7" w:themeFill="background1" w:themeFillShade="D8"/>
            <w:vAlign w:val="center"/>
          </w:tcPr>
          <w:p w14:paraId="0C14FD1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1066" w:type="dxa"/>
            <w:shd w:val="clear" w:color="auto" w:fill="D7D7D7" w:themeFill="background1" w:themeFillShade="D8"/>
            <w:vAlign w:val="center"/>
          </w:tcPr>
          <w:p w14:paraId="6F1B63D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采取措施</w:t>
            </w:r>
          </w:p>
        </w:tc>
        <w:tc>
          <w:tcPr>
            <w:tcW w:w="884" w:type="dxa"/>
            <w:shd w:val="clear" w:color="auto" w:fill="D7D7D7" w:themeFill="background1" w:themeFillShade="D8"/>
            <w:vAlign w:val="center"/>
          </w:tcPr>
          <w:p w14:paraId="0229E378">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76E8A28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850" w:type="dxa"/>
            <w:shd w:val="clear" w:color="auto" w:fill="D7D7D7" w:themeFill="background1" w:themeFillShade="D8"/>
            <w:vAlign w:val="center"/>
          </w:tcPr>
          <w:p w14:paraId="29BB5B3B">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排放口编号</w:t>
            </w:r>
          </w:p>
        </w:tc>
        <w:tc>
          <w:tcPr>
            <w:tcW w:w="1125" w:type="dxa"/>
            <w:shd w:val="clear" w:color="auto" w:fill="D7D7D7" w:themeFill="background1" w:themeFillShade="D8"/>
            <w:vAlign w:val="center"/>
          </w:tcPr>
          <w:p w14:paraId="0711ACE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1146" w:type="dxa"/>
            <w:shd w:val="clear" w:color="auto" w:fill="D7D7D7" w:themeFill="background1" w:themeFillShade="D8"/>
            <w:vAlign w:val="center"/>
          </w:tcPr>
          <w:p w14:paraId="4514733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总</w:t>
            </w:r>
            <w:r>
              <w:rPr>
                <w:rFonts w:hint="default" w:ascii="Times New Roman" w:hAnsi="Times New Roman" w:cs="Times New Roman"/>
                <w:b/>
                <w:bCs/>
                <w:color w:val="auto"/>
                <w:sz w:val="21"/>
                <w:szCs w:val="21"/>
                <w:highlight w:val="none"/>
              </w:rPr>
              <w:t>排放</w:t>
            </w:r>
          </w:p>
          <w:p w14:paraId="2832836D">
            <w:pPr>
              <w:spacing w:line="240" w:lineRule="auto"/>
              <w:ind w:firstLine="0" w:firstLineChars="0"/>
              <w:jc w:val="cente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eastAsia="zh-CN"/>
              </w:rPr>
              <w:t>速率</w:t>
            </w:r>
            <w:r>
              <w:rPr>
                <w:rFonts w:hint="default" w:ascii="Times New Roman" w:hAnsi="Times New Roman" w:cs="Times New Roman"/>
                <w:b/>
                <w:bCs/>
                <w:color w:val="auto"/>
                <w:sz w:val="21"/>
                <w:szCs w:val="21"/>
                <w:highlight w:val="none"/>
                <w:lang w:val="en-US" w:eastAsia="zh-CN"/>
              </w:rPr>
              <w:t>kg/h</w:t>
            </w:r>
          </w:p>
        </w:tc>
      </w:tr>
      <w:tr w14:paraId="355318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restart"/>
            <w:vAlign w:val="center"/>
          </w:tcPr>
          <w:p w14:paraId="6B53130B">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污水处理站</w:t>
            </w:r>
          </w:p>
        </w:tc>
        <w:tc>
          <w:tcPr>
            <w:tcW w:w="1003" w:type="dxa"/>
            <w:vMerge w:val="restart"/>
            <w:vAlign w:val="center"/>
          </w:tcPr>
          <w:p w14:paraId="6192CAB3">
            <w:pPr>
              <w:spacing w:line="240" w:lineRule="auto"/>
              <w:ind w:firstLine="0" w:firstLineChars="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氨</w:t>
            </w:r>
          </w:p>
        </w:tc>
        <w:tc>
          <w:tcPr>
            <w:tcW w:w="1047" w:type="dxa"/>
            <w:vAlign w:val="center"/>
          </w:tcPr>
          <w:p w14:paraId="2F9E406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0.0171</w:t>
            </w:r>
          </w:p>
        </w:tc>
        <w:tc>
          <w:tcPr>
            <w:tcW w:w="1066" w:type="dxa"/>
            <w:vMerge w:val="restart"/>
            <w:vAlign w:val="center"/>
          </w:tcPr>
          <w:p w14:paraId="2FBA482C">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紫外消毒+活性炭吸附</w:t>
            </w:r>
          </w:p>
        </w:tc>
        <w:tc>
          <w:tcPr>
            <w:tcW w:w="884" w:type="dxa"/>
            <w:vAlign w:val="center"/>
          </w:tcPr>
          <w:p w14:paraId="31611C80">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850" w:type="dxa"/>
            <w:vAlign w:val="center"/>
          </w:tcPr>
          <w:p w14:paraId="452139D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DA001</w:t>
            </w:r>
          </w:p>
        </w:tc>
        <w:tc>
          <w:tcPr>
            <w:tcW w:w="1125" w:type="dxa"/>
            <w:vAlign w:val="center"/>
          </w:tcPr>
          <w:p w14:paraId="163A9C4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0.0171</w:t>
            </w:r>
          </w:p>
        </w:tc>
        <w:tc>
          <w:tcPr>
            <w:tcW w:w="1146" w:type="dxa"/>
            <w:vAlign w:val="center"/>
          </w:tcPr>
          <w:p w14:paraId="1876AE8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0.00195</w:t>
            </w:r>
          </w:p>
        </w:tc>
      </w:tr>
      <w:tr w14:paraId="5F8404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continue"/>
            <w:vAlign w:val="center"/>
          </w:tcPr>
          <w:p w14:paraId="3536AC56">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03" w:type="dxa"/>
            <w:vMerge w:val="continue"/>
            <w:vAlign w:val="center"/>
          </w:tcPr>
          <w:p w14:paraId="6E5250B6">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47" w:type="dxa"/>
            <w:vAlign w:val="center"/>
          </w:tcPr>
          <w:p w14:paraId="3A0A0A6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w:t>
            </w:r>
          </w:p>
        </w:tc>
        <w:tc>
          <w:tcPr>
            <w:tcW w:w="1066" w:type="dxa"/>
            <w:vMerge w:val="continue"/>
            <w:vAlign w:val="center"/>
          </w:tcPr>
          <w:p w14:paraId="68790501">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71CF2ED1">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850" w:type="dxa"/>
            <w:vAlign w:val="center"/>
          </w:tcPr>
          <w:p w14:paraId="4CDC6E8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5" w:type="dxa"/>
            <w:vAlign w:val="center"/>
          </w:tcPr>
          <w:p w14:paraId="18B286C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0.00125</w:t>
            </w:r>
          </w:p>
        </w:tc>
        <w:tc>
          <w:tcPr>
            <w:tcW w:w="1146" w:type="dxa"/>
            <w:vAlign w:val="center"/>
          </w:tcPr>
          <w:p w14:paraId="6407AC8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w:t>
            </w:r>
          </w:p>
        </w:tc>
      </w:tr>
      <w:tr w14:paraId="083680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dxa"/>
            <w:vMerge w:val="continue"/>
            <w:vAlign w:val="center"/>
          </w:tcPr>
          <w:p w14:paraId="6E1D93E5">
            <w:pPr>
              <w:spacing w:line="240" w:lineRule="auto"/>
              <w:ind w:firstLine="0" w:firstLineChars="0"/>
              <w:jc w:val="center"/>
              <w:rPr>
                <w:rFonts w:hint="default" w:ascii="Times New Roman" w:hAnsi="Times New Roman" w:cs="Times New Roman"/>
                <w:color w:val="auto"/>
                <w:sz w:val="21"/>
                <w:szCs w:val="21"/>
                <w:highlight w:val="none"/>
              </w:rPr>
            </w:pPr>
          </w:p>
        </w:tc>
        <w:tc>
          <w:tcPr>
            <w:tcW w:w="1003" w:type="dxa"/>
            <w:vMerge w:val="restart"/>
            <w:vAlign w:val="center"/>
          </w:tcPr>
          <w:p w14:paraId="00E1C3C3">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硫化氢</w:t>
            </w:r>
          </w:p>
        </w:tc>
        <w:tc>
          <w:tcPr>
            <w:tcW w:w="1047" w:type="dxa"/>
            <w:vAlign w:val="center"/>
          </w:tcPr>
          <w:p w14:paraId="23FEC9A4">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0.00067</w:t>
            </w:r>
          </w:p>
        </w:tc>
        <w:tc>
          <w:tcPr>
            <w:tcW w:w="1066" w:type="dxa"/>
            <w:vMerge w:val="continue"/>
            <w:vAlign w:val="center"/>
          </w:tcPr>
          <w:p w14:paraId="04BE34FF">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4F4D0F53">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850" w:type="dxa"/>
            <w:vAlign w:val="center"/>
          </w:tcPr>
          <w:p w14:paraId="7B02B20E">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DA001</w:t>
            </w:r>
          </w:p>
        </w:tc>
        <w:tc>
          <w:tcPr>
            <w:tcW w:w="1125" w:type="dxa"/>
            <w:vAlign w:val="center"/>
          </w:tcPr>
          <w:p w14:paraId="555B0C9C">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0.00067</w:t>
            </w:r>
          </w:p>
        </w:tc>
        <w:tc>
          <w:tcPr>
            <w:tcW w:w="1146" w:type="dxa"/>
            <w:vAlign w:val="center"/>
          </w:tcPr>
          <w:p w14:paraId="168FBB4D">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0.00008</w:t>
            </w:r>
          </w:p>
        </w:tc>
      </w:tr>
      <w:tr w14:paraId="784D60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87" w:type="dxa"/>
            <w:vMerge w:val="continue"/>
            <w:vAlign w:val="center"/>
          </w:tcPr>
          <w:p w14:paraId="4F2F4593">
            <w:pPr>
              <w:spacing w:line="240" w:lineRule="auto"/>
              <w:ind w:firstLine="0" w:firstLineChars="0"/>
              <w:jc w:val="center"/>
              <w:rPr>
                <w:rFonts w:hint="default" w:ascii="Times New Roman" w:hAnsi="Times New Roman" w:cs="Times New Roman"/>
                <w:color w:val="auto"/>
                <w:sz w:val="21"/>
                <w:szCs w:val="21"/>
                <w:highlight w:val="none"/>
              </w:rPr>
            </w:pPr>
          </w:p>
        </w:tc>
        <w:tc>
          <w:tcPr>
            <w:tcW w:w="1003" w:type="dxa"/>
            <w:vMerge w:val="continue"/>
            <w:vAlign w:val="center"/>
          </w:tcPr>
          <w:p w14:paraId="4732A368">
            <w:pPr>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1047" w:type="dxa"/>
            <w:vAlign w:val="center"/>
          </w:tcPr>
          <w:p w14:paraId="640B85AC">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0.000035</w:t>
            </w:r>
          </w:p>
        </w:tc>
        <w:tc>
          <w:tcPr>
            <w:tcW w:w="1066" w:type="dxa"/>
            <w:vMerge w:val="continue"/>
            <w:vAlign w:val="center"/>
          </w:tcPr>
          <w:p w14:paraId="3E9C8F39">
            <w:pPr>
              <w:spacing w:line="240" w:lineRule="auto"/>
              <w:ind w:firstLine="0" w:firstLineChars="0"/>
              <w:jc w:val="center"/>
              <w:rPr>
                <w:rFonts w:hint="default" w:ascii="Times New Roman" w:hAnsi="Times New Roman" w:cs="Times New Roman"/>
                <w:color w:val="auto"/>
                <w:sz w:val="21"/>
                <w:szCs w:val="21"/>
                <w:highlight w:val="none"/>
              </w:rPr>
            </w:pPr>
          </w:p>
        </w:tc>
        <w:tc>
          <w:tcPr>
            <w:tcW w:w="884" w:type="dxa"/>
            <w:vAlign w:val="center"/>
          </w:tcPr>
          <w:p w14:paraId="5BC940D3">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850" w:type="dxa"/>
            <w:vAlign w:val="center"/>
          </w:tcPr>
          <w:p w14:paraId="6C775909">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25" w:type="dxa"/>
            <w:vAlign w:val="center"/>
          </w:tcPr>
          <w:p w14:paraId="695F6AF3">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0.000048</w:t>
            </w:r>
          </w:p>
        </w:tc>
        <w:tc>
          <w:tcPr>
            <w:tcW w:w="1146" w:type="dxa"/>
            <w:vAlign w:val="center"/>
          </w:tcPr>
          <w:p w14:paraId="126652E3">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0.000004</w:t>
            </w:r>
          </w:p>
        </w:tc>
      </w:tr>
    </w:tbl>
    <w:p w14:paraId="6431DF1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非正常排放预测：</w:t>
      </w:r>
    </w:p>
    <w:p w14:paraId="53BC915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5269865" cy="3436620"/>
            <wp:effectExtent l="0" t="0" r="6985" b="11430"/>
            <wp:docPr id="16" name="图片 16" descr="4d4683b76832aa27d0580d3e9742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d4683b76832aa27d0580d3e97425b6"/>
                    <pic:cNvPicPr>
                      <a:picLocks noChangeAspect="1"/>
                    </pic:cNvPicPr>
                  </pic:nvPicPr>
                  <pic:blipFill>
                    <a:blip r:embed="rId31"/>
                    <a:stretch>
                      <a:fillRect/>
                    </a:stretch>
                  </pic:blipFill>
                  <pic:spPr>
                    <a:xfrm>
                      <a:off x="0" y="0"/>
                      <a:ext cx="5269865" cy="3436620"/>
                    </a:xfrm>
                    <a:prstGeom prst="rect">
                      <a:avLst/>
                    </a:prstGeom>
                  </pic:spPr>
                </pic:pic>
              </a:graphicData>
            </a:graphic>
          </wp:inline>
        </w:drawing>
      </w:r>
    </w:p>
    <w:p w14:paraId="1C0AB63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5269865" cy="3504565"/>
            <wp:effectExtent l="0" t="0" r="6985" b="635"/>
            <wp:docPr id="19" name="图片 19" descr="19226c60233f31322d1596087cda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226c60233f31322d1596087cda8ce"/>
                    <pic:cNvPicPr>
                      <a:picLocks noChangeAspect="1"/>
                    </pic:cNvPicPr>
                  </pic:nvPicPr>
                  <pic:blipFill>
                    <a:blip r:embed="rId32"/>
                    <a:stretch>
                      <a:fillRect/>
                    </a:stretch>
                  </pic:blipFill>
                  <pic:spPr>
                    <a:xfrm>
                      <a:off x="0" y="0"/>
                      <a:ext cx="5269865" cy="3504565"/>
                    </a:xfrm>
                    <a:prstGeom prst="rect">
                      <a:avLst/>
                    </a:prstGeom>
                  </pic:spPr>
                </pic:pic>
              </a:graphicData>
            </a:graphic>
          </wp:inline>
        </w:drawing>
      </w:r>
    </w:p>
    <w:p w14:paraId="7E4A166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图6.2-3  非正常排放预测结果</w:t>
      </w:r>
    </w:p>
    <w:p w14:paraId="7F1C6CC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根据预测结果可知，非正常排放时，</w:t>
      </w:r>
      <w:r>
        <w:rPr>
          <w:rFonts w:hint="default" w:ascii="Times New Roman" w:hAnsi="Times New Roman" w:eastAsia="宋体" w:cs="Times New Roman"/>
          <w:color w:val="auto"/>
          <w:kern w:val="0"/>
          <w:sz w:val="24"/>
          <w:szCs w:val="24"/>
          <w:lang w:val="en-US" w:eastAsia="zh-CN" w:bidi="ar"/>
        </w:rPr>
        <w:t>本项目P</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为NH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，P</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值为0.</w:t>
      </w:r>
      <w:r>
        <w:rPr>
          <w:rFonts w:hint="eastAsia" w:ascii="Times New Roman" w:hAnsi="Times New Roman" w:eastAsia="宋体" w:cs="Times New Roman"/>
          <w:color w:val="auto"/>
          <w:kern w:val="0"/>
          <w:sz w:val="24"/>
          <w:szCs w:val="24"/>
          <w:lang w:val="en-US" w:eastAsia="zh-CN" w:bidi="ar"/>
        </w:rPr>
        <w:t>63</w:t>
      </w:r>
      <w:r>
        <w:rPr>
          <w:rFonts w:hint="default" w:ascii="Times New Roman" w:hAnsi="Times New Roman" w:eastAsia="宋体" w:cs="Times New Roman"/>
          <w:color w:val="auto"/>
          <w:kern w:val="0"/>
          <w:sz w:val="24"/>
          <w:szCs w:val="24"/>
          <w:lang w:val="en-US" w:eastAsia="zh-CN" w:bidi="ar"/>
        </w:rPr>
        <w:t>%，C</w:t>
      </w:r>
      <w:r>
        <w:rPr>
          <w:rFonts w:hint="default" w:ascii="Times New Roman" w:hAnsi="Times New Roman" w:eastAsia="宋体" w:cs="Times New Roman"/>
          <w:color w:val="auto"/>
          <w:kern w:val="0"/>
          <w:sz w:val="24"/>
          <w:szCs w:val="24"/>
          <w:vertAlign w:val="subscript"/>
          <w:lang w:val="en-US" w:eastAsia="zh-CN" w:bidi="ar"/>
        </w:rPr>
        <w:t>max</w:t>
      </w:r>
      <w:r>
        <w:rPr>
          <w:rFonts w:hint="default" w:ascii="Times New Roman" w:hAnsi="Times New Roman" w:eastAsia="宋体" w:cs="Times New Roman"/>
          <w:color w:val="auto"/>
          <w:kern w:val="0"/>
          <w:sz w:val="24"/>
          <w:szCs w:val="24"/>
          <w:lang w:val="en-US" w:eastAsia="zh-CN" w:bidi="ar"/>
        </w:rPr>
        <w:t>为</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w:t>
      </w:r>
      <w:r>
        <w:rPr>
          <w:rFonts w:hint="eastAsia"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27</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×10</w:t>
      </w:r>
      <w:r>
        <w:rPr>
          <w:rFonts w:hint="default" w:ascii="Times New Roman" w:hAnsi="Times New Roman" w:eastAsia="宋体" w:cs="Times New Roman"/>
          <w:b w:val="0"/>
          <w:bCs w:val="0"/>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w:t>
      </w:r>
      <w:r>
        <w:rPr>
          <w:rFonts w:hint="eastAsia" w:ascii="Times New Roman" w:hAnsi="Times New Roman" w:eastAsia="宋体" w:cs="Times New Roman"/>
          <w:color w:val="auto"/>
          <w:lang w:val="en-US" w:eastAsia="zh-CN"/>
        </w:rPr>
        <w:t>若污水处理站废气处理设施发生故障导致其污染物去除率为0，会增加氨和硫化氢的排放速率，对周围大气环境造成影响。因此项目开始运营后，一定要加强对污水处理站废气处理设施的日常巡检和管理，避免非正常排放，废气处理设施发生故障或检修时，污水处理站暂停运行，废水引入事故应急池，待废气处理设施能正常运行后再开始运行污水处理站。</w:t>
      </w:r>
    </w:p>
    <w:p w14:paraId="1E9E1DE0">
      <w:pPr>
        <w:keepNext w:val="0"/>
        <w:keepLines w:val="0"/>
        <w:widowControl/>
        <w:suppressLineNumbers w:val="0"/>
        <w:jc w:val="left"/>
        <w:outlineLvl w:val="1"/>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）大气防护距离</w:t>
      </w:r>
      <w:bookmarkEnd w:id="2134"/>
      <w:bookmarkEnd w:id="2135"/>
      <w:bookmarkEnd w:id="2136"/>
    </w:p>
    <w:p w14:paraId="4E55EA5A">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2"/>
          <w:sz w:val="24"/>
          <w:szCs w:val="22"/>
          <w:highlight w:val="none"/>
          <w:lang w:val="en-US" w:eastAsia="zh-CN"/>
        </w:rPr>
      </w:pPr>
      <w:bookmarkStart w:id="2138" w:name="_Toc31473"/>
      <w:bookmarkStart w:id="2139" w:name="_Toc32584"/>
      <w:bookmarkStart w:id="2140" w:name="_Toc26849"/>
      <w:r>
        <w:rPr>
          <w:rFonts w:hint="default" w:ascii="Times New Roman" w:hAnsi="Times New Roman" w:eastAsia="宋体" w:cs="Times New Roman"/>
          <w:color w:val="auto"/>
          <w:kern w:val="2"/>
          <w:sz w:val="24"/>
          <w:szCs w:val="22"/>
          <w:highlight w:val="none"/>
          <w:lang w:val="en-US" w:eastAsia="zh-CN"/>
        </w:rPr>
        <w:t>根据《环境影响评价技术导则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预测结果，项目</w:t>
      </w:r>
      <w:r>
        <w:rPr>
          <w:rFonts w:hint="default" w:ascii="Times New Roman" w:hAnsi="Times New Roman" w:eastAsia="宋体" w:cs="Times New Roman"/>
          <w:color w:val="auto"/>
          <w:kern w:val="2"/>
          <w:sz w:val="24"/>
          <w:szCs w:val="22"/>
          <w:highlight w:val="none"/>
        </w:rPr>
        <w:t>运营期大气污染物下风向最大落地浓度</w:t>
      </w:r>
      <w:r>
        <w:rPr>
          <w:rFonts w:hint="default" w:ascii="Times New Roman" w:hAnsi="Times New Roman" w:eastAsia="宋体" w:cs="Times New Roman"/>
          <w:color w:val="auto"/>
          <w:sz w:val="24"/>
        </w:rPr>
        <w:t>为</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w:t>
      </w:r>
      <w:r>
        <w:rPr>
          <w:rFonts w:hint="eastAsia"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26</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×10</w:t>
      </w:r>
      <w:r>
        <w:rPr>
          <w:rFonts w:hint="default" w:ascii="Times New Roman" w:hAnsi="Times New Roman" w:eastAsia="宋体" w:cs="Times New Roman"/>
          <w:b w:val="0"/>
          <w:bCs w:val="0"/>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vertAlign w:val="baseline"/>
          <w:lang w:eastAsia="zh-CN"/>
        </w:rPr>
        <w:t>，满足</w:t>
      </w:r>
      <w:r>
        <w:rPr>
          <w:rFonts w:hint="default" w:ascii="Times New Roman" w:hAnsi="Times New Roman" w:eastAsia="宋体" w:cs="Times New Roman"/>
          <w:color w:val="auto"/>
          <w:kern w:val="2"/>
          <w:sz w:val="24"/>
          <w:szCs w:val="22"/>
          <w:highlight w:val="none"/>
          <w:lang w:val="en-US" w:eastAsia="zh-CN"/>
        </w:rPr>
        <w:t>《医疗机构水污染物排放标准》（GB18466-2005）表3 标准，无组织排放无超标点，本次不设置大气防护距离。</w:t>
      </w:r>
      <w:bookmarkEnd w:id="2138"/>
      <w:bookmarkEnd w:id="2139"/>
      <w:bookmarkEnd w:id="2140"/>
    </w:p>
    <w:p w14:paraId="284B1F83">
      <w:pPr>
        <w:keepNext w:val="0"/>
        <w:keepLines w:val="0"/>
        <w:widowControl/>
        <w:suppressLineNumbers w:val="0"/>
        <w:jc w:val="left"/>
        <w:outlineLvl w:val="1"/>
        <w:rPr>
          <w:rFonts w:hint="default" w:ascii="Times New Roman" w:hAnsi="Times New Roman" w:eastAsia="宋体" w:cs="Times New Roman"/>
          <w:color w:val="auto"/>
          <w:kern w:val="0"/>
          <w:sz w:val="24"/>
          <w:szCs w:val="24"/>
          <w:lang w:val="en-US" w:eastAsia="zh-CN" w:bidi="ar"/>
        </w:rPr>
      </w:pPr>
      <w:bookmarkStart w:id="2141" w:name="_Toc5711"/>
      <w:bookmarkStart w:id="2142" w:name="_Toc15945"/>
      <w:bookmarkStart w:id="2143" w:name="_Toc27443"/>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）大气环境影响评价结论</w:t>
      </w:r>
      <w:bookmarkEnd w:id="2137"/>
      <w:bookmarkEnd w:id="2141"/>
      <w:bookmarkEnd w:id="2142"/>
      <w:bookmarkEnd w:id="2143"/>
    </w:p>
    <w:p w14:paraId="2251A1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本项目运营期废气主要为污水处理恶臭、固废暂存间异味、食堂油烟、汽车尾气、备用柴油发电机废气和</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中药熬制异味</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污染物排放量均很少，采取治理措施后各污染物均能达标排放。项目污水处理站地埋，恶臭经“紫外消毒+活性炭吸附”处理后引至1#楼裙楼楼顶排放（排气筒高25m），远离西侧居民小区及学校和南侧居民区，距离排气筒最近的环境保护目标为项目西侧和喜·公园里小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32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m）和南侧居民（</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223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m），通过预测可知，项目主要大气污染物最大落地浓度远小于环境空气质量相关标准，最大占标率为0.</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63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r>
        <w:rPr>
          <w:rFonts w:hint="default" w:ascii="Times New Roman" w:hAnsi="Times New Roman" w:eastAsia="宋体" w:cs="Times New Roman"/>
          <w:color w:val="auto"/>
          <w:kern w:val="2"/>
          <w:sz w:val="24"/>
          <w:szCs w:val="22"/>
          <w:highlight w:val="none"/>
        </w:rPr>
        <w:t>最大落地浓度</w:t>
      </w:r>
      <w:r>
        <w:rPr>
          <w:rFonts w:hint="default" w:ascii="Times New Roman" w:hAnsi="Times New Roman" w:eastAsia="宋体" w:cs="Times New Roman"/>
          <w:color w:val="auto"/>
          <w:sz w:val="24"/>
        </w:rPr>
        <w:t>为</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w:t>
      </w:r>
      <w:r>
        <w:rPr>
          <w:rFonts w:hint="eastAsia"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26</w:t>
      </w:r>
      <w:r>
        <w:rPr>
          <w:rFonts w:hint="default" w:ascii="Times New Roman" w:hAnsi="Times New Roman" w:eastAsia="宋体" w:cs="Times New Roman"/>
          <w:b w:val="0"/>
          <w:bCs w:val="0"/>
          <w:i w:val="0"/>
          <w:iCs w:val="0"/>
          <w:caps w:val="0"/>
          <w:color w:val="auto"/>
          <w:spacing w:val="0"/>
          <w:kern w:val="0"/>
          <w:sz w:val="24"/>
          <w:szCs w:val="24"/>
          <w:shd w:val="clear" w:fill="FFFFFF"/>
          <w:vertAlign w:val="baseline"/>
          <w:lang w:val="en-US" w:eastAsia="zh-CN" w:bidi="ar"/>
        </w:rPr>
        <w:t>×10</w:t>
      </w:r>
      <w:r>
        <w:rPr>
          <w:rFonts w:hint="default" w:ascii="Times New Roman" w:hAnsi="Times New Roman" w:eastAsia="宋体" w:cs="Times New Roman"/>
          <w:b w:val="0"/>
          <w:bCs w:val="0"/>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vertAlign w:val="baseline"/>
          <w:lang w:eastAsia="zh-CN"/>
        </w:rPr>
        <w:t>，</w:t>
      </w:r>
      <w:r>
        <w:rPr>
          <w:rFonts w:hint="default" w:ascii="Times New Roman" w:hAnsi="Times New Roman" w:eastAsia="宋体" w:cs="Times New Roman"/>
          <w:color w:val="auto"/>
          <w:sz w:val="24"/>
          <w:vertAlign w:val="baseline"/>
          <w:lang w:val="en-US" w:eastAsia="zh-CN"/>
        </w:rPr>
        <w:t>对环境保护目标影响较小。</w:t>
      </w:r>
    </w:p>
    <w:p w14:paraId="5C7E7E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感染病区位于项目北部，环境保护目标主要为西侧</w:t>
      </w:r>
      <w:r>
        <w:rPr>
          <w:rFonts w:hint="eastAsia" w:ascii="Times New Roman" w:hAnsi="Times New Roman" w:eastAsia="宋体" w:cs="Times New Roman"/>
          <w:color w:val="auto"/>
          <w:sz w:val="24"/>
          <w:vertAlign w:val="baseline"/>
          <w:lang w:val="en-US" w:eastAsia="zh-CN"/>
        </w:rPr>
        <w:t>32</w:t>
      </w:r>
      <w:r>
        <w:rPr>
          <w:rFonts w:hint="default" w:ascii="Times New Roman" w:hAnsi="Times New Roman" w:eastAsia="宋体" w:cs="Times New Roman"/>
          <w:color w:val="auto"/>
          <w:sz w:val="24"/>
          <w:vertAlign w:val="baseline"/>
          <w:lang w:val="en-US" w:eastAsia="zh-CN"/>
        </w:rPr>
        <w:t>m的</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和喜·公园里小区，病区</w:t>
      </w:r>
      <w:r>
        <w:rPr>
          <w:rFonts w:hint="default" w:ascii="Times New Roman" w:hAnsi="Times New Roman" w:eastAsia="宋体" w:cs="Times New Roman"/>
          <w:color w:val="auto"/>
          <w:sz w:val="24"/>
          <w:vertAlign w:val="baseline"/>
          <w:lang w:val="en-US" w:eastAsia="zh-CN"/>
        </w:rPr>
        <w:t>主要进出口布置在北侧，西侧和北侧均布置有20m绿化隔离带</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。病区整体坐东朝西，区域主导风向为西北风，北侧墙体不开设窗户，减少空气流动，同时，项目对院内空气进行过滤消毒，</w:t>
      </w:r>
      <w:r>
        <w:rPr>
          <w:rFonts w:hint="default" w:ascii="Times New Roman" w:hAnsi="Times New Roman" w:eastAsia="宋体" w:cs="Times New Roman"/>
          <w:color w:val="auto"/>
          <w:sz w:val="24"/>
          <w:vertAlign w:val="baseline"/>
          <w:lang w:val="en-US" w:eastAsia="zh-CN"/>
        </w:rPr>
        <w:t>对环境保护目标影响较小。</w:t>
      </w:r>
    </w:p>
    <w:p w14:paraId="3C9CDA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综上，项目对区域大气环境和环境保护目标的影响可接受。</w:t>
      </w:r>
    </w:p>
    <w:p w14:paraId="075B52DA">
      <w:pPr>
        <w:pStyle w:val="6"/>
        <w:bidi w:val="0"/>
        <w:outlineLvl w:val="2"/>
        <w:rPr>
          <w:rFonts w:hint="default" w:ascii="Times New Roman" w:hAnsi="Times New Roman" w:eastAsia="宋体" w:cs="Times New Roman"/>
          <w:color w:val="auto"/>
        </w:rPr>
      </w:pPr>
      <w:bookmarkStart w:id="2144" w:name="_Toc954"/>
      <w:r>
        <w:rPr>
          <w:rFonts w:hint="default" w:ascii="Times New Roman" w:hAnsi="Times New Roman" w:eastAsia="宋体" w:cs="Times New Roman"/>
          <w:color w:val="auto"/>
          <w:lang w:val="en-US" w:eastAsia="zh-CN"/>
        </w:rPr>
        <w:t>6.3 营运期地表水环境影响分析</w:t>
      </w:r>
      <w:bookmarkEnd w:id="2144"/>
      <w:r>
        <w:rPr>
          <w:rFonts w:hint="default" w:ascii="Times New Roman" w:hAnsi="Times New Roman" w:eastAsia="宋体" w:cs="Times New Roman"/>
          <w:color w:val="auto"/>
          <w:lang w:val="en-US" w:eastAsia="zh-CN"/>
        </w:rPr>
        <w:t xml:space="preserve"> </w:t>
      </w:r>
    </w:p>
    <w:p w14:paraId="488C8B8C">
      <w:pPr>
        <w:pStyle w:val="7"/>
        <w:bidi w:val="0"/>
        <w:rPr>
          <w:rFonts w:hint="default" w:ascii="Times New Roman" w:hAnsi="Times New Roman" w:eastAsia="宋体" w:cs="Times New Roman"/>
          <w:color w:val="auto"/>
          <w:lang w:val="en-US" w:eastAsia="zh-CN"/>
        </w:rPr>
      </w:pPr>
      <w:bookmarkStart w:id="2145" w:name="_Toc10319"/>
      <w:r>
        <w:rPr>
          <w:rFonts w:hint="default" w:ascii="Times New Roman" w:hAnsi="Times New Roman" w:eastAsia="宋体" w:cs="Times New Roman"/>
          <w:color w:val="auto"/>
          <w:lang w:val="en-US" w:eastAsia="zh-CN"/>
        </w:rPr>
        <w:t>6.3.1 废水产生情况</w:t>
      </w:r>
      <w:bookmarkEnd w:id="2145"/>
    </w:p>
    <w:p w14:paraId="1FCBCB09">
      <w:pPr>
        <w:keepNext w:val="0"/>
        <w:keepLines w:val="0"/>
        <w:pageBreakBefore w:val="0"/>
        <w:widowControl/>
        <w:suppressLineNumbers w:val="0"/>
        <w:kinsoku/>
        <w:overflowPunct/>
        <w:topLinePunct w:val="0"/>
        <w:autoSpaceDE/>
        <w:autoSpaceDN/>
        <w:bidi w:val="0"/>
        <w:adjustRightInd/>
        <w:snapToGrid/>
        <w:spacing w:line="360" w:lineRule="auto"/>
        <w:ind w:firstLine="240" w:firstLineChars="100"/>
        <w:jc w:val="left"/>
        <w:textAlignment w:val="auto"/>
        <w:rPr>
          <w:rFonts w:hint="default" w:ascii="Times New Roman" w:hAnsi="Times New Roman" w:eastAsia="宋体" w:cs="Times New Roman"/>
          <w:color w:val="auto"/>
          <w:kern w:val="0"/>
          <w:sz w:val="23"/>
          <w:szCs w:val="23"/>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本项目废水主要包括住院病房废水、门急诊诊区废水、医务人员废水、浆洗废水、中央空调冷却塔补给水、锅炉纯水制备用水、绿化用水及未预见用水等。</w:t>
      </w:r>
    </w:p>
    <w:p w14:paraId="15771093">
      <w:pPr>
        <w:pStyle w:val="7"/>
        <w:bidi w:val="0"/>
        <w:rPr>
          <w:rFonts w:hint="default" w:ascii="Times New Roman" w:hAnsi="Times New Roman" w:eastAsia="宋体" w:cs="Times New Roman"/>
          <w:color w:val="auto"/>
          <w:lang w:val="en-US" w:eastAsia="zh-CN"/>
        </w:rPr>
      </w:pPr>
      <w:bookmarkStart w:id="2146" w:name="_Toc2174"/>
      <w:r>
        <w:rPr>
          <w:rFonts w:hint="default" w:ascii="Times New Roman" w:hAnsi="Times New Roman" w:eastAsia="宋体" w:cs="Times New Roman"/>
          <w:color w:val="auto"/>
          <w:lang w:val="en-US" w:eastAsia="zh-CN"/>
        </w:rPr>
        <w:t>6.3.2项目排水方案</w:t>
      </w:r>
      <w:bookmarkEnd w:id="2146"/>
    </w:p>
    <w:p w14:paraId="35F18D3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kern w:val="0"/>
          <w:sz w:val="24"/>
          <w:szCs w:val="24"/>
          <w:lang w:val="en-US" w:eastAsia="zh-CN" w:bidi="ar"/>
        </w:rPr>
        <w:t>项目施行雨污分流，雨水经项目内雨水沟汇入雨水管网。住院、门诊感染废水经预消毒处理进入化粪池处理后排入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w:t>
      </w:r>
      <w:r>
        <w:rPr>
          <w:rFonts w:hint="default" w:ascii="Times New Roman" w:hAnsi="Times New Roman" w:eastAsia="宋体" w:cs="Times New Roman"/>
          <w:color w:val="auto"/>
          <w:kern w:val="0"/>
          <w:sz w:val="24"/>
          <w:szCs w:val="24"/>
          <w:lang w:val="en-US" w:eastAsia="zh-CN" w:bidi="ar"/>
        </w:rPr>
        <w:t>住院、门诊非感染废水及医务人员用水进入化粪池处理后排入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配套建设的污水处理站进行处理。食堂废水经隔油池</w:t>
      </w:r>
      <w:r>
        <w:rPr>
          <w:rFonts w:hint="default" w:ascii="Times New Roman" w:hAnsi="Times New Roman" w:eastAsia="宋体" w:cs="Times New Roman"/>
          <w:color w:val="auto"/>
          <w:kern w:val="0"/>
          <w:sz w:val="24"/>
          <w:szCs w:val="24"/>
          <w:lang w:val="en-US" w:eastAsia="zh-CN" w:bidi="ar"/>
        </w:rPr>
        <w:t>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废水在污水处理站处理达到《医疗机构水污染物排放标准》（GN18466-2005）表2预处理标准及《污水排入城镇下水道水质标准》（GB/T31962-2015）表（1）标准后通过市政管网进入大英县城市生活污水处理厂处理达标后排入郪江。</w:t>
      </w:r>
    </w:p>
    <w:p w14:paraId="4BB96CDA">
      <w:pPr>
        <w:pStyle w:val="7"/>
        <w:bidi w:val="0"/>
        <w:rPr>
          <w:rFonts w:hint="default" w:ascii="Times New Roman" w:hAnsi="Times New Roman" w:eastAsia="宋体" w:cs="Times New Roman"/>
          <w:color w:val="auto"/>
          <w:lang w:val="en-US" w:eastAsia="zh-CN"/>
        </w:rPr>
      </w:pPr>
      <w:bookmarkStart w:id="2147" w:name="_Toc29911"/>
      <w:r>
        <w:rPr>
          <w:rFonts w:hint="default" w:ascii="Times New Roman" w:hAnsi="Times New Roman" w:eastAsia="宋体" w:cs="Times New Roman"/>
          <w:color w:val="auto"/>
          <w:lang w:val="en-US" w:eastAsia="zh-CN"/>
        </w:rPr>
        <w:t>6.3.3评价等级判定</w:t>
      </w:r>
      <w:bookmarkEnd w:id="2147"/>
    </w:p>
    <w:p w14:paraId="09ADA92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根据《环境影响评价技术导则—地表水环境》（HJ/T2.3-2018），关于地表水评价等级的判定如下：</w:t>
      </w:r>
    </w:p>
    <w:p w14:paraId="3FC4D1C9">
      <w:pPr>
        <w:spacing w:line="240" w:lineRule="auto"/>
        <w:ind w:firstLine="422" w:firstLineChars="20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6.3-1</w:t>
      </w:r>
      <w:r>
        <w:rPr>
          <w:rFonts w:hint="default" w:ascii="Times New Roman" w:hAnsi="Times New Roman" w:eastAsia="宋体" w:cs="Times New Roman"/>
          <w:b/>
          <w:bCs/>
          <w:color w:val="auto"/>
        </w:rPr>
        <w:t xml:space="preserve">  水污染影响型建设项目等级判定</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00"/>
        <w:gridCol w:w="2878"/>
      </w:tblGrid>
      <w:tr w14:paraId="5C0EEF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Merge w:val="restart"/>
            <w:shd w:val="clear" w:color="auto" w:fill="D7D7D7" w:themeFill="background1" w:themeFillShade="D8"/>
            <w:vAlign w:val="center"/>
          </w:tcPr>
          <w:p w14:paraId="14A11D13">
            <w:pPr>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rPr>
              <w:t>评价等级</w:t>
            </w:r>
          </w:p>
        </w:tc>
        <w:tc>
          <w:tcPr>
            <w:tcW w:w="5678" w:type="dxa"/>
            <w:gridSpan w:val="2"/>
            <w:shd w:val="clear" w:color="auto" w:fill="D7D7D7" w:themeFill="background1" w:themeFillShade="D8"/>
            <w:vAlign w:val="center"/>
          </w:tcPr>
          <w:p w14:paraId="515372CB">
            <w:pPr>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rPr>
              <w:t>判定依据</w:t>
            </w:r>
          </w:p>
        </w:tc>
      </w:tr>
      <w:tr w14:paraId="1C8B5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Merge w:val="continue"/>
            <w:shd w:val="clear" w:color="auto" w:fill="D7D7D7" w:themeFill="background1" w:themeFillShade="D8"/>
          </w:tcPr>
          <w:p w14:paraId="6FDE9ED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p>
        </w:tc>
        <w:tc>
          <w:tcPr>
            <w:tcW w:w="2800" w:type="dxa"/>
            <w:shd w:val="clear" w:color="auto" w:fill="D7D7D7" w:themeFill="background1" w:themeFillShade="D8"/>
            <w:vAlign w:val="center"/>
          </w:tcPr>
          <w:p w14:paraId="0A52BCA1">
            <w:pPr>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rPr>
              <w:t>排放方式</w:t>
            </w:r>
          </w:p>
        </w:tc>
        <w:tc>
          <w:tcPr>
            <w:tcW w:w="2878" w:type="dxa"/>
            <w:shd w:val="clear" w:color="auto" w:fill="D7D7D7" w:themeFill="background1" w:themeFillShade="D8"/>
            <w:vAlign w:val="center"/>
          </w:tcPr>
          <w:p w14:paraId="43BC9FFC">
            <w:pPr>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rPr>
              <w:t>废水排放量Q/（m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/d）；水污染物当量数W/（无量纲）</w:t>
            </w:r>
          </w:p>
        </w:tc>
      </w:tr>
      <w:tr w14:paraId="39E15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14:paraId="775FBD1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一级</w:t>
            </w:r>
          </w:p>
        </w:tc>
        <w:tc>
          <w:tcPr>
            <w:tcW w:w="2800" w:type="dxa"/>
            <w:vAlign w:val="center"/>
          </w:tcPr>
          <w:p w14:paraId="11CC9BB3">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直接排放</w:t>
            </w:r>
          </w:p>
        </w:tc>
        <w:tc>
          <w:tcPr>
            <w:tcW w:w="2878" w:type="dxa"/>
            <w:vAlign w:val="center"/>
          </w:tcPr>
          <w:p w14:paraId="5218D2E2">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Q≥20000或W≥600000</w:t>
            </w:r>
          </w:p>
        </w:tc>
      </w:tr>
      <w:tr w14:paraId="2085D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14:paraId="05B995E4">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二级</w:t>
            </w:r>
          </w:p>
        </w:tc>
        <w:tc>
          <w:tcPr>
            <w:tcW w:w="2800" w:type="dxa"/>
            <w:vAlign w:val="center"/>
          </w:tcPr>
          <w:p w14:paraId="1FF62CFD">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直接排放</w:t>
            </w:r>
          </w:p>
        </w:tc>
        <w:tc>
          <w:tcPr>
            <w:tcW w:w="2878" w:type="dxa"/>
            <w:vAlign w:val="center"/>
          </w:tcPr>
          <w:p w14:paraId="48AAF1AA">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其他</w:t>
            </w:r>
          </w:p>
        </w:tc>
      </w:tr>
      <w:tr w14:paraId="1422E5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14:paraId="52A292BB">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三级A</w:t>
            </w:r>
          </w:p>
        </w:tc>
        <w:tc>
          <w:tcPr>
            <w:tcW w:w="2800" w:type="dxa"/>
            <w:vAlign w:val="center"/>
          </w:tcPr>
          <w:p w14:paraId="3581FE24">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直接排放</w:t>
            </w:r>
          </w:p>
        </w:tc>
        <w:tc>
          <w:tcPr>
            <w:tcW w:w="2878" w:type="dxa"/>
            <w:vAlign w:val="center"/>
          </w:tcPr>
          <w:p w14:paraId="5F398047">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Q&lt;200且W&lt;6000</w:t>
            </w:r>
          </w:p>
        </w:tc>
      </w:tr>
      <w:tr w14:paraId="4B402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14:paraId="396E312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三级B</w:t>
            </w:r>
          </w:p>
        </w:tc>
        <w:tc>
          <w:tcPr>
            <w:tcW w:w="2800" w:type="dxa"/>
            <w:vAlign w:val="center"/>
          </w:tcPr>
          <w:p w14:paraId="08BBE3CA">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间接排放</w:t>
            </w:r>
          </w:p>
        </w:tc>
        <w:tc>
          <w:tcPr>
            <w:tcW w:w="2878" w:type="dxa"/>
            <w:vAlign w:val="center"/>
          </w:tcPr>
          <w:p w14:paraId="57B35F30">
            <w:pPr>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rPr>
              <w:t>/</w:t>
            </w:r>
          </w:p>
        </w:tc>
      </w:tr>
    </w:tbl>
    <w:p w14:paraId="6BE51DA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根据上表可知，本项目属于水污染影响型三级B，可不进行预测。</w:t>
      </w:r>
    </w:p>
    <w:p w14:paraId="1BEB6B49">
      <w:pPr>
        <w:pStyle w:val="7"/>
        <w:bidi w:val="0"/>
        <w:rPr>
          <w:rFonts w:hint="default" w:ascii="Times New Roman" w:hAnsi="Times New Roman" w:eastAsia="宋体" w:cs="Times New Roman"/>
          <w:color w:val="auto"/>
          <w:lang w:val="en-US" w:eastAsia="zh-CN"/>
        </w:rPr>
      </w:pPr>
      <w:bookmarkStart w:id="2148" w:name="_Toc25866"/>
      <w:r>
        <w:rPr>
          <w:rFonts w:hint="default" w:ascii="Times New Roman" w:hAnsi="Times New Roman" w:eastAsia="宋体" w:cs="Times New Roman"/>
          <w:color w:val="auto"/>
          <w:lang w:val="en-US" w:eastAsia="zh-CN"/>
        </w:rPr>
        <w:t>6.3.4各废水处理设施规模合理性分析</w:t>
      </w:r>
      <w:bookmarkEnd w:id="2148"/>
    </w:p>
    <w:p w14:paraId="435087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lang w:val="en-US" w:eastAsia="zh-CN" w:bidi="ar"/>
        </w:rPr>
      </w:pPr>
      <w:bookmarkStart w:id="2149" w:name="_Toc22850"/>
      <w:bookmarkStart w:id="2150" w:name="_Toc8425"/>
      <w:bookmarkStart w:id="2151" w:name="_Toc17851"/>
      <w:bookmarkStart w:id="2152" w:name="_Toc5537"/>
      <w:r>
        <w:rPr>
          <w:rFonts w:hint="default" w:ascii="Times New Roman" w:hAnsi="Times New Roman" w:eastAsia="宋体" w:cs="Times New Roman"/>
          <w:color w:val="auto"/>
          <w:kern w:val="0"/>
          <w:sz w:val="24"/>
          <w:szCs w:val="24"/>
          <w:lang w:val="en-US" w:eastAsia="zh-CN" w:bidi="ar"/>
        </w:rPr>
        <w:t>（1）感染废水预消毒池</w:t>
      </w:r>
      <w:bookmarkEnd w:id="2149"/>
      <w:bookmarkEnd w:id="2150"/>
      <w:bookmarkEnd w:id="2151"/>
      <w:bookmarkEnd w:id="2152"/>
    </w:p>
    <w:p w14:paraId="49F02D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项目建设感染楼和发热楼产生的废水含</w:t>
      </w:r>
      <w:r>
        <w:rPr>
          <w:rFonts w:hint="eastAsia" w:ascii="Times New Roman" w:hAnsi="Times New Roman" w:eastAsia="宋体" w:cs="Times New Roman"/>
          <w:color w:val="auto"/>
          <w:kern w:val="0"/>
          <w:sz w:val="24"/>
          <w:szCs w:val="24"/>
          <w:lang w:val="en-US" w:eastAsia="zh-CN" w:bidi="ar"/>
        </w:rPr>
        <w:t>有</w:t>
      </w:r>
      <w:r>
        <w:rPr>
          <w:rFonts w:hint="default" w:ascii="Times New Roman" w:hAnsi="Times New Roman" w:eastAsia="宋体" w:cs="Times New Roman"/>
          <w:color w:val="auto"/>
          <w:kern w:val="0"/>
          <w:sz w:val="24"/>
          <w:szCs w:val="24"/>
          <w:lang w:val="en-US" w:eastAsia="zh-CN" w:bidi="ar"/>
        </w:rPr>
        <w:t>病原体，故需进行预消毒后再排入化粪池，有效减少病原微生物，预消毒方式为二氧化氯。根据工程分析可知，感染废水量为</w:t>
      </w:r>
      <w:r>
        <w:rPr>
          <w:rFonts w:hint="eastAsia" w:ascii="Times New Roman" w:hAnsi="Times New Roman" w:eastAsia="宋体" w:cs="Times New Roman"/>
          <w:color w:val="auto"/>
          <w:kern w:val="0"/>
          <w:sz w:val="24"/>
          <w:szCs w:val="24"/>
          <w:lang w:val="en-US" w:eastAsia="zh-CN" w:bidi="ar"/>
        </w:rPr>
        <w:t>27.41</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/d，采用二氧化氯进行消毒，消毒时间4-6h，则至少需要</w:t>
      </w:r>
      <w:r>
        <w:rPr>
          <w:rFonts w:hint="eastAsia" w:ascii="Times New Roman" w:hAnsi="Times New Roman" w:eastAsia="宋体" w:cs="Times New Roman"/>
          <w:color w:val="auto"/>
          <w:kern w:val="0"/>
          <w:sz w:val="24"/>
          <w:szCs w:val="24"/>
          <w:lang w:val="en-US" w:eastAsia="zh-CN" w:bidi="ar"/>
        </w:rPr>
        <w:t>6.85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的预消毒水池。为保证感染废水得到充分消毒，本次环评要求修建一个10m</w:t>
      </w:r>
      <w:r>
        <w:rPr>
          <w:rFonts w:hint="eastAsia"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的预消毒池，其容积能满足感染废水储存要求。</w:t>
      </w:r>
    </w:p>
    <w:p w14:paraId="5E5E14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eastAsia="宋体" w:cs="Times New Roman"/>
          <w:color w:val="auto"/>
          <w:kern w:val="0"/>
          <w:sz w:val="24"/>
          <w:szCs w:val="24"/>
          <w:lang w:val="en-US" w:eastAsia="zh-CN" w:bidi="ar"/>
        </w:rPr>
      </w:pPr>
      <w:bookmarkStart w:id="2153" w:name="_Toc21793"/>
      <w:bookmarkStart w:id="2154" w:name="_Toc7102"/>
      <w:bookmarkStart w:id="2155" w:name="_Toc6016"/>
      <w:bookmarkStart w:id="2156" w:name="_Toc853"/>
      <w:r>
        <w:rPr>
          <w:rFonts w:hint="default" w:ascii="Times New Roman" w:hAnsi="Times New Roman" w:eastAsia="宋体" w:cs="Times New Roman"/>
          <w:color w:val="auto"/>
          <w:kern w:val="0"/>
          <w:sz w:val="24"/>
          <w:szCs w:val="24"/>
          <w:lang w:val="en-US" w:eastAsia="zh-CN" w:bidi="ar"/>
        </w:rPr>
        <w:t>（2）化粪池</w:t>
      </w:r>
      <w:bookmarkEnd w:id="2153"/>
      <w:bookmarkEnd w:id="2154"/>
      <w:bookmarkEnd w:id="2155"/>
      <w:bookmarkEnd w:id="2156"/>
    </w:p>
    <w:p w14:paraId="00392F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3"/>
          <w:szCs w:val="23"/>
          <w:lang w:val="en-US" w:eastAsia="zh-CN" w:bidi="ar"/>
        </w:rPr>
      </w:pPr>
      <w:r>
        <w:rPr>
          <w:rFonts w:hint="default" w:ascii="Times New Roman" w:hAnsi="Times New Roman" w:eastAsia="宋体" w:cs="Times New Roman"/>
          <w:color w:val="auto"/>
          <w:kern w:val="0"/>
          <w:sz w:val="24"/>
          <w:szCs w:val="24"/>
          <w:lang w:val="en-US" w:eastAsia="zh-CN" w:bidi="ar"/>
        </w:rPr>
        <w:t>项目住院、门诊感染废水经预消毒处理进入化粪池处理后排入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w:t>
      </w:r>
      <w:r>
        <w:rPr>
          <w:rFonts w:hint="default" w:ascii="Times New Roman" w:hAnsi="Times New Roman" w:eastAsia="宋体" w:cs="Times New Roman"/>
          <w:color w:val="auto"/>
          <w:kern w:val="0"/>
          <w:sz w:val="24"/>
          <w:szCs w:val="24"/>
          <w:lang w:val="en-US" w:eastAsia="zh-CN" w:bidi="ar"/>
        </w:rPr>
        <w:t>住院、门诊非感染废水及医务人员用水进入化粪池处理后排入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配套建设的污水处理站进行处理。进入化粪池的废水量为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541.48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/d。根据《医疗机构水污染排放标准》（GB18466-2005）中“5.3化粪池应按最高日排水量设计，停留时间为24-36h，清掏周期为180-360d”，本次环评提出设置</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的化粪池，化粪池设置均符合《医疗机构水污染排放标准》（GB18466-2005）中的要求，设置合理可行。</w:t>
      </w:r>
    </w:p>
    <w:p w14:paraId="1C128007">
      <w:pPr>
        <w:keepNext w:val="0"/>
        <w:keepLines w:val="0"/>
        <w:pageBreakBefore w:val="0"/>
        <w:widowControl/>
        <w:suppressLineNumbers w:val="0"/>
        <w:kinsoku/>
        <w:overflowPunct/>
        <w:topLinePunct w:val="0"/>
        <w:autoSpaceDE/>
        <w:autoSpaceDN/>
        <w:bidi w:val="0"/>
        <w:adjustRightInd/>
        <w:snapToGrid/>
        <w:spacing w:line="360" w:lineRule="auto"/>
        <w:ind w:firstLine="240" w:firstLineChars="100"/>
        <w:jc w:val="left"/>
        <w:textAlignment w:val="auto"/>
        <w:outlineLvl w:val="1"/>
        <w:rPr>
          <w:rFonts w:hint="default" w:ascii="Times New Roman" w:hAnsi="Times New Roman" w:eastAsia="宋体" w:cs="Times New Roman"/>
          <w:color w:val="auto"/>
          <w:kern w:val="0"/>
          <w:sz w:val="23"/>
          <w:szCs w:val="23"/>
          <w:lang w:val="en-US" w:eastAsia="zh-CN" w:bidi="ar"/>
        </w:rPr>
      </w:pPr>
      <w:bookmarkStart w:id="2157" w:name="_Toc608"/>
      <w:bookmarkStart w:id="2158" w:name="_Toc28366"/>
      <w:bookmarkStart w:id="2159" w:name="_Toc18249"/>
      <w:bookmarkStart w:id="2160" w:name="_Toc22300"/>
      <w:r>
        <w:rPr>
          <w:rFonts w:hint="default" w:ascii="Times New Roman" w:hAnsi="Times New Roman" w:eastAsia="宋体" w:cs="Times New Roman"/>
          <w:color w:val="auto"/>
          <w:kern w:val="0"/>
          <w:sz w:val="24"/>
          <w:szCs w:val="24"/>
          <w:lang w:val="en-US" w:eastAsia="zh-CN" w:bidi="ar"/>
        </w:rPr>
        <w:t>（3）</w:t>
      </w:r>
      <w:bookmarkEnd w:id="2157"/>
      <w:bookmarkEnd w:id="2158"/>
      <w:bookmarkEnd w:id="2159"/>
      <w:bookmarkEnd w:id="2160"/>
      <w:bookmarkStart w:id="2161" w:name="_Toc30756"/>
      <w:bookmarkStart w:id="2162" w:name="_Toc23775"/>
      <w:bookmarkStart w:id="2163" w:name="_Toc11395"/>
      <w:bookmarkStart w:id="2164" w:name="_Toc5069"/>
      <w:r>
        <w:rPr>
          <w:rFonts w:hint="default" w:ascii="Times New Roman" w:hAnsi="Times New Roman" w:eastAsia="宋体" w:cs="Times New Roman"/>
          <w:color w:val="auto"/>
          <w:kern w:val="0"/>
          <w:sz w:val="23"/>
          <w:szCs w:val="23"/>
          <w:lang w:val="en-US" w:eastAsia="zh-CN" w:bidi="ar"/>
        </w:rPr>
        <w:t>隔油池</w:t>
      </w:r>
      <w:bookmarkEnd w:id="2161"/>
      <w:bookmarkEnd w:id="2162"/>
      <w:bookmarkEnd w:id="2163"/>
      <w:bookmarkEnd w:id="2164"/>
    </w:p>
    <w:p w14:paraId="3A6C4B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3"/>
          <w:szCs w:val="23"/>
          <w:lang w:val="en-US" w:eastAsia="zh-CN" w:bidi="ar"/>
        </w:rPr>
      </w:pPr>
      <w:r>
        <w:rPr>
          <w:rFonts w:hint="default" w:ascii="Times New Roman" w:hAnsi="Times New Roman" w:eastAsia="宋体" w:cs="Times New Roman"/>
          <w:color w:val="auto"/>
          <w:kern w:val="0"/>
          <w:sz w:val="24"/>
          <w:szCs w:val="24"/>
          <w:lang w:val="en-US" w:eastAsia="zh-CN" w:bidi="ar"/>
        </w:rPr>
        <w:t>食堂设置在2#楼二层，为部分医护人员及患者提供三餐，由工程分析可知，</w:t>
      </w:r>
      <w:r>
        <w:rPr>
          <w:rFonts w:hint="eastAsia" w:ascii="Times New Roman" w:hAnsi="Times New Roman" w:eastAsia="宋体" w:cs="Times New Roman"/>
          <w:color w:val="auto"/>
          <w:kern w:val="0"/>
          <w:sz w:val="24"/>
          <w:szCs w:val="24"/>
          <w:lang w:val="en-US" w:eastAsia="zh-CN" w:bidi="ar"/>
        </w:rPr>
        <w:t>食堂预计每天提供4000人次就餐，按照《综合医院建筑设计规范》（GB51039-2014）中食堂用水定额取20L/人·次，</w:t>
      </w:r>
      <w:r>
        <w:rPr>
          <w:rFonts w:hint="default" w:ascii="Times New Roman" w:hAnsi="Times New Roman" w:eastAsia="宋体" w:cs="Times New Roman"/>
          <w:color w:val="auto"/>
          <w:kern w:val="0"/>
          <w:sz w:val="24"/>
          <w:szCs w:val="24"/>
          <w:lang w:val="en-US" w:eastAsia="zh-CN" w:bidi="ar"/>
        </w:rPr>
        <w:t>食堂废水产生量为</w:t>
      </w:r>
      <w:r>
        <w:rPr>
          <w:rFonts w:hint="eastAsia" w:ascii="Times New Roman" w:hAnsi="Times New Roman" w:eastAsia="宋体" w:cs="Times New Roman"/>
          <w:color w:val="auto"/>
          <w:kern w:val="0"/>
          <w:sz w:val="24"/>
          <w:szCs w:val="24"/>
          <w:lang w:val="en-US" w:eastAsia="zh-CN" w:bidi="ar"/>
        </w:rPr>
        <w:t>68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/d。食堂排水高峰期按6h计，本次环评提出，新建1个</w:t>
      </w:r>
      <w:r>
        <w:rPr>
          <w:rFonts w:hint="eastAsia" w:ascii="Times New Roman" w:hAnsi="Times New Roman" w:eastAsia="宋体"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的隔油池，隔油池的容积可保障食堂污水在隔油池内停留时间不小于30min，可满足污水停留要求。</w:t>
      </w:r>
    </w:p>
    <w:p w14:paraId="69FDD19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165" w:name="_Toc18844"/>
      <w:bookmarkStart w:id="2166" w:name="_Toc3664"/>
      <w:bookmarkStart w:id="2167" w:name="_Toc6951"/>
      <w:bookmarkStart w:id="2168" w:name="_Toc12461"/>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
        </w:rPr>
        <w:t>表6.3-2  污水预处理设施情况一览表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800"/>
        <w:gridCol w:w="1725"/>
        <w:gridCol w:w="1888"/>
        <w:gridCol w:w="1375"/>
      </w:tblGrid>
      <w:tr w14:paraId="2F5784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D7D7D7" w:themeFill="background1" w:themeFillShade="D8"/>
            <w:vAlign w:val="center"/>
          </w:tcPr>
          <w:p w14:paraId="64E719C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序号</w:t>
            </w:r>
          </w:p>
        </w:tc>
        <w:tc>
          <w:tcPr>
            <w:tcW w:w="2800" w:type="dxa"/>
            <w:shd w:val="clear" w:color="auto" w:fill="D7D7D7" w:themeFill="background1" w:themeFillShade="D8"/>
            <w:vAlign w:val="center"/>
          </w:tcPr>
          <w:p w14:paraId="1B6539D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污水类别</w:t>
            </w:r>
          </w:p>
        </w:tc>
        <w:tc>
          <w:tcPr>
            <w:tcW w:w="1725" w:type="dxa"/>
            <w:shd w:val="clear" w:color="auto" w:fill="D7D7D7" w:themeFill="background1" w:themeFillShade="D8"/>
            <w:vAlign w:val="center"/>
          </w:tcPr>
          <w:p w14:paraId="68645A4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污水处理设施</w:t>
            </w:r>
          </w:p>
        </w:tc>
        <w:tc>
          <w:tcPr>
            <w:tcW w:w="1888" w:type="dxa"/>
            <w:shd w:val="clear" w:color="auto" w:fill="D7D7D7" w:themeFill="background1" w:themeFillShade="D8"/>
            <w:vAlign w:val="center"/>
          </w:tcPr>
          <w:p w14:paraId="7C53C29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容积大小（m</w:t>
            </w:r>
            <w:r>
              <w:rPr>
                <w:rFonts w:hint="eastAsia" w:ascii="Times New Roman" w:hAnsi="Times New Roman" w:eastAsia="宋体" w:cs="Times New Roman"/>
                <w:b/>
                <w:bCs/>
                <w:i w:val="0"/>
                <w:iCs w:val="0"/>
                <w:caps w:val="0"/>
                <w:color w:val="auto"/>
                <w:spacing w:val="0"/>
                <w:kern w:val="0"/>
                <w:sz w:val="21"/>
                <w:szCs w:val="21"/>
                <w:shd w:val="clear" w:fill="FFFFFF"/>
                <w:vertAlign w:val="superscript"/>
                <w:lang w:val="en-US" w:eastAsia="zh-CN" w:bidi="ar"/>
              </w:rPr>
              <w:t>3</w:t>
            </w: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w:t>
            </w:r>
          </w:p>
        </w:tc>
        <w:tc>
          <w:tcPr>
            <w:tcW w:w="1375" w:type="dxa"/>
            <w:shd w:val="clear" w:color="auto" w:fill="D7D7D7" w:themeFill="background1" w:themeFillShade="D8"/>
            <w:vAlign w:val="center"/>
          </w:tcPr>
          <w:p w14:paraId="44A2E5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处理工艺</w:t>
            </w:r>
          </w:p>
        </w:tc>
      </w:tr>
      <w:tr w14:paraId="085EC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40B1C18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w:t>
            </w:r>
          </w:p>
        </w:tc>
        <w:tc>
          <w:tcPr>
            <w:tcW w:w="2800" w:type="dxa"/>
            <w:vAlign w:val="center"/>
          </w:tcPr>
          <w:p w14:paraId="4F71509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食堂废水</w:t>
            </w:r>
          </w:p>
        </w:tc>
        <w:tc>
          <w:tcPr>
            <w:tcW w:w="1725" w:type="dxa"/>
            <w:vAlign w:val="center"/>
          </w:tcPr>
          <w:p w14:paraId="7BCEFE9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隔油池</w:t>
            </w:r>
          </w:p>
        </w:tc>
        <w:tc>
          <w:tcPr>
            <w:tcW w:w="1888" w:type="dxa"/>
            <w:vAlign w:val="center"/>
          </w:tcPr>
          <w:p w14:paraId="1C24834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12</w:t>
            </w:r>
          </w:p>
        </w:tc>
        <w:tc>
          <w:tcPr>
            <w:tcW w:w="1375" w:type="dxa"/>
            <w:vAlign w:val="center"/>
          </w:tcPr>
          <w:p w14:paraId="509B193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过滤、沉淀</w:t>
            </w:r>
          </w:p>
        </w:tc>
      </w:tr>
      <w:tr w14:paraId="4A8208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6B2ACDD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w:t>
            </w:r>
          </w:p>
        </w:tc>
        <w:tc>
          <w:tcPr>
            <w:tcW w:w="2800" w:type="dxa"/>
            <w:vAlign w:val="center"/>
          </w:tcPr>
          <w:p w14:paraId="2681AA9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感染病区废水</w:t>
            </w:r>
          </w:p>
        </w:tc>
        <w:tc>
          <w:tcPr>
            <w:tcW w:w="1725" w:type="dxa"/>
            <w:vAlign w:val="center"/>
          </w:tcPr>
          <w:p w14:paraId="0B1E49F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预消毒池</w:t>
            </w:r>
          </w:p>
        </w:tc>
        <w:tc>
          <w:tcPr>
            <w:tcW w:w="1888" w:type="dxa"/>
            <w:vAlign w:val="center"/>
          </w:tcPr>
          <w:p w14:paraId="60CBFE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10</w:t>
            </w:r>
          </w:p>
        </w:tc>
        <w:tc>
          <w:tcPr>
            <w:tcW w:w="1375" w:type="dxa"/>
            <w:vAlign w:val="center"/>
          </w:tcPr>
          <w:p w14:paraId="79277A4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消毒</w:t>
            </w:r>
          </w:p>
        </w:tc>
      </w:tr>
      <w:tr w14:paraId="61785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7" w:type="dxa"/>
            <w:vAlign w:val="center"/>
          </w:tcPr>
          <w:p w14:paraId="43885EC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w:t>
            </w:r>
          </w:p>
        </w:tc>
        <w:tc>
          <w:tcPr>
            <w:tcW w:w="2800" w:type="dxa"/>
            <w:vAlign w:val="center"/>
          </w:tcPr>
          <w:p w14:paraId="111850F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门急诊、住院病区、医务人员废水</w:t>
            </w:r>
          </w:p>
        </w:tc>
        <w:tc>
          <w:tcPr>
            <w:tcW w:w="1725" w:type="dxa"/>
            <w:vAlign w:val="center"/>
          </w:tcPr>
          <w:p w14:paraId="0599595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化粪池</w:t>
            </w:r>
          </w:p>
        </w:tc>
        <w:tc>
          <w:tcPr>
            <w:tcW w:w="1888" w:type="dxa"/>
            <w:vAlign w:val="center"/>
          </w:tcPr>
          <w:p w14:paraId="04D9B8D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600</w:t>
            </w:r>
          </w:p>
        </w:tc>
        <w:tc>
          <w:tcPr>
            <w:tcW w:w="1375" w:type="dxa"/>
            <w:vAlign w:val="center"/>
          </w:tcPr>
          <w:p w14:paraId="0174F80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eastAsia"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厌氧发酵</w:t>
            </w:r>
          </w:p>
        </w:tc>
      </w:tr>
    </w:tbl>
    <w:p w14:paraId="4A3CBE63">
      <w:pPr>
        <w:keepNext w:val="0"/>
        <w:keepLines w:val="0"/>
        <w:pageBreakBefore w:val="0"/>
        <w:widowControl/>
        <w:suppressLineNumbers w:val="0"/>
        <w:kinsoku/>
        <w:wordWrap/>
        <w:overflowPunct/>
        <w:topLinePunct w:val="0"/>
        <w:autoSpaceDE/>
        <w:autoSpaceDN/>
        <w:bidi w:val="0"/>
        <w:adjustRightInd/>
        <w:snapToGrid/>
        <w:spacing w:line="360" w:lineRule="auto"/>
        <w:ind w:firstLine="460" w:firstLineChars="200"/>
        <w:jc w:val="left"/>
        <w:textAlignment w:val="auto"/>
        <w:outlineLvl w:val="1"/>
        <w:rPr>
          <w:rFonts w:hint="default" w:ascii="Times New Roman" w:hAnsi="Times New Roman" w:eastAsia="宋体" w:cs="Times New Roman"/>
          <w:color w:val="auto"/>
          <w:kern w:val="0"/>
          <w:sz w:val="23"/>
          <w:szCs w:val="23"/>
          <w:lang w:val="en-US" w:eastAsia="zh-CN" w:bidi="ar"/>
        </w:rPr>
      </w:pPr>
      <w:r>
        <w:rPr>
          <w:rFonts w:hint="default" w:ascii="Times New Roman" w:hAnsi="Times New Roman" w:eastAsia="宋体" w:cs="Times New Roman"/>
          <w:color w:val="auto"/>
          <w:kern w:val="0"/>
          <w:sz w:val="23"/>
          <w:szCs w:val="23"/>
          <w:lang w:val="en-US" w:eastAsia="zh-CN" w:bidi="ar"/>
        </w:rPr>
        <w:t>（</w:t>
      </w:r>
      <w:r>
        <w:rPr>
          <w:rFonts w:hint="eastAsia" w:ascii="Times New Roman" w:hAnsi="Times New Roman" w:eastAsia="宋体" w:cs="Times New Roman"/>
          <w:color w:val="auto"/>
          <w:kern w:val="0"/>
          <w:sz w:val="23"/>
          <w:szCs w:val="23"/>
          <w:lang w:val="en-US" w:eastAsia="zh-CN" w:bidi="ar"/>
        </w:rPr>
        <w:t>4</w:t>
      </w:r>
      <w:r>
        <w:rPr>
          <w:rFonts w:hint="default" w:ascii="Times New Roman" w:hAnsi="Times New Roman" w:eastAsia="宋体" w:cs="Times New Roman"/>
          <w:color w:val="auto"/>
          <w:kern w:val="0"/>
          <w:sz w:val="23"/>
          <w:szCs w:val="23"/>
          <w:lang w:val="en-US" w:eastAsia="zh-CN" w:bidi="ar"/>
        </w:rPr>
        <w:t>）污水处理站建设合理性分析</w:t>
      </w:r>
      <w:bookmarkEnd w:id="2165"/>
      <w:bookmarkEnd w:id="2166"/>
      <w:bookmarkEnd w:id="2167"/>
      <w:bookmarkEnd w:id="2168"/>
    </w:p>
    <w:p w14:paraId="5B0994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kern w:val="0"/>
          <w:sz w:val="24"/>
          <w:szCs w:val="24"/>
          <w:lang w:val="en-US" w:eastAsia="zh-CN" w:bidi="ar"/>
        </w:rPr>
      </w:pPr>
      <w:bookmarkStart w:id="2169" w:name="_Toc8197"/>
      <w:bookmarkStart w:id="2170" w:name="_Toc2363"/>
      <w:bookmarkStart w:id="2171" w:name="_Toc2549"/>
      <w:bookmarkStart w:id="2172" w:name="_Toc16387"/>
      <w:r>
        <w:rPr>
          <w:rFonts w:hint="default" w:ascii="Times New Roman" w:hAnsi="Times New Roman" w:eastAsia="宋体" w:cs="Times New Roman"/>
          <w:color w:val="auto"/>
          <w:kern w:val="0"/>
          <w:sz w:val="24"/>
          <w:szCs w:val="24"/>
          <w:lang w:val="en-US" w:eastAsia="zh-CN" w:bidi="ar"/>
        </w:rPr>
        <w:t>①建设和规模</w:t>
      </w:r>
      <w:bookmarkEnd w:id="2169"/>
      <w:bookmarkEnd w:id="2170"/>
      <w:bookmarkEnd w:id="2171"/>
      <w:bookmarkEnd w:id="2172"/>
    </w:p>
    <w:p w14:paraId="759EC0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根据工程分析可知，项目废水最大产生量为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704.02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/d，拟建地埋式污水处理站设计处理能力为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/d，规模设置合理。</w:t>
      </w:r>
    </w:p>
    <w:p w14:paraId="3FD83F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kern w:val="0"/>
          <w:sz w:val="24"/>
          <w:szCs w:val="24"/>
          <w:lang w:val="en-US" w:eastAsia="zh-CN" w:bidi="ar"/>
        </w:rPr>
      </w:pPr>
      <w:bookmarkStart w:id="2173" w:name="_Toc5958"/>
      <w:bookmarkStart w:id="2174" w:name="_Toc7806"/>
      <w:bookmarkStart w:id="2175" w:name="_Toc22632"/>
      <w:bookmarkStart w:id="2176" w:name="_Toc31019"/>
      <w:r>
        <w:rPr>
          <w:rFonts w:hint="default" w:ascii="Times New Roman" w:hAnsi="Times New Roman" w:eastAsia="宋体" w:cs="Times New Roman"/>
          <w:color w:val="auto"/>
          <w:kern w:val="0"/>
          <w:sz w:val="24"/>
          <w:szCs w:val="24"/>
          <w:lang w:val="en-US" w:eastAsia="zh-CN" w:bidi="ar"/>
        </w:rPr>
        <w:t>②污水处理站位置</w:t>
      </w:r>
      <w:bookmarkEnd w:id="2173"/>
      <w:bookmarkEnd w:id="2174"/>
      <w:bookmarkEnd w:id="2175"/>
      <w:bookmarkEnd w:id="2176"/>
    </w:p>
    <w:p w14:paraId="1EE231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地埋式污水处理站你建设位置位于项目西南侧绿化带处，位于院内主要建筑下风向，减小了污水处理站异味对医院内部的影响。该位置地势较低，靠近市政管网，便于接管，且利于污水处理站的维护，确保污水处理站的完好运行，污水处理站的选址符合要求，选址合理可行。</w:t>
      </w:r>
    </w:p>
    <w:p w14:paraId="717D90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kern w:val="0"/>
          <w:sz w:val="24"/>
          <w:szCs w:val="24"/>
          <w:lang w:val="en-US" w:eastAsia="zh-CN" w:bidi="ar"/>
        </w:rPr>
      </w:pPr>
      <w:bookmarkStart w:id="2177" w:name="_Toc26404"/>
      <w:bookmarkStart w:id="2178" w:name="_Toc14183"/>
      <w:bookmarkStart w:id="2179" w:name="_Toc2032"/>
      <w:bookmarkStart w:id="2180" w:name="_Toc17575"/>
      <w:r>
        <w:rPr>
          <w:rFonts w:hint="default" w:ascii="Times New Roman" w:hAnsi="Times New Roman" w:eastAsia="宋体" w:cs="Times New Roman"/>
          <w:color w:val="auto"/>
          <w:kern w:val="0"/>
          <w:sz w:val="24"/>
          <w:szCs w:val="24"/>
          <w:lang w:val="en-US" w:eastAsia="zh-CN" w:bidi="ar"/>
        </w:rPr>
        <w:t>③处理工艺</w:t>
      </w:r>
      <w:bookmarkEnd w:id="2177"/>
      <w:bookmarkEnd w:id="2178"/>
      <w:bookmarkEnd w:id="2179"/>
      <w:bookmarkEnd w:id="2180"/>
    </w:p>
    <w:p w14:paraId="3D2815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本项目属于含感染病治疗的综合医院，根据《医院污水处理工程技术规范》（HJ2029-2013），本次采用“预消毒+二级处理+消毒工艺”，具体工艺流程见下图。</w:t>
      </w:r>
    </w:p>
    <w:p w14:paraId="5DF9C54E">
      <w:pPr>
        <w:keepNext w:val="0"/>
        <w:keepLines w:val="0"/>
        <w:pageBreakBefore w:val="0"/>
        <w:widowControl/>
        <w:suppressLineNumbers w:val="0"/>
        <w:kinsoku/>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eastAsia="宋体" w:cs="Times New Roman"/>
          <w:color w:val="auto"/>
          <w:kern w:val="0"/>
          <w:sz w:val="24"/>
          <w:szCs w:val="24"/>
          <w:lang w:val="en-US" w:eastAsia="zh-CN" w:bidi="ar"/>
        </w:rPr>
      </w:pPr>
      <w:r>
        <w:drawing>
          <wp:inline distT="0" distB="0" distL="114300" distR="114300">
            <wp:extent cx="5266055" cy="3481705"/>
            <wp:effectExtent l="0" t="0" r="10795" b="444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3"/>
                    <a:stretch>
                      <a:fillRect/>
                    </a:stretch>
                  </pic:blipFill>
                  <pic:spPr>
                    <a:xfrm>
                      <a:off x="0" y="0"/>
                      <a:ext cx="5266055" cy="3481705"/>
                    </a:xfrm>
                    <a:prstGeom prst="rect">
                      <a:avLst/>
                    </a:prstGeom>
                    <a:noFill/>
                    <a:ln>
                      <a:noFill/>
                    </a:ln>
                  </pic:spPr>
                </pic:pic>
              </a:graphicData>
            </a:graphic>
          </wp:inline>
        </w:drawing>
      </w:r>
    </w:p>
    <w:p w14:paraId="2ADD0A57">
      <w:pPr>
        <w:keepNext w:val="0"/>
        <w:keepLines w:val="0"/>
        <w:pageBreakBefore w:val="0"/>
        <w:widowControl/>
        <w:suppressLineNumbers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图6.3-1 污水处理站工艺流程图</w:t>
      </w:r>
    </w:p>
    <w:p w14:paraId="48219A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水经预处理经管道汇集进入格栅井用以除去污水中较大颗粒的杂质，防止泵的阻塞和损伤，减轻原水负荷；之后污水自流进入调节池进行水质及水量的调节；再进入水解酸化池，将原有废水中的非溶解性有机物转变为溶解性有机物，提高废水的可生化性，以利于后续的好氧处理对污水中有机物进行充分的生物降解；再进入接触氧化池，在充氧的条件下，利用微生物的生物活动，将废水中大部分的有机物分解去除；之后污水进入二沉池，二沉池主要是使污泥分离，使混合液澄清，投加PAC药剂，增加絮凝性，提高SS去除率；采用自动投加方式，定量把消毒剂（二氧化氯AB剂）投加到消毒池中，可以较彻底的消除细菌、臭味、色度。</w:t>
      </w:r>
    </w:p>
    <w:p w14:paraId="44C9BB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医院污水消毒是医院污水处理的重要工艺过程，其目的是杀灭污水中的各种致病菌。本医院污水处理拟采用二氧化氯（ClO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）消毒工艺，对污水进行消毒，消毒接触时间应大于1小时。二氧化氯（ClO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）直接购买成品：二氧化氯A剂和二氧化氯B剂，按照使用说明二氧化氯投加装置内先加水，再加A剂，十五分钟后再加B剂，该操作方法简单、安全。</w:t>
      </w:r>
    </w:p>
    <w:p w14:paraId="348D9E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对照《排污许可证申请与核发技术规范 医疗机构》（HJ1105-2020）中附录A.2医疗机构排污单位污水治理可行技术参照表，本项目选用工艺属于可行性技术，能够确保项目运营期污水经处理后达到《医疗机构水污染物排放标准》（GB18466-2005）表2预处理标准要求。</w:t>
      </w:r>
    </w:p>
    <w:p w14:paraId="176B0702">
      <w:pPr>
        <w:keepNext w:val="0"/>
        <w:keepLines w:val="0"/>
        <w:widowControl/>
        <w:suppressLineNumbers w:val="0"/>
        <w:jc w:val="center"/>
        <w:rPr>
          <w:rFonts w:hint="default" w:ascii="Times New Roman" w:hAnsi="Times New Roman" w:eastAsia="宋体" w:cs="Times New Roman"/>
          <w:b/>
          <w:bCs/>
          <w:color w:val="auto"/>
        </w:rPr>
      </w:pPr>
      <w:bookmarkStart w:id="2181" w:name="_Toc17741"/>
      <w:r>
        <w:rPr>
          <w:rFonts w:hint="default" w:ascii="Times New Roman" w:hAnsi="Times New Roman" w:eastAsia="宋体" w:cs="Times New Roman"/>
          <w:b/>
          <w:bCs/>
          <w:color w:val="auto"/>
          <w:kern w:val="0"/>
          <w:sz w:val="21"/>
          <w:szCs w:val="21"/>
          <w:lang w:val="en-US" w:eastAsia="zh-CN" w:bidi="ar"/>
        </w:rPr>
        <w:t>表6.3-1  医疗机构排污单位污水可行技术参照表</w:t>
      </w:r>
    </w:p>
    <w:tbl>
      <w:tblPr>
        <w:tblStyle w:val="21"/>
        <w:tblW w:w="851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527"/>
        <w:gridCol w:w="1764"/>
        <w:gridCol w:w="3562"/>
      </w:tblGrid>
      <w:tr w14:paraId="4175AB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193" w:type="dxa"/>
            <w:gridSpan w:val="2"/>
            <w:shd w:val="clear" w:color="auto" w:fill="D7D7D7" w:themeFill="background1" w:themeFillShade="D8"/>
            <w:vAlign w:val="center"/>
          </w:tcPr>
          <w:p w14:paraId="49E9A94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污水类别</w:t>
            </w:r>
          </w:p>
        </w:tc>
        <w:tc>
          <w:tcPr>
            <w:tcW w:w="1764" w:type="dxa"/>
            <w:shd w:val="clear" w:color="auto" w:fill="D7D7D7" w:themeFill="background1" w:themeFillShade="D8"/>
            <w:vAlign w:val="center"/>
          </w:tcPr>
          <w:p w14:paraId="37C266A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排放去向</w:t>
            </w:r>
          </w:p>
        </w:tc>
        <w:tc>
          <w:tcPr>
            <w:tcW w:w="3562" w:type="dxa"/>
            <w:shd w:val="clear" w:color="auto" w:fill="D7D7D7" w:themeFill="background1" w:themeFillShade="D8"/>
            <w:vAlign w:val="center"/>
          </w:tcPr>
          <w:p w14:paraId="087444B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可行技术</w:t>
            </w:r>
          </w:p>
        </w:tc>
      </w:tr>
      <w:tr w14:paraId="3CB330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193" w:type="dxa"/>
            <w:gridSpan w:val="2"/>
            <w:vMerge w:val="restart"/>
            <w:vAlign w:val="center"/>
          </w:tcPr>
          <w:p w14:paraId="3A8B77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医疗污水</w:t>
            </w:r>
          </w:p>
        </w:tc>
        <w:tc>
          <w:tcPr>
            <w:tcW w:w="1764" w:type="dxa"/>
            <w:vAlign w:val="center"/>
          </w:tcPr>
          <w:p w14:paraId="0A019F8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进入海域、江、河、湖库等地表水</w:t>
            </w:r>
          </w:p>
        </w:tc>
        <w:tc>
          <w:tcPr>
            <w:tcW w:w="3562" w:type="dxa"/>
            <w:vAlign w:val="center"/>
          </w:tcPr>
          <w:p w14:paraId="6A4DB16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二级处理/深度处理+消毒工艺。</w:t>
            </w:r>
          </w:p>
          <w:p w14:paraId="4E65ADF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二级处理包括：活性污泥法；生物膜法。</w:t>
            </w:r>
          </w:p>
          <w:p w14:paraId="640640C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深度处理包括：絮凝沉淀法；砂滤法；活性炭法；臭氧氧化法；膜分离法；生物脱氮除磷法。</w:t>
            </w:r>
          </w:p>
          <w:p w14:paraId="33B43D2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消毒工艺：加氯消毒，臭氧法消毒，次氯酸钠法、二氧化氯法消毒、紫外线消毒等。</w:t>
            </w:r>
          </w:p>
        </w:tc>
      </w:tr>
      <w:tr w14:paraId="78F3DB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193" w:type="dxa"/>
            <w:gridSpan w:val="2"/>
            <w:vMerge w:val="continue"/>
            <w:vAlign w:val="center"/>
          </w:tcPr>
          <w:p w14:paraId="19DC5DB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p>
        </w:tc>
        <w:tc>
          <w:tcPr>
            <w:tcW w:w="1764" w:type="dxa"/>
            <w:vAlign w:val="center"/>
          </w:tcPr>
          <w:p w14:paraId="570A1AB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排入城镇污水处理厂</w:t>
            </w:r>
          </w:p>
        </w:tc>
        <w:tc>
          <w:tcPr>
            <w:tcW w:w="3562" w:type="dxa"/>
            <w:vAlign w:val="center"/>
          </w:tcPr>
          <w:p w14:paraId="54B5622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一级处理/一级强化处理+消毒工艺。</w:t>
            </w:r>
          </w:p>
          <w:p w14:paraId="6F072AC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一级处理包括：筛滤法；沉淀法；气浮法；预曝气法。</w:t>
            </w:r>
          </w:p>
          <w:p w14:paraId="0D4DDD2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一级强化处理包括：化学混凝处理、机械过滤或不完全生物处理。</w:t>
            </w:r>
          </w:p>
          <w:p w14:paraId="11D8CD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消毒工艺：加氯消毒，臭氧法消毒，次氯酸钠法、二氧化氯法消毒、紫外线消毒等。</w:t>
            </w:r>
          </w:p>
        </w:tc>
      </w:tr>
      <w:tr w14:paraId="44BC2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193" w:type="dxa"/>
            <w:gridSpan w:val="2"/>
            <w:vAlign w:val="center"/>
          </w:tcPr>
          <w:p w14:paraId="5BC60F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传染病、结核病专科医院的医疗污水</w:t>
            </w:r>
          </w:p>
        </w:tc>
        <w:tc>
          <w:tcPr>
            <w:tcW w:w="1764" w:type="dxa"/>
            <w:vAlign w:val="center"/>
          </w:tcPr>
          <w:p w14:paraId="14676CE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进入海域、江、河、湖库等地表水或城镇污水处理厂</w:t>
            </w:r>
          </w:p>
        </w:tc>
        <w:tc>
          <w:tcPr>
            <w:tcW w:w="3562" w:type="dxa"/>
            <w:vAlign w:val="center"/>
          </w:tcPr>
          <w:p w14:paraId="69C7197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二级处理/深度处理+消毒工艺。</w:t>
            </w:r>
          </w:p>
          <w:p w14:paraId="698646A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二级处理包括：活性污泥法；生物膜法。</w:t>
            </w:r>
          </w:p>
          <w:p w14:paraId="1889431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深度处理包括：絮凝沉淀法；砂滤法；活性炭法；臭氧氧化法；膜分离法；生物脱氮除磷法。</w:t>
            </w:r>
          </w:p>
          <w:p w14:paraId="5289EC9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消毒工艺：加氯消毒，臭氧法消毒，次氯酸钠法、二氧化氯法消毒、紫外线消毒等。</w:t>
            </w:r>
          </w:p>
        </w:tc>
      </w:tr>
      <w:tr w14:paraId="307CE7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66" w:type="dxa"/>
            <w:vAlign w:val="center"/>
          </w:tcPr>
          <w:p w14:paraId="1CBE0D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特殊医疗污水</w:t>
            </w:r>
          </w:p>
        </w:tc>
        <w:tc>
          <w:tcPr>
            <w:tcW w:w="2527" w:type="dxa"/>
            <w:vAlign w:val="center"/>
          </w:tcPr>
          <w:p w14:paraId="73281E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感染性疾病科传染性污水；低放射性污水；口腔科含汞污水；实验室、检验室有机、无机、重金属污水；洗相室重金属污水</w:t>
            </w:r>
          </w:p>
        </w:tc>
        <w:tc>
          <w:tcPr>
            <w:tcW w:w="1764" w:type="dxa"/>
            <w:vAlign w:val="center"/>
          </w:tcPr>
          <w:p w14:paraId="27A7290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进入院区综合污水处理站</w:t>
            </w:r>
          </w:p>
        </w:tc>
        <w:tc>
          <w:tcPr>
            <w:tcW w:w="3562" w:type="dxa"/>
            <w:vAlign w:val="center"/>
          </w:tcPr>
          <w:p w14:paraId="5E67599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根据污染物特征，采用消毒工艺、衰变池、中和法、吸附法、溶剂萃取法、离子交换法、氧化分解法、分离法等。</w:t>
            </w:r>
          </w:p>
        </w:tc>
      </w:tr>
      <w:tr w14:paraId="7F4E2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193" w:type="dxa"/>
            <w:gridSpan w:val="2"/>
            <w:vMerge w:val="restart"/>
            <w:vAlign w:val="center"/>
          </w:tcPr>
          <w:p w14:paraId="1AB73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生活污水</w:t>
            </w:r>
          </w:p>
        </w:tc>
        <w:tc>
          <w:tcPr>
            <w:tcW w:w="1764" w:type="dxa"/>
            <w:vAlign w:val="center"/>
          </w:tcPr>
          <w:p w14:paraId="4763EFC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进入海域、江、河、湖库等地表水</w:t>
            </w:r>
          </w:p>
        </w:tc>
        <w:tc>
          <w:tcPr>
            <w:tcW w:w="3562" w:type="dxa"/>
            <w:vAlign w:val="center"/>
          </w:tcPr>
          <w:p w14:paraId="7C618D6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二级处理：生物滤池；活性污泥法；生物膜法。</w:t>
            </w:r>
          </w:p>
          <w:p w14:paraId="7C18A8A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深度处理：絮凝沉淀法；砂滤法；活性炭法；臭氧氧化法；膜分离</w:t>
            </w:r>
          </w:p>
          <w:p w14:paraId="7ABF1C0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法；离子交换法；电解处理；湿式氧化法；催化氧化法；蒸发浓缩法、生物脱氮、脱磷法。</w:t>
            </w:r>
          </w:p>
        </w:tc>
      </w:tr>
      <w:tr w14:paraId="70FE7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93" w:type="dxa"/>
            <w:gridSpan w:val="2"/>
            <w:vMerge w:val="continue"/>
            <w:vAlign w:val="center"/>
          </w:tcPr>
          <w:p w14:paraId="519A2FAA">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rPr>
            </w:pPr>
          </w:p>
        </w:tc>
        <w:tc>
          <w:tcPr>
            <w:tcW w:w="1764" w:type="dxa"/>
            <w:vAlign w:val="center"/>
          </w:tcPr>
          <w:p w14:paraId="682F82B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排入城镇污水处理厂</w:t>
            </w:r>
          </w:p>
        </w:tc>
        <w:tc>
          <w:tcPr>
            <w:tcW w:w="3562" w:type="dxa"/>
            <w:vAlign w:val="center"/>
          </w:tcPr>
          <w:p w14:paraId="44E3DDF3">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14:paraId="6139A118">
      <w:pPr>
        <w:keepNext w:val="0"/>
        <w:keepLines w:val="0"/>
        <w:pageBreakBefore w:val="0"/>
        <w:widowControl/>
        <w:suppressLineNumbers w:val="0"/>
        <w:kinsoku/>
        <w:overflowPunct/>
        <w:topLinePunct w:val="0"/>
        <w:autoSpaceDE/>
        <w:autoSpaceDN/>
        <w:bidi w:val="0"/>
        <w:adjustRightInd/>
        <w:snapToGrid/>
        <w:spacing w:line="360" w:lineRule="auto"/>
        <w:ind w:firstLine="230" w:firstLineChars="100"/>
        <w:jc w:val="left"/>
        <w:textAlignment w:val="auto"/>
        <w:outlineLvl w:val="1"/>
        <w:rPr>
          <w:rFonts w:hint="default" w:ascii="Times New Roman" w:hAnsi="Times New Roman" w:eastAsia="宋体" w:cs="Times New Roman"/>
          <w:color w:val="auto"/>
          <w:kern w:val="0"/>
          <w:sz w:val="23"/>
          <w:szCs w:val="23"/>
          <w:lang w:val="en-US" w:eastAsia="zh-CN" w:bidi="ar"/>
        </w:rPr>
      </w:pPr>
      <w:bookmarkStart w:id="2182" w:name="_Toc30796"/>
      <w:bookmarkStart w:id="2183" w:name="_Toc27507"/>
      <w:bookmarkStart w:id="2184" w:name="_Toc16116"/>
      <w:r>
        <w:rPr>
          <w:rFonts w:hint="default" w:ascii="Times New Roman" w:hAnsi="Times New Roman" w:eastAsia="宋体" w:cs="Times New Roman"/>
          <w:color w:val="auto"/>
          <w:kern w:val="0"/>
          <w:sz w:val="23"/>
          <w:szCs w:val="23"/>
          <w:lang w:val="en-US" w:eastAsia="zh-CN" w:bidi="ar"/>
        </w:rPr>
        <w:t>（6）污水接管可行性分析</w:t>
      </w:r>
      <w:bookmarkEnd w:id="2181"/>
      <w:bookmarkEnd w:id="2182"/>
      <w:bookmarkEnd w:id="2183"/>
      <w:bookmarkEnd w:id="2184"/>
    </w:p>
    <w:p w14:paraId="7CC6D6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bookmarkStart w:id="2185" w:name="_Toc2004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项目污水处理站设计处理水量</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vertAlign w:val="baseline"/>
          <w:lang w:val="en-US" w:eastAsia="zh-CN"/>
        </w:rPr>
        <w:t>/d，</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污水经院内污水处理站处理达《医疗机构水污染物排放标准》（GB18466-2015）预处理标准及《污水排入城镇下水道水质标准》（GB/T31962-2015）表（1）标准后接入西南侧市政管网，然后排入大英县城市生活污水处理厂出水达到《四川省岷江、沱江流域水污染物排放标准》（DB51/2311-2016）中“城镇污水处理厂”标准，其中TP、粪大肠菌群数、石油类等指标达《地表水环境质量标准》（GB3838-2002）III类相关要求</w:t>
      </w:r>
      <w:r>
        <w:rPr>
          <w:rFonts w:hint="default" w:ascii="Times New Roman" w:hAnsi="Times New Roman" w:eastAsia="宋体" w:cs="Times New Roman"/>
          <w:color w:val="auto"/>
          <w:sz w:val="24"/>
          <w:szCs w:val="24"/>
          <w:lang w:val="en-US" w:eastAsia="zh-CN"/>
        </w:rPr>
        <w:t>后排入郪江。</w:t>
      </w:r>
      <w:r>
        <w:rPr>
          <w:rFonts w:hint="default" w:ascii="Times New Roman" w:hAnsi="Times New Roman" w:eastAsia="宋体" w:cs="Times New Roman"/>
          <w:bCs/>
          <w:color w:val="auto"/>
          <w:sz w:val="24"/>
          <w:szCs w:val="24"/>
          <w:highlight w:val="none"/>
          <w:lang w:val="en-US" w:eastAsia="zh-CN"/>
        </w:rPr>
        <w:t>项目附近雨污管网为大英县旅游基础设施（一期）二标段医院路工程，该</w:t>
      </w:r>
      <w:r>
        <w:rPr>
          <w:rFonts w:hint="eastAsia" w:ascii="Times New Roman" w:hAnsi="Times New Roman" w:eastAsia="宋体" w:cs="Times New Roman"/>
          <w:bCs/>
          <w:color w:val="auto"/>
          <w:sz w:val="24"/>
          <w:szCs w:val="24"/>
          <w:highlight w:val="none"/>
          <w:lang w:val="en-US" w:eastAsia="zh-CN"/>
        </w:rPr>
        <w:t>工程</w:t>
      </w:r>
      <w:r>
        <w:rPr>
          <w:rFonts w:hint="default" w:ascii="Times New Roman" w:hAnsi="Times New Roman" w:eastAsia="宋体" w:cs="Times New Roman"/>
          <w:bCs/>
          <w:color w:val="auto"/>
          <w:sz w:val="24"/>
          <w:szCs w:val="24"/>
          <w:highlight w:val="none"/>
          <w:lang w:val="en-US" w:eastAsia="zh-CN"/>
        </w:rPr>
        <w:t>属于遂宁市中国死海旅游度假区建设范围，工程预计在2023年11月完工，本项目建成后运营期污水能够接入该段市政管网。</w:t>
      </w:r>
    </w:p>
    <w:p w14:paraId="376751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大英县城市生活污水处理厂位于大英县工业集中发展区红花坝村，</w:t>
      </w:r>
      <w:r>
        <w:rPr>
          <w:rFonts w:hint="default" w:ascii="Times New Roman" w:hAnsi="Times New Roman" w:eastAsia="宋体" w:cs="Times New Roman"/>
          <w:color w:val="auto"/>
          <w:kern w:val="0"/>
          <w:sz w:val="24"/>
          <w:szCs w:val="24"/>
        </w:rPr>
        <w:t>服务区域主要为大英县中心城区，远期改扩建后服务区域为大英主城区、文化产业新新片区，收纳处理污水主要为城市生活污水，总服务面积约3245hm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val="0"/>
          <w:color w:val="auto"/>
          <w:sz w:val="24"/>
          <w:szCs w:val="24"/>
          <w:highlight w:val="none"/>
          <w:lang w:val="en-US" w:eastAsia="zh-CN"/>
        </w:rPr>
        <w:t>大英县城市生活污水处理厂</w:t>
      </w:r>
      <w:r>
        <w:rPr>
          <w:rFonts w:hint="default" w:ascii="Times New Roman" w:hAnsi="Times New Roman" w:eastAsia="宋体" w:cs="Times New Roman"/>
          <w:color w:val="auto"/>
          <w:kern w:val="0"/>
          <w:sz w:val="24"/>
          <w:szCs w:val="24"/>
          <w:lang w:val="en-US" w:eastAsia="zh-CN"/>
        </w:rPr>
        <w:t>污水处理厂</w:t>
      </w:r>
      <w:r>
        <w:rPr>
          <w:rFonts w:hint="default" w:ascii="Times New Roman" w:hAnsi="Times New Roman" w:eastAsia="宋体" w:cs="Times New Roman"/>
          <w:color w:val="auto"/>
          <w:kern w:val="0"/>
          <w:sz w:val="24"/>
          <w:szCs w:val="24"/>
        </w:rPr>
        <w:t>总规模达到3万m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采用</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/O脱氮除磷工艺+高效沉淀池+反硝化深床滤池+紫外线消毒工艺为主体的三级深度生化处理工艺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rPr>
        <w:t>出水水质执行《四川省岷江、沱江流域水污染物排放标准》中城镇污水处理厂排放标准，并对TP、粪大肠菌群数、石油类等指标进行控制使其达《地表水环境质量标准》（GB3838-2002）III类相关要求，尾水排入郪江。</w:t>
      </w:r>
      <w:r>
        <w:rPr>
          <w:rFonts w:hint="default" w:ascii="Times New Roman" w:hAnsi="Times New Roman" w:eastAsia="宋体" w:cs="Times New Roman"/>
          <w:color w:val="auto"/>
          <w:kern w:val="0"/>
          <w:sz w:val="24"/>
          <w:szCs w:val="24"/>
          <w:lang w:val="en-US" w:eastAsia="zh-CN"/>
        </w:rPr>
        <w:t>据下表可知，本项目排放标准能够满足</w:t>
      </w:r>
      <w:r>
        <w:rPr>
          <w:rFonts w:hint="default" w:ascii="Times New Roman" w:hAnsi="Times New Roman" w:eastAsia="宋体" w:cs="Times New Roman"/>
          <w:b w:val="0"/>
          <w:bCs w:val="0"/>
          <w:color w:val="auto"/>
          <w:sz w:val="24"/>
          <w:szCs w:val="24"/>
          <w:highlight w:val="none"/>
          <w:lang w:val="en-US" w:eastAsia="zh-CN"/>
        </w:rPr>
        <w:t>大英县城市生活污水处理厂进水水质要求。</w:t>
      </w:r>
    </w:p>
    <w:p w14:paraId="7D5198ED">
      <w:pPr>
        <w:pStyle w:val="2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表6.3-2  本项目排水水质与</w:t>
      </w:r>
      <w:r>
        <w:rPr>
          <w:rFonts w:hint="eastAsia" w:ascii="宋体" w:hAnsi="宋体" w:eastAsia="宋体" w:cs="宋体"/>
          <w:b/>
          <w:bCs/>
          <w:color w:val="auto"/>
          <w:kern w:val="0"/>
          <w:sz w:val="21"/>
          <w:szCs w:val="21"/>
          <w:vertAlign w:val="baseline"/>
          <w:lang w:val="en-US" w:eastAsia="zh-CN"/>
        </w:rPr>
        <w:t>大英县城市生活污水处理厂设计进水水质比较</w:t>
      </w:r>
    </w:p>
    <w:tbl>
      <w:tblPr>
        <w:tblStyle w:val="21"/>
        <w:tblW w:w="515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08"/>
        <w:gridCol w:w="1383"/>
        <w:gridCol w:w="1063"/>
        <w:gridCol w:w="1084"/>
        <w:gridCol w:w="1214"/>
        <w:gridCol w:w="1042"/>
        <w:gridCol w:w="1079"/>
      </w:tblGrid>
      <w:tr w14:paraId="7790F9D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7" w:type="pct"/>
            <w:tcBorders>
              <w:tl2br w:val="nil"/>
              <w:tr2bl w:val="nil"/>
            </w:tcBorders>
            <w:shd w:val="clear" w:color="auto" w:fill="D7D7D7" w:themeFill="background1" w:themeFillShade="D8"/>
            <w:noWrap w:val="0"/>
            <w:vAlign w:val="center"/>
          </w:tcPr>
          <w:p w14:paraId="6C52234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kern w:val="0"/>
                <w:sz w:val="21"/>
                <w:szCs w:val="21"/>
                <w:vertAlign w:val="baseline"/>
                <w:lang w:val="zh-CN"/>
              </w:rPr>
              <w:t>指标</w:t>
            </w:r>
          </w:p>
        </w:tc>
        <w:tc>
          <w:tcPr>
            <w:tcW w:w="788" w:type="pct"/>
            <w:tcBorders>
              <w:tl2br w:val="nil"/>
              <w:tr2bl w:val="nil"/>
            </w:tcBorders>
            <w:shd w:val="clear" w:color="auto" w:fill="D7D7D7" w:themeFill="background1" w:themeFillShade="D8"/>
            <w:noWrap w:val="0"/>
            <w:vAlign w:val="center"/>
          </w:tcPr>
          <w:p w14:paraId="1EE2E0B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sz w:val="21"/>
                <w:szCs w:val="21"/>
              </w:rPr>
              <w:t>COD（mg/L）</w:t>
            </w:r>
          </w:p>
        </w:tc>
        <w:tc>
          <w:tcPr>
            <w:tcW w:w="605" w:type="pct"/>
            <w:tcBorders>
              <w:tl2br w:val="nil"/>
              <w:tr2bl w:val="nil"/>
            </w:tcBorders>
            <w:shd w:val="clear" w:color="auto" w:fill="D7D7D7" w:themeFill="background1" w:themeFillShade="D8"/>
            <w:noWrap w:val="0"/>
            <w:vAlign w:val="center"/>
          </w:tcPr>
          <w:p w14:paraId="252D243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r>
              <w:rPr>
                <w:rFonts w:hint="default" w:ascii="Times New Roman" w:hAnsi="Times New Roman" w:eastAsia="宋体" w:cs="Times New Roman"/>
                <w:b/>
                <w:bCs/>
                <w:color w:val="auto"/>
                <w:sz w:val="21"/>
                <w:szCs w:val="21"/>
              </w:rPr>
              <w:t>（mg/L）</w:t>
            </w:r>
          </w:p>
        </w:tc>
        <w:tc>
          <w:tcPr>
            <w:tcW w:w="617" w:type="pct"/>
            <w:tcBorders>
              <w:tl2br w:val="nil"/>
              <w:tr2bl w:val="nil"/>
            </w:tcBorders>
            <w:shd w:val="clear" w:color="auto" w:fill="D7D7D7" w:themeFill="background1" w:themeFillShade="D8"/>
            <w:noWrap w:val="0"/>
            <w:vAlign w:val="center"/>
          </w:tcPr>
          <w:p w14:paraId="091BEEC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SS（mg/L）</w:t>
            </w:r>
          </w:p>
        </w:tc>
        <w:tc>
          <w:tcPr>
            <w:tcW w:w="691" w:type="pct"/>
            <w:tcBorders>
              <w:tl2br w:val="nil"/>
              <w:tr2bl w:val="nil"/>
            </w:tcBorders>
            <w:shd w:val="clear" w:color="auto" w:fill="D7D7D7" w:themeFill="background1" w:themeFillShade="D8"/>
            <w:noWrap w:val="0"/>
            <w:vAlign w:val="center"/>
          </w:tcPr>
          <w:p w14:paraId="73E0FDA1">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-N（mg/L）</w:t>
            </w:r>
          </w:p>
        </w:tc>
        <w:tc>
          <w:tcPr>
            <w:tcW w:w="593" w:type="pct"/>
            <w:tcBorders>
              <w:tl2br w:val="nil"/>
              <w:tr2bl w:val="nil"/>
            </w:tcBorders>
            <w:shd w:val="clear" w:color="auto" w:fill="D7D7D7" w:themeFill="background1" w:themeFillShade="D8"/>
            <w:noWrap w:val="0"/>
            <w:vAlign w:val="center"/>
          </w:tcPr>
          <w:p w14:paraId="3ABF25B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r>
              <w:rPr>
                <w:rFonts w:hint="default" w:ascii="Times New Roman" w:hAnsi="Times New Roman" w:eastAsia="宋体" w:cs="Times New Roman"/>
                <w:b/>
                <w:bCs/>
                <w:color w:val="auto"/>
                <w:sz w:val="21"/>
                <w:szCs w:val="21"/>
              </w:rPr>
              <w:t>（mg/L）</w:t>
            </w:r>
          </w:p>
        </w:tc>
        <w:tc>
          <w:tcPr>
            <w:tcW w:w="614" w:type="pct"/>
            <w:tcBorders>
              <w:tl2br w:val="nil"/>
              <w:tr2bl w:val="nil"/>
            </w:tcBorders>
            <w:shd w:val="clear" w:color="auto" w:fill="D7D7D7" w:themeFill="background1" w:themeFillShade="D8"/>
            <w:noWrap w:val="0"/>
            <w:vAlign w:val="center"/>
          </w:tcPr>
          <w:p w14:paraId="5BE7627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color w:val="auto"/>
                <w:kern w:val="0"/>
                <w:sz w:val="21"/>
                <w:szCs w:val="21"/>
                <w:vertAlign w:val="baseline"/>
                <w:lang w:val="zh-CN"/>
              </w:rPr>
            </w:pPr>
            <w:r>
              <w:rPr>
                <w:rFonts w:hint="default" w:ascii="Times New Roman" w:hAnsi="Times New Roman" w:eastAsia="宋体" w:cs="Times New Roman"/>
                <w:b/>
                <w:bCs/>
                <w:color w:val="auto"/>
                <w:kern w:val="0"/>
                <w:sz w:val="21"/>
                <w:szCs w:val="21"/>
                <w:vertAlign w:val="baseline"/>
                <w:lang w:val="zh-CN"/>
              </w:rPr>
              <w:t>粪大肠杆菌（个</w:t>
            </w:r>
            <w:r>
              <w:rPr>
                <w:rFonts w:hint="default" w:ascii="Times New Roman" w:hAnsi="Times New Roman" w:eastAsia="宋体" w:cs="Times New Roman"/>
                <w:b/>
                <w:bCs/>
                <w:color w:val="auto"/>
                <w:sz w:val="21"/>
                <w:szCs w:val="21"/>
              </w:rPr>
              <w:t>/L</w:t>
            </w:r>
            <w:r>
              <w:rPr>
                <w:rFonts w:hint="default" w:ascii="Times New Roman" w:hAnsi="Times New Roman" w:eastAsia="宋体" w:cs="Times New Roman"/>
                <w:b/>
                <w:bCs/>
                <w:color w:val="auto"/>
                <w:kern w:val="0"/>
                <w:sz w:val="21"/>
                <w:szCs w:val="21"/>
                <w:vertAlign w:val="baseline"/>
                <w:lang w:val="zh-CN"/>
              </w:rPr>
              <w:t>）</w:t>
            </w:r>
          </w:p>
        </w:tc>
      </w:tr>
      <w:tr w14:paraId="11F0338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7" w:type="pct"/>
            <w:tcBorders>
              <w:tl2br w:val="nil"/>
              <w:tr2bl w:val="nil"/>
            </w:tcBorders>
            <w:noWrap w:val="0"/>
            <w:vAlign w:val="center"/>
          </w:tcPr>
          <w:p w14:paraId="4C4EDC7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zh-CN"/>
              </w:rPr>
              <w:t>本项目</w:t>
            </w:r>
            <w:r>
              <w:rPr>
                <w:rFonts w:hint="default" w:ascii="Times New Roman" w:hAnsi="Times New Roman" w:eastAsia="宋体" w:cs="Times New Roman"/>
                <w:b w:val="0"/>
                <w:bCs w:val="0"/>
                <w:color w:val="auto"/>
                <w:kern w:val="0"/>
                <w:sz w:val="21"/>
                <w:szCs w:val="21"/>
                <w:vertAlign w:val="baseline"/>
                <w:lang w:val="en-US" w:eastAsia="zh-CN"/>
              </w:rPr>
              <w:t>排放水质</w:t>
            </w:r>
          </w:p>
        </w:tc>
        <w:tc>
          <w:tcPr>
            <w:tcW w:w="788" w:type="pct"/>
            <w:tcBorders>
              <w:tl2br w:val="nil"/>
              <w:tr2bl w:val="nil"/>
            </w:tcBorders>
            <w:noWrap w:val="0"/>
            <w:vAlign w:val="center"/>
          </w:tcPr>
          <w:p w14:paraId="5D60EEE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250</w:t>
            </w:r>
          </w:p>
        </w:tc>
        <w:tc>
          <w:tcPr>
            <w:tcW w:w="605" w:type="pct"/>
            <w:tcBorders>
              <w:tl2br w:val="nil"/>
              <w:tr2bl w:val="nil"/>
            </w:tcBorders>
            <w:noWrap w:val="0"/>
            <w:vAlign w:val="center"/>
          </w:tcPr>
          <w:p w14:paraId="6E8CCD2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zh-CN"/>
              </w:rPr>
            </w:pPr>
            <w:r>
              <w:rPr>
                <w:rFonts w:hint="default" w:ascii="Times New Roman" w:hAnsi="Times New Roman" w:eastAsia="宋体" w:cs="Times New Roman"/>
                <w:b w:val="0"/>
                <w:bCs w:val="0"/>
                <w:color w:val="auto"/>
                <w:kern w:val="0"/>
                <w:sz w:val="21"/>
                <w:szCs w:val="21"/>
                <w:vertAlign w:val="baseline"/>
                <w:lang w:val="en-US" w:eastAsia="zh-CN"/>
              </w:rPr>
              <w:t>100</w:t>
            </w:r>
          </w:p>
        </w:tc>
        <w:tc>
          <w:tcPr>
            <w:tcW w:w="617" w:type="pct"/>
            <w:tcBorders>
              <w:tl2br w:val="nil"/>
              <w:tr2bl w:val="nil"/>
            </w:tcBorders>
            <w:noWrap w:val="0"/>
            <w:vAlign w:val="center"/>
          </w:tcPr>
          <w:p w14:paraId="7477CF8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rPr>
            </w:pPr>
            <w:r>
              <w:rPr>
                <w:rFonts w:hint="default" w:ascii="Times New Roman" w:hAnsi="Times New Roman" w:eastAsia="宋体" w:cs="Times New Roman"/>
                <w:b w:val="0"/>
                <w:bCs w:val="0"/>
                <w:color w:val="auto"/>
                <w:kern w:val="0"/>
                <w:sz w:val="21"/>
                <w:szCs w:val="21"/>
                <w:vertAlign w:val="baseline"/>
                <w:lang w:val="en-US" w:eastAsia="zh-CN"/>
              </w:rPr>
              <w:t>60</w:t>
            </w:r>
          </w:p>
        </w:tc>
        <w:tc>
          <w:tcPr>
            <w:tcW w:w="691" w:type="pct"/>
            <w:tcBorders>
              <w:tl2br w:val="nil"/>
              <w:tr2bl w:val="nil"/>
            </w:tcBorders>
            <w:noWrap w:val="0"/>
            <w:vAlign w:val="center"/>
          </w:tcPr>
          <w:p w14:paraId="0B1485C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rPr>
            </w:pPr>
            <w:r>
              <w:rPr>
                <w:rFonts w:hint="default" w:ascii="Times New Roman" w:hAnsi="Times New Roman" w:eastAsia="宋体" w:cs="Times New Roman"/>
                <w:b w:val="0"/>
                <w:bCs w:val="0"/>
                <w:color w:val="auto"/>
                <w:kern w:val="0"/>
                <w:sz w:val="21"/>
                <w:szCs w:val="21"/>
                <w:vertAlign w:val="baseline"/>
                <w:lang w:val="en-US" w:eastAsia="zh-CN"/>
              </w:rPr>
              <w:t>25</w:t>
            </w:r>
          </w:p>
        </w:tc>
        <w:tc>
          <w:tcPr>
            <w:tcW w:w="593" w:type="pct"/>
            <w:tcBorders>
              <w:tl2br w:val="nil"/>
              <w:tr2bl w:val="nil"/>
            </w:tcBorders>
            <w:noWrap w:val="0"/>
            <w:vAlign w:val="center"/>
          </w:tcPr>
          <w:p w14:paraId="484BF1D3">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4</w:t>
            </w:r>
          </w:p>
        </w:tc>
        <w:tc>
          <w:tcPr>
            <w:tcW w:w="614" w:type="pct"/>
            <w:tcBorders>
              <w:tl2br w:val="nil"/>
              <w:tr2bl w:val="nil"/>
            </w:tcBorders>
            <w:noWrap w:val="0"/>
            <w:vAlign w:val="center"/>
          </w:tcPr>
          <w:p w14:paraId="6DF3DF28">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5000</w:t>
            </w:r>
          </w:p>
        </w:tc>
      </w:tr>
      <w:tr w14:paraId="3096FC8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7" w:type="pct"/>
            <w:tcBorders>
              <w:tl2br w:val="nil"/>
              <w:tr2bl w:val="nil"/>
            </w:tcBorders>
            <w:noWrap w:val="0"/>
            <w:vAlign w:val="center"/>
          </w:tcPr>
          <w:p w14:paraId="4087EA6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大英县城市生活污水处理厂设计进水水质</w:t>
            </w:r>
          </w:p>
        </w:tc>
        <w:tc>
          <w:tcPr>
            <w:tcW w:w="788" w:type="pct"/>
            <w:tcBorders>
              <w:tl2br w:val="nil"/>
              <w:tr2bl w:val="nil"/>
            </w:tcBorders>
            <w:noWrap w:val="0"/>
            <w:vAlign w:val="center"/>
          </w:tcPr>
          <w:p w14:paraId="2E5E40E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sz w:val="21"/>
                <w:szCs w:val="21"/>
              </w:rPr>
              <w:t>350</w:t>
            </w:r>
          </w:p>
        </w:tc>
        <w:tc>
          <w:tcPr>
            <w:tcW w:w="605" w:type="pct"/>
            <w:tcBorders>
              <w:tl2br w:val="nil"/>
              <w:tr2bl w:val="nil"/>
            </w:tcBorders>
            <w:noWrap w:val="0"/>
            <w:vAlign w:val="center"/>
          </w:tcPr>
          <w:p w14:paraId="3CD6B87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sz w:val="21"/>
                <w:szCs w:val="21"/>
              </w:rPr>
              <w:t>180</w:t>
            </w:r>
          </w:p>
        </w:tc>
        <w:tc>
          <w:tcPr>
            <w:tcW w:w="617" w:type="pct"/>
            <w:tcBorders>
              <w:tl2br w:val="nil"/>
              <w:tr2bl w:val="nil"/>
            </w:tcBorders>
            <w:noWrap w:val="0"/>
            <w:vAlign w:val="center"/>
          </w:tcPr>
          <w:p w14:paraId="5EAB707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sz w:val="21"/>
                <w:szCs w:val="21"/>
              </w:rPr>
              <w:t>200</w:t>
            </w:r>
          </w:p>
        </w:tc>
        <w:tc>
          <w:tcPr>
            <w:tcW w:w="691" w:type="pct"/>
            <w:tcBorders>
              <w:tl2br w:val="nil"/>
              <w:tr2bl w:val="nil"/>
            </w:tcBorders>
            <w:noWrap w:val="0"/>
            <w:vAlign w:val="center"/>
          </w:tcPr>
          <w:p w14:paraId="0BFF4B6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sz w:val="21"/>
                <w:szCs w:val="21"/>
              </w:rPr>
              <w:t>28</w:t>
            </w:r>
          </w:p>
        </w:tc>
        <w:tc>
          <w:tcPr>
            <w:tcW w:w="593" w:type="pct"/>
            <w:tcBorders>
              <w:tl2br w:val="nil"/>
              <w:tr2bl w:val="nil"/>
            </w:tcBorders>
            <w:noWrap w:val="0"/>
            <w:vAlign w:val="center"/>
          </w:tcPr>
          <w:p w14:paraId="682312A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w:t>
            </w:r>
          </w:p>
        </w:tc>
        <w:tc>
          <w:tcPr>
            <w:tcW w:w="614" w:type="pct"/>
            <w:tcBorders>
              <w:tl2br w:val="nil"/>
              <w:tr2bl w:val="nil"/>
            </w:tcBorders>
            <w:noWrap w:val="0"/>
            <w:vAlign w:val="center"/>
          </w:tcPr>
          <w:p w14:paraId="724F5D00">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w:t>
            </w:r>
          </w:p>
        </w:tc>
      </w:tr>
    </w:tbl>
    <w:p w14:paraId="2254087A">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本项目</w:t>
      </w:r>
      <w:r>
        <w:rPr>
          <w:rFonts w:hint="eastAsia" w:ascii="Times New Roman" w:hAnsi="Times New Roman" w:eastAsia="宋体" w:cs="Times New Roman"/>
          <w:bCs/>
          <w:color w:val="auto"/>
          <w:sz w:val="24"/>
          <w:szCs w:val="24"/>
          <w:highlight w:val="none"/>
          <w:lang w:val="en-US" w:eastAsia="zh-CN"/>
        </w:rPr>
        <w:t>位于大英县文旅产业园区，</w:t>
      </w:r>
      <w:r>
        <w:rPr>
          <w:rFonts w:hint="default" w:ascii="Times New Roman" w:hAnsi="Times New Roman" w:eastAsia="宋体" w:cs="Times New Roman"/>
          <w:bCs/>
          <w:color w:val="auto"/>
          <w:sz w:val="24"/>
          <w:szCs w:val="24"/>
          <w:highlight w:val="none"/>
          <w:lang w:val="en-US" w:eastAsia="zh-CN"/>
        </w:rPr>
        <w:t>在</w:t>
      </w:r>
      <w:r>
        <w:rPr>
          <w:rFonts w:hint="default" w:ascii="Times New Roman" w:hAnsi="Times New Roman" w:eastAsia="宋体" w:cs="Times New Roman"/>
          <w:b w:val="0"/>
          <w:bCs w:val="0"/>
          <w:color w:val="auto"/>
          <w:kern w:val="0"/>
          <w:sz w:val="24"/>
          <w:szCs w:val="24"/>
          <w:vertAlign w:val="baseline"/>
          <w:lang w:val="en-US" w:eastAsia="zh-CN"/>
        </w:rPr>
        <w:t>大英县城市生活污水处理厂</w:t>
      </w:r>
      <w:r>
        <w:rPr>
          <w:rFonts w:hint="default" w:ascii="Times New Roman" w:hAnsi="Times New Roman" w:eastAsia="宋体" w:cs="Times New Roman"/>
          <w:bCs/>
          <w:color w:val="auto"/>
          <w:sz w:val="24"/>
          <w:szCs w:val="24"/>
          <w:highlight w:val="none"/>
          <w:lang w:val="en-US" w:eastAsia="zh-CN"/>
        </w:rPr>
        <w:t>纳污范围内，污水处理厂剩余容量能满足本项目需求，</w:t>
      </w:r>
      <w:r>
        <w:rPr>
          <w:rFonts w:hint="default" w:ascii="Times New Roman" w:hAnsi="Times New Roman" w:eastAsia="宋体" w:cs="Times New Roman"/>
          <w:b w:val="0"/>
          <w:bCs w:val="0"/>
          <w:color w:val="auto"/>
          <w:sz w:val="24"/>
          <w:szCs w:val="24"/>
          <w:highlight w:val="none"/>
          <w:lang w:val="en-US" w:eastAsia="zh-CN"/>
        </w:rPr>
        <w:t>大英县城市生活污水处理厂</w:t>
      </w:r>
      <w:r>
        <w:rPr>
          <w:rFonts w:hint="default" w:ascii="Times New Roman" w:hAnsi="Times New Roman" w:eastAsia="宋体" w:cs="Times New Roman"/>
          <w:bCs/>
          <w:color w:val="auto"/>
          <w:sz w:val="24"/>
          <w:szCs w:val="24"/>
          <w:highlight w:val="none"/>
          <w:lang w:val="en-US" w:eastAsia="zh-CN"/>
        </w:rPr>
        <w:t>能负荷本项目污水。</w:t>
      </w:r>
    </w:p>
    <w:p w14:paraId="0FD5E92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186" w:name="_Toc11220"/>
      <w:bookmarkStart w:id="2187" w:name="_Toc13829"/>
      <w:bookmarkStart w:id="2188" w:name="_Toc1400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（7）污水总排口设置要求</w:t>
      </w:r>
      <w:bookmarkEnd w:id="2185"/>
      <w:bookmarkEnd w:id="2186"/>
      <w:bookmarkEnd w:id="2187"/>
      <w:bookmarkEnd w:id="2188"/>
    </w:p>
    <w:p w14:paraId="59E0FBA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189" w:name="_Toc13795"/>
      <w:bookmarkStart w:id="2190" w:name="_Toc21677"/>
      <w:bookmarkStart w:id="2191" w:name="_Toc15262"/>
      <w:bookmarkStart w:id="2192" w:name="_Toc1958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根据污水总排口相关设计规范要求，本项目污水总排口应满足如下要求：</w:t>
      </w:r>
      <w:bookmarkEnd w:id="2189"/>
      <w:bookmarkEnd w:id="2190"/>
      <w:bookmarkEnd w:id="2191"/>
      <w:bookmarkEnd w:id="2192"/>
    </w:p>
    <w:p w14:paraId="264E3A2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193" w:name="_Toc9358"/>
      <w:bookmarkStart w:id="2194" w:name="_Toc15327"/>
      <w:bookmarkStart w:id="2195" w:name="_Toc16733"/>
      <w:bookmarkStart w:id="2196" w:name="_Toc2882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①污水排放口设置应做到位置合理、标志明显，在接管处设置控制闸门（具备加锁、取水样等功能）和计量装置。</w:t>
      </w:r>
      <w:bookmarkEnd w:id="2193"/>
      <w:bookmarkEnd w:id="2194"/>
      <w:bookmarkEnd w:id="2195"/>
      <w:bookmarkEnd w:id="2196"/>
    </w:p>
    <w:p w14:paraId="12666F3C">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197" w:name="_Toc1113"/>
      <w:bookmarkStart w:id="2198" w:name="_Toc31889"/>
      <w:bookmarkStart w:id="2199" w:name="_Toc32149"/>
      <w:bookmarkStart w:id="2200" w:name="_Toc1644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②污水排放口应设置规范的便于测量流量、流速的测流段。</w:t>
      </w:r>
      <w:bookmarkEnd w:id="2197"/>
      <w:bookmarkEnd w:id="2198"/>
      <w:bookmarkEnd w:id="2199"/>
      <w:bookmarkEnd w:id="2200"/>
    </w:p>
    <w:p w14:paraId="7AFEF6A5">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01" w:name="_Toc5268"/>
      <w:bookmarkStart w:id="2202" w:name="_Toc18748"/>
      <w:bookmarkStart w:id="2203" w:name="_Toc31753"/>
      <w:bookmarkStart w:id="2204" w:name="_Toc2645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③必须安装在线监测设施。</w:t>
      </w:r>
      <w:bookmarkEnd w:id="2201"/>
      <w:bookmarkEnd w:id="2202"/>
      <w:bookmarkEnd w:id="2203"/>
      <w:bookmarkEnd w:id="2204"/>
    </w:p>
    <w:p w14:paraId="2EC41049">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05" w:name="_Toc14584"/>
      <w:bookmarkStart w:id="2206" w:name="_Toc3021"/>
      <w:bookmarkStart w:id="2207" w:name="_Toc17871"/>
      <w:bookmarkStart w:id="2208" w:name="_Toc1359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④污水排放口应能与城市污水管网顺利对接，并随时对接管口巡视、检查，以免管道破损，对地下水造成污染。</w:t>
      </w:r>
      <w:bookmarkEnd w:id="2205"/>
      <w:bookmarkEnd w:id="2206"/>
      <w:bookmarkEnd w:id="2207"/>
      <w:bookmarkEnd w:id="2208"/>
    </w:p>
    <w:p w14:paraId="41EB7C37">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09" w:name="_Toc1004"/>
      <w:bookmarkStart w:id="2210" w:name="_Toc9108"/>
      <w:bookmarkStart w:id="2211" w:name="_Toc32679"/>
      <w:bookmarkStart w:id="2212" w:name="_Toc1402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⑤污水排放口必须设置符合 GB15562.1 及环办[2003]95 号规定的污水排放口标志牌。</w:t>
      </w:r>
      <w:bookmarkEnd w:id="2209"/>
      <w:bookmarkEnd w:id="2210"/>
      <w:bookmarkEnd w:id="2211"/>
      <w:bookmarkEnd w:id="2212"/>
    </w:p>
    <w:p w14:paraId="76055DC5">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13" w:name="_Toc32191"/>
      <w:bookmarkStart w:id="2214" w:name="_Toc28536"/>
      <w:bookmarkStart w:id="2215" w:name="_Toc9704"/>
      <w:bookmarkStart w:id="2216" w:name="_Toc844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⑥可根据实际情况分别选择设置立式或平面固定式标志牌。在地面上设置标志牌，其上缘距离地面2m。</w:t>
      </w:r>
      <w:bookmarkEnd w:id="2213"/>
      <w:bookmarkEnd w:id="2214"/>
      <w:bookmarkEnd w:id="2215"/>
      <w:bookmarkEnd w:id="2216"/>
    </w:p>
    <w:p w14:paraId="76148970">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17" w:name="_Toc27174"/>
      <w:bookmarkStart w:id="2218" w:name="_Toc4744"/>
      <w:bookmarkStart w:id="2219" w:name="_Toc30269"/>
      <w:bookmarkStart w:id="2220" w:name="_Toc1262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（8）废水事故排放影响分析</w:t>
      </w:r>
      <w:bookmarkEnd w:id="2217"/>
      <w:bookmarkEnd w:id="2218"/>
      <w:bookmarkEnd w:id="2219"/>
      <w:bookmarkEnd w:id="2220"/>
    </w:p>
    <w:p w14:paraId="631E2476">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21" w:name="_Toc5102"/>
      <w:bookmarkStart w:id="2222" w:name="_Toc31274"/>
      <w:bookmarkStart w:id="2223" w:name="_Toc32256"/>
      <w:bookmarkStart w:id="2224" w:name="_Toc2459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若项目污水处理站因机械设施或电力故障而造成污水处理站处理设施不能正常运行时，废水无法满足《医疗机构水污染物排放标准》（GB18466-2005）表2中的预处理标准要求，即进行事故排放，事故排放污染物质浓度即为污水中污染物质产生浓度。项目废水发生事故排放时会加大污染负荷，若事故医疗废水直接进入管网，将对污水管网内的污水造成一定的污染，尤其是医疗废水带有大量致病菌，直接排放到城市污水管网会使进入污水处理厂的污水含有致病菌。</w:t>
      </w:r>
      <w:bookmarkEnd w:id="2221"/>
      <w:bookmarkEnd w:id="2222"/>
      <w:bookmarkEnd w:id="2223"/>
      <w:bookmarkEnd w:id="2224"/>
    </w:p>
    <w:p w14:paraId="03BE950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25" w:name="_Toc28318"/>
      <w:bookmarkStart w:id="2226" w:name="_Toc16486"/>
      <w:bookmarkStart w:id="2227" w:name="_Toc3736"/>
      <w:bookmarkStart w:id="2228" w:name="_Toc1321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根据《医院污水处理工程技术规范》（HJ2029-2013）中对“传染病医院污水处理工程应急事故池容积不小于日排放量的100%，非传染病医院事故池容积不小于日排放量30%的规定”。项目为综合医院，拟设置处理能力</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/d污水处理设施，故本次环评提出建设1个</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24</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的事故应急池。在出现机械故障等不良情况时，先将事故废水收集于事故应急池内，待污水处理站正常工作后再经污水处理站处理后达标外排至大英县城市生活污水处理厂处理，对周围水环境影响较小。事故应急池容积的设置满足技术规范的要求，并预留了余量，可确保事故废水储存24小时以上。项目污水处理站配套两套消毒系统（一备一用），采用二氧化氯（ClO</w:t>
      </w:r>
      <w:r>
        <w:rPr>
          <w:rFonts w:hint="default" w:ascii="Times New Roman" w:hAnsi="Times New Roman" w:eastAsia="宋体" w:cs="Times New Roman"/>
          <w:i w:val="0"/>
          <w:iCs w:val="0"/>
          <w:caps w:val="0"/>
          <w:color w:val="auto"/>
          <w:spacing w:val="0"/>
          <w:kern w:val="0"/>
          <w:sz w:val="24"/>
          <w:szCs w:val="24"/>
          <w:shd w:val="clear" w:fill="FFFFFF"/>
          <w:vertAlign w:val="sub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）成品，可确保粪大肠菌群数达到排放标准排入大英县城市生活污水处理厂处理。</w:t>
      </w:r>
      <w:bookmarkEnd w:id="2225"/>
      <w:bookmarkEnd w:id="2226"/>
      <w:bookmarkEnd w:id="2227"/>
      <w:bookmarkEnd w:id="2228"/>
    </w:p>
    <w:p w14:paraId="7E0FC6B7">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29" w:name="_Toc24662"/>
      <w:bookmarkStart w:id="2230" w:name="_Toc20208"/>
      <w:bookmarkStart w:id="2231" w:name="_Toc11827"/>
      <w:bookmarkStart w:id="2232" w:name="_Toc1977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所述，建设单位只要加强废水处理设施运行管理，并做好废水处理设施相关防渗措施，加强对操作人员的岗位培训，保证做到院内废水的进管前预处理，同时对有毒、有害废水进行合理的管理与防治，确保污水稳定达标排放，杜绝事故性排放，建立健全应急预案体系、环保管理机制和各项环保规章制度，落实岗位环保责任制，加强防范工作，防止事故排放导致环境问题。确保本项目废水达标排入大英县城市生活污水处理厂处理，则项目废水不会对周围水环境造成不良影响。</w:t>
      </w:r>
      <w:bookmarkEnd w:id="2229"/>
      <w:bookmarkEnd w:id="2230"/>
      <w:bookmarkEnd w:id="2231"/>
      <w:bookmarkEnd w:id="2232"/>
    </w:p>
    <w:p w14:paraId="11AFEDAC">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33" w:name="_Toc16731"/>
      <w:bookmarkStart w:id="2234" w:name="_Toc11918"/>
      <w:bookmarkStart w:id="2235" w:name="_Toc834"/>
      <w:bookmarkStart w:id="2236" w:name="_Toc1467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（9）地表水影响评价结论</w:t>
      </w:r>
      <w:bookmarkEnd w:id="2233"/>
      <w:bookmarkEnd w:id="2234"/>
      <w:bookmarkEnd w:id="2235"/>
      <w:bookmarkEnd w:id="2236"/>
    </w:p>
    <w:p w14:paraId="7694559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kern w:val="0"/>
          <w:sz w:val="24"/>
          <w:szCs w:val="24"/>
          <w:lang w:val="en-US" w:eastAsia="zh-CN" w:bidi="ar"/>
        </w:rPr>
        <w:t>根据导则要求，本次评价对项目地表水环境进行了分析，经分析，住院、门诊感染废水经预消毒处理进入化粪池处理后排入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w:t>
      </w:r>
      <w:r>
        <w:rPr>
          <w:rFonts w:hint="default" w:ascii="Times New Roman" w:hAnsi="Times New Roman" w:eastAsia="宋体" w:cs="Times New Roman"/>
          <w:color w:val="auto"/>
          <w:kern w:val="0"/>
          <w:sz w:val="24"/>
          <w:szCs w:val="24"/>
          <w:lang w:val="en-US" w:eastAsia="zh-CN" w:bidi="ar"/>
        </w:rPr>
        <w:t>住院、门诊非感染废水及医务人员用水进入化粪池处理后排入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配套建设的污水处理站进行处理。食堂废水经隔油池</w:t>
      </w:r>
      <w:r>
        <w:rPr>
          <w:rFonts w:hint="default" w:ascii="Times New Roman" w:hAnsi="Times New Roman" w:eastAsia="宋体" w:cs="Times New Roman"/>
          <w:color w:val="auto"/>
          <w:kern w:val="0"/>
          <w:sz w:val="24"/>
          <w:szCs w:val="24"/>
          <w:lang w:val="en-US" w:eastAsia="zh-CN" w:bidi="ar"/>
        </w:rPr>
        <w:t>处理后排入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配套建设的污水处理站进行处理。废水在污水处理站处理达到《医疗机构水污染物排放标准》（GB18466-2005）表2预处理标准后通过市政管网进入大英县城市生活污水处理厂处理达标后排入郪江是可行的，对周边地表水环境影响可以接受。</w:t>
      </w:r>
    </w:p>
    <w:p w14:paraId="6F691E73">
      <w:pPr>
        <w:pStyle w:val="6"/>
        <w:bidi w:val="0"/>
        <w:outlineLvl w:val="2"/>
        <w:rPr>
          <w:rFonts w:hint="default" w:ascii="Times New Roman" w:hAnsi="Times New Roman" w:eastAsia="宋体" w:cs="Times New Roman"/>
          <w:color w:val="auto"/>
          <w:lang w:val="en-US" w:eastAsia="zh-CN"/>
        </w:rPr>
      </w:pPr>
      <w:bookmarkStart w:id="2237" w:name="_Toc22845"/>
      <w:r>
        <w:rPr>
          <w:rFonts w:hint="default" w:ascii="Times New Roman" w:hAnsi="Times New Roman" w:eastAsia="宋体" w:cs="Times New Roman"/>
          <w:color w:val="auto"/>
          <w:lang w:val="en-US" w:eastAsia="zh-CN"/>
        </w:rPr>
        <w:t>6.4 地下水环境影响评价</w:t>
      </w:r>
      <w:bookmarkEnd w:id="2237"/>
    </w:p>
    <w:p w14:paraId="3EFFC8B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38" w:name="_Toc17788"/>
      <w:bookmarkStart w:id="2239" w:name="_Toc18668"/>
      <w:bookmarkStart w:id="2240" w:name="_Toc8349"/>
      <w:bookmarkStart w:id="2241" w:name="_Toc2914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根据《环境影响评价技术导则—地下水环境》（HJ 610-2016）本项目分类属于《环境影响评价技术导则—地下水环境》（HJ610-2016）附录III类项目。周边不存在饮用水源等敏感保护目标，地下水环境为不敏感，通过建设项目的地下水环境影响评价工作等级划分，项目地下水评价等级为三级。</w:t>
      </w:r>
      <w:bookmarkEnd w:id="2238"/>
      <w:bookmarkEnd w:id="2239"/>
      <w:bookmarkEnd w:id="2240"/>
      <w:bookmarkEnd w:id="2241"/>
    </w:p>
    <w:p w14:paraId="79B6ED74">
      <w:pPr>
        <w:pStyle w:val="7"/>
        <w:bidi w:val="0"/>
        <w:rPr>
          <w:rFonts w:hint="default" w:ascii="Times New Roman" w:hAnsi="Times New Roman" w:eastAsia="宋体" w:cs="Times New Roman"/>
          <w:color w:val="auto"/>
          <w:lang w:val="en-US" w:eastAsia="zh-CN"/>
        </w:rPr>
      </w:pPr>
      <w:bookmarkStart w:id="2242" w:name="_Toc29597"/>
      <w:r>
        <w:rPr>
          <w:rFonts w:hint="default" w:ascii="Times New Roman" w:hAnsi="Times New Roman" w:eastAsia="宋体" w:cs="Times New Roman"/>
          <w:color w:val="auto"/>
          <w:lang w:val="en-US" w:eastAsia="zh-CN"/>
        </w:rPr>
        <w:t>6.4.1 评价范围</w:t>
      </w:r>
      <w:bookmarkEnd w:id="2242"/>
    </w:p>
    <w:p w14:paraId="39EC6AC4">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地下水环境》，本次评价采用自定义法，建设项目所处区域为城市建成区，场地包气带防污性能中等、含水层不易污染，且项目污废水水质成分简单，处理达标后全部排入市政污水管网，对地下水影响较小，因此本报告只对地下水作出环境影响分析，评价范围确定为医院场址所在地水文地质单元。</w:t>
      </w:r>
    </w:p>
    <w:p w14:paraId="63FACD9E">
      <w:pPr>
        <w:pStyle w:val="7"/>
        <w:bidi w:val="0"/>
        <w:rPr>
          <w:rFonts w:hint="default" w:ascii="Times New Roman" w:hAnsi="Times New Roman" w:eastAsia="宋体" w:cs="Times New Roman"/>
          <w:color w:val="auto"/>
          <w:lang w:val="en-US" w:eastAsia="zh-CN"/>
        </w:rPr>
      </w:pPr>
      <w:bookmarkStart w:id="2243" w:name="_Toc6222"/>
      <w:r>
        <w:rPr>
          <w:rFonts w:hint="default" w:ascii="Times New Roman" w:hAnsi="Times New Roman" w:eastAsia="宋体" w:cs="Times New Roman"/>
          <w:color w:val="auto"/>
          <w:lang w:val="en-US" w:eastAsia="zh-CN"/>
        </w:rPr>
        <w:t>6.4.2 项目及周边水文地质概况</w:t>
      </w:r>
      <w:bookmarkEnd w:id="2243"/>
    </w:p>
    <w:p w14:paraId="6AE01A4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44" w:name="_Toc24340"/>
      <w:bookmarkStart w:id="2245" w:name="_Toc17898"/>
      <w:bookmarkStart w:id="2246" w:name="_Toc1074"/>
      <w:bookmarkStart w:id="2247" w:name="_Toc2870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（1）地形地貌</w:t>
      </w:r>
      <w:bookmarkEnd w:id="2244"/>
      <w:bookmarkEnd w:id="2245"/>
      <w:bookmarkEnd w:id="2246"/>
      <w:bookmarkEnd w:id="2247"/>
    </w:p>
    <w:p w14:paraId="3897A5C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48" w:name="_Toc19416"/>
      <w:bookmarkStart w:id="2249" w:name="_Toc5667"/>
      <w:bookmarkStart w:id="2250" w:name="_Toc6831"/>
      <w:bookmarkStart w:id="2251" w:name="_Toc1208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大英县位于四川盆地中心腹心地带，隶属遂宁市，介于北纬30°26′-30°44′，东经105°3-105°28′之间。东南毗邻遂宁市船山区、安居区，东接遂宁市蓬溪县，北联遂宁市射洪县和绵阳市三台县，西接德阳市中江县和资阳市乐至县，总面积703k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bookmarkEnd w:id="2248"/>
      <w:bookmarkEnd w:id="2249"/>
      <w:bookmarkEnd w:id="2250"/>
      <w:bookmarkEnd w:id="2251"/>
    </w:p>
    <w:p w14:paraId="32BBB6C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52" w:name="_Toc3420"/>
      <w:bookmarkStart w:id="2253" w:name="_Toc14655"/>
      <w:bookmarkStart w:id="2254" w:name="_Toc29641"/>
      <w:bookmarkStart w:id="2255" w:name="_Toc1083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县域南北长33.5公里，东西宽41.5公里，幅员总面积703平方公里。属丘陵地形，地形起伏多为馒头状浅丘，海拔高程多在290米至460米之间，相对高差约70米至100米。境内多为砂岩、泥岩和砂泥岩，岩层大部分为泥砂质岩层，系中生纪侏罗系重庆系统蓬莱组岩层，平坝为第四系河流冲积物，厚1-10米，5米以上多为浮土层，下层为沙土层,坡地多为砂、页岩,砂岩的平均裂缝绿为2.1%。土壤承受能力一般为1.5-3公斤/平方厘米，地震强度为6级。</w:t>
      </w:r>
      <w:bookmarkEnd w:id="2252"/>
      <w:bookmarkEnd w:id="2253"/>
      <w:bookmarkEnd w:id="2254"/>
      <w:bookmarkEnd w:id="2255"/>
    </w:p>
    <w:p w14:paraId="3D087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auto"/>
          <w:sz w:val="24"/>
          <w:szCs w:val="32"/>
        </w:rPr>
      </w:pPr>
      <w:bookmarkStart w:id="2256" w:name="_Toc4988"/>
      <w:bookmarkStart w:id="2257" w:name="_Toc4103"/>
      <w:bookmarkStart w:id="2258" w:name="_Toc32401"/>
      <w:bookmarkStart w:id="2259" w:name="_Toc6758"/>
      <w:r>
        <w:rPr>
          <w:rFonts w:hint="default" w:ascii="Times New Roman" w:hAnsi="Times New Roman" w:eastAsia="宋体" w:cs="Times New Roman"/>
          <w:color w:val="auto"/>
          <w:sz w:val="24"/>
          <w:szCs w:val="32"/>
          <w:lang w:val="en-US" w:eastAsia="zh-CN"/>
        </w:rPr>
        <w:t>（2）地层岩性</w:t>
      </w:r>
      <w:bookmarkEnd w:id="2256"/>
      <w:bookmarkEnd w:id="2257"/>
      <w:bookmarkEnd w:id="2258"/>
      <w:bookmarkEnd w:id="2259"/>
    </w:p>
    <w:p w14:paraId="0AEE52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据钻探揭露，场地地层有第四系全新统人工填土(Q4</w:t>
      </w:r>
      <w:r>
        <w:rPr>
          <w:rFonts w:hint="default" w:ascii="Times New Roman" w:hAnsi="Times New Roman" w:eastAsia="宋体" w:cs="Times New Roman"/>
          <w:color w:val="auto"/>
          <w:sz w:val="24"/>
          <w:szCs w:val="32"/>
          <w:lang w:val="en-US" w:eastAsia="zh-CN"/>
        </w:rPr>
        <w:t>ml</w:t>
      </w:r>
      <w:r>
        <w:rPr>
          <w:rFonts w:hint="default" w:ascii="Times New Roman" w:hAnsi="Times New Roman" w:eastAsia="宋体" w:cs="Times New Roman"/>
          <w:color w:val="auto"/>
          <w:sz w:val="24"/>
          <w:szCs w:val="32"/>
        </w:rPr>
        <w:t>)及冲洪积粉质粘土</w:t>
      </w:r>
      <w:r>
        <w:rPr>
          <w:rFonts w:hint="default" w:ascii="Times New Roman" w:hAnsi="Times New Roman" w:eastAsia="宋体" w:cs="Times New Roman"/>
          <w:color w:val="auto"/>
          <w:sz w:val="24"/>
          <w:szCs w:val="32"/>
          <w:lang w:val="en-US" w:eastAsia="zh-CN"/>
        </w:rPr>
        <w:t>（Q4a+pl），</w:t>
      </w:r>
      <w:r>
        <w:rPr>
          <w:rFonts w:hint="default" w:ascii="Times New Roman" w:hAnsi="Times New Roman" w:eastAsia="宋体" w:cs="Times New Roman"/>
          <w:color w:val="auto"/>
          <w:sz w:val="24"/>
          <w:szCs w:val="32"/>
        </w:rPr>
        <w:t>侏罗系上统遂宁组(J3Sn) 泥岩。现由上至下分述</w:t>
      </w:r>
      <w:r>
        <w:rPr>
          <w:rFonts w:hint="default" w:ascii="Times New Roman" w:hAnsi="Times New Roman" w:eastAsia="宋体" w:cs="Times New Roman"/>
          <w:color w:val="auto"/>
          <w:sz w:val="24"/>
          <w:szCs w:val="32"/>
          <w:lang w:eastAsia="zh-CN"/>
        </w:rPr>
        <w:t>：</w:t>
      </w:r>
    </w:p>
    <w:p w14:paraId="3E0995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default" w:ascii="Times New Roman" w:hAnsi="Times New Roman" w:eastAsia="宋体" w:cs="Times New Roman"/>
          <w:color w:val="auto"/>
          <w:kern w:val="0"/>
          <w:sz w:val="24"/>
          <w:szCs w:val="24"/>
          <w:lang w:val="en-US" w:eastAsia="zh-CN" w:bidi="ar"/>
        </w:rPr>
      </w:pPr>
      <w:bookmarkStart w:id="2260" w:name="_Toc3237"/>
      <w:bookmarkStart w:id="2261" w:name="_Toc4966"/>
      <w:bookmarkStart w:id="2262" w:name="_Toc11481"/>
      <w:bookmarkStart w:id="2263" w:name="_Toc11418"/>
      <w:r>
        <w:rPr>
          <w:rFonts w:hint="default" w:ascii="Times New Roman" w:hAnsi="Times New Roman" w:eastAsia="宋体" w:cs="Times New Roman"/>
          <w:color w:val="auto"/>
          <w:kern w:val="0"/>
          <w:sz w:val="24"/>
          <w:szCs w:val="24"/>
          <w:lang w:val="en-US" w:eastAsia="zh-CN" w:bidi="ar"/>
        </w:rPr>
        <w:t>①第四系全新统(Q4)</w:t>
      </w:r>
      <w:bookmarkEnd w:id="2260"/>
      <w:bookmarkEnd w:id="2261"/>
      <w:bookmarkEnd w:id="2262"/>
      <w:bookmarkEnd w:id="2263"/>
    </w:p>
    <w:p w14:paraId="3175FE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人工素填土</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lang w:val="en-US" w:eastAsia="zh-CN"/>
        </w:rPr>
        <w:t>ml</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褐红等杂色，松散，稍湿，主要由泥岩碎块石、卵石及粉质粘土组成，碎块石含量小于25-50%，碎块石粒径一般为 20- 500mm，碎石多呈强风化状，回填方式主要为拋填，厚度约3.2m。</w:t>
      </w:r>
    </w:p>
    <w:p w14:paraId="28B37A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粉质粘土</w:t>
      </w:r>
      <w:r>
        <w:rPr>
          <w:rFonts w:hint="default" w:ascii="Times New Roman" w:hAnsi="Times New Roman" w:eastAsia="宋体" w:cs="Times New Roman"/>
          <w:color w:val="auto"/>
          <w:sz w:val="24"/>
          <w:szCs w:val="24"/>
          <w:lang w:val="en-US" w:eastAsia="zh-CN"/>
        </w:rPr>
        <w:t>（Q</w:t>
      </w:r>
      <w:r>
        <w:rPr>
          <w:rFonts w:hint="default"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perscript"/>
          <w:lang w:val="en-US" w:eastAsia="zh-CN"/>
        </w:rPr>
        <w:t>a+pl</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 xml:space="preserve"> 褐灰色，可塑~软塑状。主要由粘粒及少量角砾组成，部分成份较均匀，干强度中等，韧性中等，稍有光泽，无摇震反应，含砂较重。该层分布于人工土填土之下，厚度不均匀，层厚4.60- 18.30m。</w:t>
      </w:r>
    </w:p>
    <w:p w14:paraId="5C0B77D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64" w:name="_Toc17784"/>
      <w:bookmarkStart w:id="2265" w:name="_Toc21455"/>
      <w:bookmarkStart w:id="2266" w:name="_Toc14879"/>
      <w:bookmarkStart w:id="2267" w:name="_Toc1663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w:t>
      </w:r>
      <w:r>
        <w:rPr>
          <w:rFonts w:hint="default" w:ascii="Times New Roman" w:hAnsi="Times New Roman" w:eastAsia="宋体" w:cs="Times New Roman"/>
          <w:color w:val="auto"/>
        </w:rPr>
        <w:t>侏罗系上统遂宁组(J</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Sn)</w:t>
      </w:r>
      <w:bookmarkEnd w:id="2264"/>
      <w:bookmarkEnd w:id="2265"/>
      <w:bookmarkEnd w:id="2266"/>
      <w:bookmarkEnd w:id="2267"/>
    </w:p>
    <w:p w14:paraId="72DEA4E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68" w:name="_Toc17351"/>
      <w:bookmarkStart w:id="2269" w:name="_Toc12395"/>
      <w:bookmarkStart w:id="2270" w:name="_Toc5411"/>
      <w:bookmarkStart w:id="2271" w:name="_Toc2652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泥岩:紫红色，泥质结构，厚层状构造，主要由粘土矿物组成，泥岩极易风化，具有吸水软化，风化快呈碎块状的特征。强风化带钻孔岩芯多呈碎块状、饼状，中等风化带岩芯多呈柱状，节长一般50-320mm，岩体较完整。</w:t>
      </w:r>
      <w:bookmarkEnd w:id="2268"/>
      <w:bookmarkEnd w:id="2269"/>
      <w:bookmarkEnd w:id="2270"/>
      <w:bookmarkEnd w:id="2271"/>
    </w:p>
    <w:p w14:paraId="03E4DE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72" w:name="_Toc31181"/>
      <w:bookmarkStart w:id="2273" w:name="_Toc7799"/>
      <w:bookmarkStart w:id="2274" w:name="_Toc8396"/>
      <w:bookmarkStart w:id="2275" w:name="_Toc1265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③基岩面起伏情况与岩石风化程度</w:t>
      </w:r>
      <w:bookmarkEnd w:id="2272"/>
      <w:bookmarkEnd w:id="2273"/>
      <w:bookmarkEnd w:id="2274"/>
      <w:bookmarkEnd w:id="2275"/>
    </w:p>
    <w:p w14:paraId="76AAB35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76" w:name="_Toc3437"/>
      <w:bookmarkStart w:id="2277" w:name="_Toc5116"/>
      <w:bookmarkStart w:id="2278" w:name="_Toc3325"/>
      <w:bookmarkStart w:id="2279" w:name="_Toc2368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场地位处填方区，区基岩顶面坡角随原始地形而变化，一般3°-5°。据钻探获取岩心的实际情况，将基岩划分为强风化带及中等风化带。</w:t>
      </w:r>
      <w:bookmarkEnd w:id="2276"/>
      <w:bookmarkEnd w:id="2277"/>
      <w:bookmarkEnd w:id="2278"/>
      <w:bookmarkEnd w:id="2279"/>
    </w:p>
    <w:p w14:paraId="1A0AC2B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80" w:name="_Toc7966"/>
      <w:bookmarkStart w:id="2281" w:name="_Toc27823"/>
      <w:bookmarkStart w:id="2282" w:name="_Toc31740"/>
      <w:bookmarkStart w:id="2283" w:name="_Toc2198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强风化带:岩心破碎，多呈碎块状，局部偶夹极少的短柱状，岩质软，碎块手易折断，风化网状裂隙发育，岩体极破碎。</w:t>
      </w:r>
      <w:bookmarkEnd w:id="2280"/>
      <w:bookmarkEnd w:id="2281"/>
      <w:bookmarkEnd w:id="2282"/>
      <w:bookmarkEnd w:id="2283"/>
    </w:p>
    <w:p w14:paraId="2D41705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84" w:name="_Toc5244"/>
      <w:bookmarkStart w:id="2285" w:name="_Toc20280"/>
      <w:bookmarkStart w:id="2286" w:name="_Toc10543"/>
      <w:bookmarkStart w:id="2287" w:name="_Toc1324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中等风化带:岩心完整，呈柱状、长柱状，岩心节长一般50-320mm，偶夹碎块状，质较硬，碎块手难折断，属较完整岩体。</w:t>
      </w:r>
      <w:bookmarkEnd w:id="2284"/>
      <w:bookmarkEnd w:id="2285"/>
      <w:bookmarkEnd w:id="2286"/>
      <w:bookmarkEnd w:id="2287"/>
    </w:p>
    <w:p w14:paraId="55835322">
      <w:pPr>
        <w:keepNext w:val="0"/>
        <w:keepLines w:val="0"/>
        <w:widowControl/>
        <w:suppressLineNumbers w:val="0"/>
        <w:jc w:val="left"/>
        <w:outlineLvl w:val="0"/>
        <w:rPr>
          <w:rFonts w:hint="default" w:ascii="Times New Roman" w:hAnsi="Times New Roman" w:eastAsia="宋体" w:cs="Times New Roman"/>
          <w:color w:val="auto"/>
        </w:rPr>
      </w:pPr>
      <w:bookmarkStart w:id="2288" w:name="_Toc32366"/>
      <w:bookmarkStart w:id="2289" w:name="_Toc30118"/>
      <w:bookmarkStart w:id="2290" w:name="_Toc29384"/>
      <w:bookmarkStart w:id="2291" w:name="_Toc19061"/>
      <w:r>
        <w:rPr>
          <w:rFonts w:hint="default" w:ascii="Times New Roman" w:hAnsi="Times New Roman" w:eastAsia="宋体" w:cs="Times New Roman"/>
          <w:b/>
          <w:bCs/>
          <w:color w:val="auto"/>
          <w:kern w:val="0"/>
          <w:sz w:val="24"/>
          <w:szCs w:val="24"/>
          <w:lang w:val="en-US" w:eastAsia="zh-CN" w:bidi="ar"/>
        </w:rPr>
        <w:t>（3）水文地质条件</w:t>
      </w:r>
      <w:bookmarkEnd w:id="2288"/>
      <w:bookmarkEnd w:id="2289"/>
      <w:bookmarkEnd w:id="2290"/>
      <w:bookmarkEnd w:id="2291"/>
    </w:p>
    <w:p w14:paraId="546C230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92" w:name="_Toc27948"/>
      <w:bookmarkStart w:id="2293" w:name="_Toc13152"/>
      <w:bookmarkStart w:id="2294" w:name="_Toc6143"/>
      <w:bookmarkStart w:id="2295" w:name="_Toc274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①地表水</w:t>
      </w:r>
      <w:bookmarkEnd w:id="2292"/>
      <w:bookmarkEnd w:id="2293"/>
      <w:bookmarkEnd w:id="2294"/>
      <w:bookmarkEnd w:id="2295"/>
    </w:p>
    <w:p w14:paraId="5029703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296" w:name="_Toc30277"/>
      <w:bookmarkStart w:id="2297" w:name="_Toc20772"/>
      <w:bookmarkStart w:id="2298" w:name="_Toc8692"/>
      <w:bookmarkStart w:id="2299" w:name="_Toc1994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大英县城蓬莱镇位于县城中部郪江和小溪河交汇处，小溪河是郪江支流，多年平均流量0.7m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/s。郪江全长145km，从象山洪家楼进入县境，自西向东横贯全县，县内流长63公里，沿途接纳马力河、河边河、三合河、永明河、古井河、永兴河等8条支流，东流出口，注入涪江。郪江流域集水面积1400km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2</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。郪江河是大英县工农业生产用水及县城、沿途镇乡人民群众生活用水的主要来源。</w:t>
      </w:r>
      <w:bookmarkEnd w:id="2296"/>
      <w:bookmarkEnd w:id="2297"/>
      <w:bookmarkEnd w:id="2298"/>
      <w:bookmarkEnd w:id="2299"/>
    </w:p>
    <w:p w14:paraId="7537DC7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00" w:name="_Toc16980"/>
      <w:bookmarkStart w:id="2301" w:name="_Toc30922"/>
      <w:bookmarkStart w:id="2302" w:name="_Toc28308"/>
      <w:bookmarkStart w:id="2303" w:name="_Toc1301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②地下水</w:t>
      </w:r>
      <w:bookmarkEnd w:id="2300"/>
      <w:bookmarkEnd w:id="2301"/>
      <w:bookmarkEnd w:id="2302"/>
      <w:bookmarkEnd w:id="2303"/>
    </w:p>
    <w:p w14:paraId="5E8BD86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04" w:name="_Toc26625"/>
      <w:bookmarkStart w:id="2305" w:name="_Toc843"/>
      <w:bookmarkStart w:id="2306" w:name="_Toc57"/>
      <w:bookmarkStart w:id="2307" w:name="_Toc2395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场区内地下水不发育，初见水位在人工填土与粉质粘土接触部位及局部强风化基岩层，为上层滞水及少量基岩裂隙性潜水，初见水位约2.0m-3.0m，场区粉质粘土属隔水不含水层，但含上层滞水，无统一稳定地下水位，地下水位的变幅主要受大气降水影响，地下水的补给来源主要是大气降水，排泄于场地北侧郪江河，地下水赋存于松散填土和基岩裂隙中，地下水含水性及富水性相对较弱。根据同类场地降水经验，该场地人工填土层渗透系数建议值K取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-6</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-4</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cm/s，粉质粘土层渗透系数建议值K取10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-6</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w:t>
      </w:r>
      <w:bookmarkEnd w:id="2304"/>
      <w:bookmarkEnd w:id="2305"/>
      <w:bookmarkEnd w:id="2306"/>
      <w:bookmarkEnd w:id="2307"/>
    </w:p>
    <w:p w14:paraId="101B858F">
      <w:pPr>
        <w:pStyle w:val="7"/>
        <w:bidi w:val="0"/>
        <w:rPr>
          <w:rFonts w:hint="default" w:ascii="Times New Roman" w:hAnsi="Times New Roman" w:eastAsia="宋体" w:cs="Times New Roman"/>
          <w:color w:val="auto"/>
          <w:lang w:val="en-US" w:eastAsia="zh-CN"/>
        </w:rPr>
      </w:pPr>
      <w:bookmarkStart w:id="2308" w:name="_Toc19021"/>
      <w:r>
        <w:rPr>
          <w:rFonts w:hint="default" w:ascii="Times New Roman" w:hAnsi="Times New Roman" w:eastAsia="宋体" w:cs="Times New Roman"/>
          <w:color w:val="auto"/>
          <w:lang w:val="en-US" w:eastAsia="zh-CN"/>
        </w:rPr>
        <w:t>6.4.3 地下水污染防治措施</w:t>
      </w:r>
      <w:bookmarkEnd w:id="2308"/>
    </w:p>
    <w:p w14:paraId="14E7AD9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09" w:name="_Toc19578"/>
      <w:bookmarkStart w:id="2310" w:name="_Toc23059"/>
      <w:bookmarkStart w:id="2311" w:name="_Toc24010"/>
      <w:bookmarkStart w:id="2312" w:name="_Toc1818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地下水污染防治措施坚持“源头控制、末端防治、污染监控、应急响应相结合”的原则，即采取主动控制和被动控制相结合的措施。</w:t>
      </w:r>
      <w:bookmarkEnd w:id="2309"/>
      <w:bookmarkEnd w:id="2310"/>
      <w:bookmarkEnd w:id="2311"/>
      <w:bookmarkEnd w:id="2312"/>
    </w:p>
    <w:p w14:paraId="42DE0C1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13" w:name="_Toc28126"/>
      <w:bookmarkStart w:id="2314" w:name="_Toc32554"/>
      <w:bookmarkStart w:id="2315" w:name="_Toc10775"/>
      <w:bookmarkStart w:id="2316" w:name="_Toc3074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（1）主动控制即从源头控制措施，主要包括在污水收集管网、污水储存及处理构筑物采取相应措施，防止和降低污染物跑、冒、滴、漏，将污染物泄漏的环境风险事故降到最低程度；</w:t>
      </w:r>
      <w:bookmarkEnd w:id="2313"/>
      <w:bookmarkEnd w:id="2314"/>
      <w:bookmarkEnd w:id="2315"/>
      <w:bookmarkEnd w:id="2316"/>
    </w:p>
    <w:p w14:paraId="570A2F9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17" w:name="_Toc26997"/>
      <w:bookmarkStart w:id="2318" w:name="_Toc23822"/>
      <w:bookmarkStart w:id="2319" w:name="_Toc23012"/>
      <w:bookmarkStart w:id="2320" w:name="_Toc2025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（2）被动控制即末端控制措施，主要包括处理车间和污水处理站防渗措施和泄漏、渗漏污染物收集措施，即在污染区地面进行防渗处理，防止洒落地面的污染物渗入地下，并把滞留在地面的污染物收集起来；</w:t>
      </w:r>
      <w:bookmarkEnd w:id="2317"/>
      <w:bookmarkEnd w:id="2318"/>
      <w:bookmarkEnd w:id="2319"/>
      <w:bookmarkEnd w:id="2320"/>
    </w:p>
    <w:p w14:paraId="1A19965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21" w:name="_Toc14114"/>
      <w:bookmarkStart w:id="2322" w:name="_Toc1997"/>
      <w:bookmarkStart w:id="2323" w:name="_Toc3074"/>
      <w:bookmarkStart w:id="2324" w:name="_Toc21868"/>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（3）实施覆盖生产区的地下水污染监控系统，包括建立完善的监测制度、配备检测仪器和设备，依托项目周边现有地下水污染监控井，及时发现污染、及时控制；</w:t>
      </w:r>
      <w:bookmarkEnd w:id="2321"/>
      <w:bookmarkEnd w:id="2322"/>
      <w:bookmarkEnd w:id="2323"/>
      <w:bookmarkEnd w:id="2324"/>
    </w:p>
    <w:p w14:paraId="0219891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25" w:name="_Toc14668"/>
      <w:bookmarkStart w:id="2326" w:name="_Toc5957"/>
      <w:bookmarkStart w:id="2327" w:name="_Toc2049"/>
      <w:bookmarkStart w:id="2328" w:name="_Toc1642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（4）应急响应措施，发现超标后及时启动地下水应急预案，设置水力墙，抽水截断等应急措施防止地下水污染进一步扩大范围、并使污染得到治理。</w:t>
      </w:r>
      <w:bookmarkEnd w:id="2325"/>
      <w:bookmarkEnd w:id="2326"/>
      <w:bookmarkEnd w:id="2327"/>
      <w:bookmarkEnd w:id="2328"/>
    </w:p>
    <w:p w14:paraId="29EA0BC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29" w:name="_Toc25296"/>
      <w:bookmarkStart w:id="2330" w:name="_Toc3564"/>
      <w:bookmarkStart w:id="2331" w:name="_Toc26446"/>
      <w:bookmarkStart w:id="2332" w:name="_Toc1380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为防止项目运行过程中废水下渗污染地下水，要求本项目须采取分区防渗措施，设置重点防渗区及简单防渗区。</w:t>
      </w:r>
      <w:bookmarkEnd w:id="2329"/>
      <w:bookmarkEnd w:id="2330"/>
      <w:bookmarkEnd w:id="2331"/>
      <w:bookmarkEnd w:id="2332"/>
    </w:p>
    <w:p w14:paraId="3419F04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333" w:name="_Toc4984"/>
      <w:bookmarkStart w:id="2334" w:name="_Toc22599"/>
      <w:bookmarkStart w:id="2335" w:name="_Toc6594"/>
      <w:bookmarkStart w:id="2336" w:name="_Toc974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渗滤液处理站、垃圾贮坑等需要重点防渗的区域需尽量避开本项目在场平过程中的填方区。</w:t>
      </w:r>
      <w:bookmarkEnd w:id="2333"/>
      <w:bookmarkEnd w:id="2334"/>
      <w:bookmarkEnd w:id="2335"/>
      <w:bookmarkEnd w:id="2336"/>
    </w:p>
    <w:p w14:paraId="2707B84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337" w:name="_Toc985"/>
      <w:bookmarkStart w:id="2338" w:name="_Toc15246"/>
      <w:bookmarkStart w:id="2339" w:name="_Toc5964"/>
      <w:bookmarkStart w:id="2340" w:name="_Toc28592"/>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表6.4-1分区防治措施</w:t>
      </w:r>
      <w:bookmarkEnd w:id="2337"/>
      <w:bookmarkEnd w:id="2338"/>
      <w:bookmarkEnd w:id="2339"/>
      <w:bookmarkEnd w:id="2340"/>
    </w:p>
    <w:tbl>
      <w:tblPr>
        <w:tblStyle w:val="21"/>
        <w:tblW w:w="85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025"/>
        <w:gridCol w:w="1365"/>
        <w:gridCol w:w="3273"/>
        <w:gridCol w:w="1963"/>
      </w:tblGrid>
      <w:tr w14:paraId="715BF0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4" w:type="dxa"/>
            <w:gridSpan w:val="3"/>
            <w:shd w:val="clear" w:color="auto" w:fill="D7D7D7" w:themeFill="background1" w:themeFillShade="D8"/>
            <w:vAlign w:val="center"/>
          </w:tcPr>
          <w:p w14:paraId="4566B2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防渗分区</w:t>
            </w:r>
          </w:p>
        </w:tc>
        <w:tc>
          <w:tcPr>
            <w:tcW w:w="3273" w:type="dxa"/>
            <w:shd w:val="clear" w:color="auto" w:fill="D7D7D7" w:themeFill="background1" w:themeFillShade="D8"/>
            <w:vAlign w:val="center"/>
          </w:tcPr>
          <w:p w14:paraId="720C68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防渗措施</w:t>
            </w:r>
          </w:p>
        </w:tc>
        <w:tc>
          <w:tcPr>
            <w:tcW w:w="1963" w:type="dxa"/>
            <w:shd w:val="clear" w:color="auto" w:fill="D7D7D7" w:themeFill="background1" w:themeFillShade="D8"/>
            <w:vAlign w:val="center"/>
          </w:tcPr>
          <w:p w14:paraId="77CB7E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防渗系数</w:t>
            </w:r>
          </w:p>
        </w:tc>
      </w:tr>
      <w:tr w14:paraId="2AD854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restart"/>
            <w:vAlign w:val="center"/>
          </w:tcPr>
          <w:p w14:paraId="2216F4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重点防渗区</w:t>
            </w:r>
          </w:p>
        </w:tc>
        <w:tc>
          <w:tcPr>
            <w:tcW w:w="1025" w:type="dxa"/>
            <w:vMerge w:val="restart"/>
            <w:vAlign w:val="center"/>
          </w:tcPr>
          <w:p w14:paraId="5038EA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环保工程</w:t>
            </w:r>
          </w:p>
        </w:tc>
        <w:tc>
          <w:tcPr>
            <w:tcW w:w="1365" w:type="dxa"/>
            <w:vAlign w:val="center"/>
          </w:tcPr>
          <w:p w14:paraId="68EC03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污水处理站</w:t>
            </w:r>
          </w:p>
        </w:tc>
        <w:tc>
          <w:tcPr>
            <w:tcW w:w="3273" w:type="dxa"/>
            <w:vMerge w:val="restart"/>
            <w:vAlign w:val="center"/>
          </w:tcPr>
          <w:p w14:paraId="6A048D1E">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①结构厚度不小于 250mm；②混凝土的抗渗等级不应低于 P8，且水池的内表面应涂刷水泥基渗透结晶型或喷涂聚脲等防水涂料，或在混凝土内掺加水泥基渗透结晶型防水剂；③水泥基渗透结晶型防水涂料不应小于 1.0mm，喷涂聚脲防水涂料厚度不应小于1.5mm；④当混凝土内参加水泥基渗透结晶型防水剂，掺量宜为胶凝材料总量的 1%～2%。</w:t>
            </w:r>
          </w:p>
        </w:tc>
        <w:tc>
          <w:tcPr>
            <w:tcW w:w="1963" w:type="dxa"/>
            <w:vMerge w:val="restart"/>
            <w:vAlign w:val="center"/>
          </w:tcPr>
          <w:p w14:paraId="0BDAA48B">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等效粘土防渗层 Mb≥6m，K≤1×10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cm/s；或参照GB18598 执行</w:t>
            </w:r>
          </w:p>
        </w:tc>
      </w:tr>
      <w:tr w14:paraId="714E1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6DE28D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11530B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18AC37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预处理池</w:t>
            </w:r>
          </w:p>
        </w:tc>
        <w:tc>
          <w:tcPr>
            <w:tcW w:w="3273" w:type="dxa"/>
            <w:vMerge w:val="continue"/>
            <w:vAlign w:val="center"/>
          </w:tcPr>
          <w:p w14:paraId="3B8E01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963" w:type="dxa"/>
            <w:vMerge w:val="continue"/>
            <w:vAlign w:val="center"/>
          </w:tcPr>
          <w:p w14:paraId="3804F7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4DE7A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28E63A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665FFD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603573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食堂隔油池</w:t>
            </w:r>
          </w:p>
        </w:tc>
        <w:tc>
          <w:tcPr>
            <w:tcW w:w="3273" w:type="dxa"/>
            <w:vMerge w:val="continue"/>
            <w:vAlign w:val="center"/>
          </w:tcPr>
          <w:p w14:paraId="305CA2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963" w:type="dxa"/>
            <w:vMerge w:val="continue"/>
            <w:vAlign w:val="center"/>
          </w:tcPr>
          <w:p w14:paraId="5AC9E4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F83C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17133E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6F008F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0F283F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废水输送管线</w:t>
            </w:r>
          </w:p>
        </w:tc>
        <w:tc>
          <w:tcPr>
            <w:tcW w:w="3273" w:type="dxa"/>
            <w:vAlign w:val="center"/>
          </w:tcPr>
          <w:p w14:paraId="6E586EB2">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①沟底、沟壁和顶板的混凝土强度等级不宜低于C30，抗渗等级不应低于P8，混凝土垫层的强度等级不宜低于C15；②沟底</w:t>
            </w:r>
          </w:p>
          <w:p w14:paraId="610F8558">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和沟壁的厚度不宜小于200mm；③沟底、沟壁的内表面和顶板顶面应抹聚合物水泥防水砂浆。厚度不应小于10mm</w:t>
            </w:r>
          </w:p>
        </w:tc>
        <w:tc>
          <w:tcPr>
            <w:tcW w:w="1963" w:type="dxa"/>
            <w:vMerge w:val="continue"/>
            <w:vAlign w:val="center"/>
          </w:tcPr>
          <w:p w14:paraId="5D7678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8C8D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485EA2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4E2A3D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2CE9D4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医疗废物暂存间</w:t>
            </w:r>
          </w:p>
        </w:tc>
        <w:tc>
          <w:tcPr>
            <w:tcW w:w="3273" w:type="dxa"/>
            <w:vAlign w:val="center"/>
          </w:tcPr>
          <w:p w14:paraId="3D92FF42">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采用粘土铺底+10~15cm 的水泥进行硬化+至少 2mm 厚的HDPE 膜+防渗混凝土”进行防渗防腐处理，确保防渗要求等效黏土防渗层Mb≥6.0m，K≤1.0×10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cm/s，同时加强暂储间的密闭性</w:t>
            </w:r>
          </w:p>
        </w:tc>
        <w:tc>
          <w:tcPr>
            <w:tcW w:w="1963" w:type="dxa"/>
            <w:vMerge w:val="continue"/>
            <w:vAlign w:val="center"/>
          </w:tcPr>
          <w:p w14:paraId="010C6C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7B854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4A661F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Merge w:val="continue"/>
            <w:vAlign w:val="center"/>
          </w:tcPr>
          <w:p w14:paraId="419346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365" w:type="dxa"/>
            <w:vAlign w:val="center"/>
          </w:tcPr>
          <w:p w14:paraId="53CFBE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危险废物暂存间</w:t>
            </w:r>
          </w:p>
        </w:tc>
        <w:tc>
          <w:tcPr>
            <w:tcW w:w="3273" w:type="dxa"/>
            <w:vAlign w:val="center"/>
          </w:tcPr>
          <w:p w14:paraId="55927B91">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采用粘土铺底+10~15cm 的水泥进行硬化+至少 2mm 厚的HDPE 膜+防渗混凝土”进行防渗防腐处理，确保防渗要求等效黏土防渗层Mb≥6.0m，K≤1.0×10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cm/s，同时加强暂储间的密闭性</w:t>
            </w:r>
          </w:p>
        </w:tc>
        <w:tc>
          <w:tcPr>
            <w:tcW w:w="1963" w:type="dxa"/>
            <w:vMerge w:val="continue"/>
            <w:vAlign w:val="center"/>
          </w:tcPr>
          <w:p w14:paraId="01DBE3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DE8E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restart"/>
            <w:vAlign w:val="center"/>
          </w:tcPr>
          <w:p w14:paraId="353FEE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一般防渗区</w:t>
            </w:r>
          </w:p>
        </w:tc>
        <w:tc>
          <w:tcPr>
            <w:tcW w:w="1025" w:type="dxa"/>
            <w:vAlign w:val="center"/>
          </w:tcPr>
          <w:p w14:paraId="1F2D81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主体工程</w:t>
            </w:r>
          </w:p>
        </w:tc>
        <w:tc>
          <w:tcPr>
            <w:tcW w:w="1365" w:type="dxa"/>
            <w:vAlign w:val="center"/>
          </w:tcPr>
          <w:p w14:paraId="02044989">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门诊楼、急诊楼、住院楼、医技楼</w:t>
            </w:r>
          </w:p>
        </w:tc>
        <w:tc>
          <w:tcPr>
            <w:tcW w:w="3273" w:type="dxa"/>
            <w:vMerge w:val="restart"/>
            <w:vAlign w:val="center"/>
          </w:tcPr>
          <w:p w14:paraId="7F6745F0">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 xml:space="preserve">混凝土防渗层抗渗等级不应小于P6，其厚度不宜小于100mm，其防渗层性能与1.5m厚粘土层(渗透系数1.0×10 </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 xml:space="preserve"> cm/s)等效。</w:t>
            </w:r>
          </w:p>
        </w:tc>
        <w:tc>
          <w:tcPr>
            <w:tcW w:w="1963" w:type="dxa"/>
            <w:vMerge w:val="restart"/>
            <w:vAlign w:val="center"/>
          </w:tcPr>
          <w:p w14:paraId="3D571312">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等效粘土防渗层 Mb≥1.5m，K≤1×10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cm/sGB1859 执行</w:t>
            </w:r>
          </w:p>
        </w:tc>
      </w:tr>
      <w:tr w14:paraId="257316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518583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025" w:type="dxa"/>
            <w:vAlign w:val="center"/>
          </w:tcPr>
          <w:p w14:paraId="388E82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公用工程</w:t>
            </w:r>
          </w:p>
        </w:tc>
        <w:tc>
          <w:tcPr>
            <w:tcW w:w="1365" w:type="dxa"/>
            <w:vAlign w:val="center"/>
          </w:tcPr>
          <w:p w14:paraId="79E82C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发电机房、液氧站</w:t>
            </w:r>
          </w:p>
        </w:tc>
        <w:tc>
          <w:tcPr>
            <w:tcW w:w="3273" w:type="dxa"/>
            <w:vMerge w:val="continue"/>
            <w:vAlign w:val="center"/>
          </w:tcPr>
          <w:p w14:paraId="6EABB2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963" w:type="dxa"/>
            <w:vMerge w:val="continue"/>
            <w:vAlign w:val="center"/>
          </w:tcPr>
          <w:p w14:paraId="089341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44DC3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6A8488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简单防渗</w:t>
            </w:r>
          </w:p>
        </w:tc>
        <w:tc>
          <w:tcPr>
            <w:tcW w:w="1025" w:type="dxa"/>
            <w:vAlign w:val="center"/>
          </w:tcPr>
          <w:p w14:paraId="660AAF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基础工程</w:t>
            </w:r>
          </w:p>
        </w:tc>
        <w:tc>
          <w:tcPr>
            <w:tcW w:w="1365" w:type="dxa"/>
            <w:vAlign w:val="center"/>
          </w:tcPr>
          <w:p w14:paraId="0B7AD6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院内地面</w:t>
            </w:r>
          </w:p>
        </w:tc>
        <w:tc>
          <w:tcPr>
            <w:tcW w:w="3273" w:type="dxa"/>
            <w:vAlign w:val="center"/>
          </w:tcPr>
          <w:p w14:paraId="7086A0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简单硬化</w:t>
            </w:r>
          </w:p>
        </w:tc>
        <w:tc>
          <w:tcPr>
            <w:tcW w:w="1963" w:type="dxa"/>
            <w:vAlign w:val="center"/>
          </w:tcPr>
          <w:p w14:paraId="78AEAC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w:t>
            </w:r>
          </w:p>
        </w:tc>
      </w:tr>
    </w:tbl>
    <w:p w14:paraId="5D689FFB">
      <w:pPr>
        <w:keepNext w:val="0"/>
        <w:keepLines w:val="0"/>
        <w:widowControl/>
        <w:suppressLineNumbers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表6.4-2  地下水污染防渗分区参照表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2"/>
        <w:gridCol w:w="1703"/>
        <w:gridCol w:w="1704"/>
        <w:gridCol w:w="1705"/>
      </w:tblGrid>
      <w:tr w14:paraId="4CB6B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7D7D7" w:themeFill="background1" w:themeFillShade="D8"/>
            <w:vAlign w:val="center"/>
          </w:tcPr>
          <w:p w14:paraId="15FF516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341" w:name="_Toc3177"/>
            <w:bookmarkStart w:id="2342" w:name="_Toc17506"/>
            <w:bookmarkStart w:id="2343" w:name="_Toc2535"/>
            <w:bookmarkStart w:id="2344" w:name="_Toc7920"/>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防渗分区</w:t>
            </w:r>
            <w:bookmarkEnd w:id="2341"/>
            <w:bookmarkEnd w:id="2342"/>
            <w:bookmarkEnd w:id="2343"/>
            <w:bookmarkEnd w:id="2344"/>
          </w:p>
        </w:tc>
        <w:tc>
          <w:tcPr>
            <w:tcW w:w="1704" w:type="dxa"/>
            <w:shd w:val="clear" w:color="auto" w:fill="D7D7D7" w:themeFill="background1" w:themeFillShade="D8"/>
            <w:vAlign w:val="center"/>
          </w:tcPr>
          <w:p w14:paraId="5DC795D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345" w:name="_Toc593"/>
            <w:bookmarkStart w:id="2346" w:name="_Toc1910"/>
            <w:bookmarkStart w:id="2347" w:name="_Toc4204"/>
            <w:bookmarkStart w:id="2348" w:name="_Toc29684"/>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天然包气带防污性能</w:t>
            </w:r>
            <w:bookmarkEnd w:id="2345"/>
            <w:bookmarkEnd w:id="2346"/>
            <w:bookmarkEnd w:id="2347"/>
            <w:bookmarkEnd w:id="2348"/>
          </w:p>
        </w:tc>
        <w:tc>
          <w:tcPr>
            <w:tcW w:w="1704" w:type="dxa"/>
            <w:shd w:val="clear" w:color="auto" w:fill="D7D7D7" w:themeFill="background1" w:themeFillShade="D8"/>
            <w:vAlign w:val="center"/>
          </w:tcPr>
          <w:p w14:paraId="0FB609F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349" w:name="_Toc1250"/>
            <w:bookmarkStart w:id="2350" w:name="_Toc32404"/>
            <w:bookmarkStart w:id="2351" w:name="_Toc20128"/>
            <w:bookmarkStart w:id="2352" w:name="_Toc18243"/>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污染控制难易程度</w:t>
            </w:r>
            <w:bookmarkEnd w:id="2349"/>
            <w:bookmarkEnd w:id="2350"/>
            <w:bookmarkEnd w:id="2351"/>
            <w:bookmarkEnd w:id="2352"/>
          </w:p>
        </w:tc>
        <w:tc>
          <w:tcPr>
            <w:tcW w:w="1705" w:type="dxa"/>
            <w:shd w:val="clear" w:color="auto" w:fill="D7D7D7" w:themeFill="background1" w:themeFillShade="D8"/>
            <w:vAlign w:val="center"/>
          </w:tcPr>
          <w:p w14:paraId="689B1F0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353" w:name="_Toc20015"/>
            <w:bookmarkStart w:id="2354" w:name="_Toc26929"/>
            <w:bookmarkStart w:id="2355" w:name="_Toc6372"/>
            <w:bookmarkStart w:id="2356" w:name="_Toc3138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污染物类型</w:t>
            </w:r>
            <w:bookmarkEnd w:id="2353"/>
            <w:bookmarkEnd w:id="2354"/>
            <w:bookmarkEnd w:id="2355"/>
            <w:bookmarkEnd w:id="2356"/>
          </w:p>
        </w:tc>
        <w:tc>
          <w:tcPr>
            <w:tcW w:w="1705" w:type="dxa"/>
            <w:shd w:val="clear" w:color="auto" w:fill="D7D7D7" w:themeFill="background1" w:themeFillShade="D8"/>
            <w:vAlign w:val="center"/>
          </w:tcPr>
          <w:p w14:paraId="4F84C74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357" w:name="_Toc22651"/>
            <w:bookmarkStart w:id="2358" w:name="_Toc18883"/>
            <w:bookmarkStart w:id="2359" w:name="_Toc7000"/>
            <w:bookmarkStart w:id="2360" w:name="_Toc1656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防渗技术要求</w:t>
            </w:r>
            <w:bookmarkEnd w:id="2357"/>
            <w:bookmarkEnd w:id="2358"/>
            <w:bookmarkEnd w:id="2359"/>
            <w:bookmarkEnd w:id="2360"/>
          </w:p>
        </w:tc>
      </w:tr>
      <w:tr w14:paraId="7A488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0B48992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61" w:name="_Toc242"/>
            <w:bookmarkStart w:id="2362" w:name="_Toc11623"/>
            <w:bookmarkStart w:id="2363" w:name="_Toc15964"/>
            <w:bookmarkStart w:id="2364" w:name="_Toc13604"/>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重点防渗区</w:t>
            </w:r>
            <w:bookmarkEnd w:id="2361"/>
            <w:bookmarkEnd w:id="2362"/>
            <w:bookmarkEnd w:id="2363"/>
            <w:bookmarkEnd w:id="2364"/>
          </w:p>
        </w:tc>
        <w:tc>
          <w:tcPr>
            <w:tcW w:w="1704" w:type="dxa"/>
            <w:vAlign w:val="center"/>
          </w:tcPr>
          <w:p w14:paraId="7BB45A4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65" w:name="_Toc15159"/>
            <w:bookmarkStart w:id="2366" w:name="_Toc2538"/>
            <w:bookmarkStart w:id="2367" w:name="_Toc21804"/>
            <w:bookmarkStart w:id="2368" w:name="_Toc1499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弱</w:t>
            </w:r>
            <w:bookmarkEnd w:id="2365"/>
            <w:bookmarkEnd w:id="2366"/>
            <w:bookmarkEnd w:id="2367"/>
            <w:bookmarkEnd w:id="2368"/>
          </w:p>
        </w:tc>
        <w:tc>
          <w:tcPr>
            <w:tcW w:w="1704" w:type="dxa"/>
            <w:vAlign w:val="center"/>
          </w:tcPr>
          <w:p w14:paraId="0CCCDB0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69" w:name="_Toc8456"/>
            <w:bookmarkStart w:id="2370" w:name="_Toc31275"/>
            <w:bookmarkStart w:id="2371" w:name="_Toc31886"/>
            <w:bookmarkStart w:id="2372" w:name="_Toc7832"/>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难</w:t>
            </w:r>
            <w:bookmarkEnd w:id="2369"/>
            <w:bookmarkEnd w:id="2370"/>
            <w:bookmarkEnd w:id="2371"/>
            <w:bookmarkEnd w:id="2372"/>
          </w:p>
        </w:tc>
        <w:tc>
          <w:tcPr>
            <w:tcW w:w="1705" w:type="dxa"/>
            <w:vMerge w:val="restart"/>
            <w:vAlign w:val="center"/>
          </w:tcPr>
          <w:p w14:paraId="035DACF2">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重金属、持久性有机物污染物</w:t>
            </w:r>
          </w:p>
        </w:tc>
        <w:tc>
          <w:tcPr>
            <w:tcW w:w="1705" w:type="dxa"/>
            <w:vMerge w:val="restart"/>
            <w:vAlign w:val="center"/>
          </w:tcPr>
          <w:p w14:paraId="293B4A8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73" w:name="_Toc15527"/>
            <w:bookmarkStart w:id="2374" w:name="_Toc28092"/>
            <w:bookmarkStart w:id="2375" w:name="_Toc31623"/>
            <w:bookmarkStart w:id="2376" w:name="_Toc1749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等效粘土防渗层Mb≥6.0m，K≤1×10</w:t>
            </w:r>
            <w:r>
              <w:rPr>
                <w:rFonts w:hint="default" w:ascii="Times New Roman" w:hAnsi="Times New Roman" w:eastAsia="宋体" w:cs="Times New Roman"/>
                <w:i w:val="0"/>
                <w:iCs w:val="0"/>
                <w:caps w:val="0"/>
                <w:color w:val="auto"/>
                <w:spacing w:val="0"/>
                <w:kern w:val="0"/>
                <w:sz w:val="21"/>
                <w:szCs w:val="21"/>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cm/s；或参照GB18598执行</w:t>
            </w:r>
            <w:bookmarkEnd w:id="2373"/>
            <w:bookmarkEnd w:id="2374"/>
            <w:bookmarkEnd w:id="2375"/>
            <w:bookmarkEnd w:id="2376"/>
          </w:p>
        </w:tc>
      </w:tr>
      <w:tr w14:paraId="297EC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071C0EF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4" w:type="dxa"/>
            <w:vAlign w:val="center"/>
          </w:tcPr>
          <w:p w14:paraId="1AAC86C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77" w:name="_Toc25269"/>
            <w:bookmarkStart w:id="2378" w:name="_Toc9465"/>
            <w:bookmarkStart w:id="2379" w:name="_Toc8448"/>
            <w:bookmarkStart w:id="2380" w:name="_Toc1765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中-强</w:t>
            </w:r>
            <w:bookmarkEnd w:id="2377"/>
            <w:bookmarkEnd w:id="2378"/>
            <w:bookmarkEnd w:id="2379"/>
            <w:bookmarkEnd w:id="2380"/>
          </w:p>
        </w:tc>
        <w:tc>
          <w:tcPr>
            <w:tcW w:w="1704" w:type="dxa"/>
            <w:vAlign w:val="center"/>
          </w:tcPr>
          <w:p w14:paraId="1E6C89B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81" w:name="_Toc9582"/>
            <w:bookmarkStart w:id="2382" w:name="_Toc9566"/>
            <w:bookmarkStart w:id="2383" w:name="_Toc27832"/>
            <w:bookmarkStart w:id="2384" w:name="_Toc576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难</w:t>
            </w:r>
            <w:bookmarkEnd w:id="2381"/>
            <w:bookmarkEnd w:id="2382"/>
            <w:bookmarkEnd w:id="2383"/>
            <w:bookmarkEnd w:id="2384"/>
          </w:p>
        </w:tc>
        <w:tc>
          <w:tcPr>
            <w:tcW w:w="1705" w:type="dxa"/>
            <w:vMerge w:val="continue"/>
            <w:vAlign w:val="center"/>
          </w:tcPr>
          <w:p w14:paraId="40A2DBE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5" w:type="dxa"/>
            <w:vMerge w:val="continue"/>
            <w:vAlign w:val="center"/>
          </w:tcPr>
          <w:p w14:paraId="33CC9E6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1AE28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70D675F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4" w:type="dxa"/>
            <w:vAlign w:val="center"/>
          </w:tcPr>
          <w:p w14:paraId="3E6CB43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85" w:name="_Toc18118"/>
            <w:bookmarkStart w:id="2386" w:name="_Toc28191"/>
            <w:bookmarkStart w:id="2387" w:name="_Toc15045"/>
            <w:bookmarkStart w:id="2388" w:name="_Toc20183"/>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弱</w:t>
            </w:r>
            <w:bookmarkEnd w:id="2385"/>
            <w:bookmarkEnd w:id="2386"/>
            <w:bookmarkEnd w:id="2387"/>
            <w:bookmarkEnd w:id="2388"/>
          </w:p>
        </w:tc>
        <w:tc>
          <w:tcPr>
            <w:tcW w:w="1704" w:type="dxa"/>
            <w:vAlign w:val="center"/>
          </w:tcPr>
          <w:p w14:paraId="10961D2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89" w:name="_Toc4269"/>
            <w:bookmarkStart w:id="2390" w:name="_Toc19876"/>
            <w:bookmarkStart w:id="2391" w:name="_Toc22449"/>
            <w:bookmarkStart w:id="2392" w:name="_Toc16576"/>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易</w:t>
            </w:r>
            <w:bookmarkEnd w:id="2389"/>
            <w:bookmarkEnd w:id="2390"/>
            <w:bookmarkEnd w:id="2391"/>
            <w:bookmarkEnd w:id="2392"/>
          </w:p>
        </w:tc>
        <w:tc>
          <w:tcPr>
            <w:tcW w:w="1705" w:type="dxa"/>
            <w:vMerge w:val="continue"/>
            <w:vAlign w:val="center"/>
          </w:tcPr>
          <w:p w14:paraId="2FF1CF0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5" w:type="dxa"/>
            <w:vMerge w:val="continue"/>
            <w:vAlign w:val="center"/>
          </w:tcPr>
          <w:p w14:paraId="33D39D9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63336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43F3BF4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93" w:name="_Toc25103"/>
            <w:bookmarkStart w:id="2394" w:name="_Toc16903"/>
            <w:bookmarkStart w:id="2395" w:name="_Toc9951"/>
            <w:bookmarkStart w:id="2396" w:name="_Toc28739"/>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一般防渗区</w:t>
            </w:r>
            <w:bookmarkEnd w:id="2393"/>
            <w:bookmarkEnd w:id="2394"/>
            <w:bookmarkEnd w:id="2395"/>
            <w:bookmarkEnd w:id="2396"/>
          </w:p>
        </w:tc>
        <w:tc>
          <w:tcPr>
            <w:tcW w:w="1704" w:type="dxa"/>
            <w:vAlign w:val="center"/>
          </w:tcPr>
          <w:p w14:paraId="2187CE6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397" w:name="_Toc577"/>
            <w:bookmarkStart w:id="2398" w:name="_Toc22003"/>
            <w:bookmarkStart w:id="2399" w:name="_Toc11482"/>
            <w:bookmarkStart w:id="2400" w:name="_Toc18548"/>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弱</w:t>
            </w:r>
            <w:bookmarkEnd w:id="2397"/>
            <w:bookmarkEnd w:id="2398"/>
            <w:bookmarkEnd w:id="2399"/>
            <w:bookmarkEnd w:id="2400"/>
          </w:p>
        </w:tc>
        <w:tc>
          <w:tcPr>
            <w:tcW w:w="1704" w:type="dxa"/>
            <w:vAlign w:val="center"/>
          </w:tcPr>
          <w:p w14:paraId="2A59987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01" w:name="_Toc26172"/>
            <w:bookmarkStart w:id="2402" w:name="_Toc11164"/>
            <w:bookmarkStart w:id="2403" w:name="_Toc1935"/>
            <w:bookmarkStart w:id="2404" w:name="_Toc16738"/>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易-难</w:t>
            </w:r>
            <w:bookmarkEnd w:id="2401"/>
            <w:bookmarkEnd w:id="2402"/>
            <w:bookmarkEnd w:id="2403"/>
            <w:bookmarkEnd w:id="2404"/>
          </w:p>
        </w:tc>
        <w:tc>
          <w:tcPr>
            <w:tcW w:w="1705" w:type="dxa"/>
            <w:vMerge w:val="restart"/>
            <w:vAlign w:val="center"/>
          </w:tcPr>
          <w:p w14:paraId="3A52F035">
            <w:pPr>
              <w:keepNext w:val="0"/>
              <w:keepLines w:val="0"/>
              <w:widowControl/>
              <w:suppressLineNumbers w:val="0"/>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其他类型</w:t>
            </w:r>
          </w:p>
        </w:tc>
        <w:tc>
          <w:tcPr>
            <w:tcW w:w="1705" w:type="dxa"/>
            <w:vMerge w:val="restart"/>
            <w:vAlign w:val="center"/>
          </w:tcPr>
          <w:p w14:paraId="1B22D5EF">
            <w:pPr>
              <w:keepNext w:val="0"/>
              <w:keepLines w:val="0"/>
              <w:widowControl/>
              <w:suppressLineNumbers w:val="0"/>
              <w:spacing w:line="240" w:lineRule="auto"/>
              <w:jc w:val="cente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等效粘土防渗层Mb≥1.5m，K≤1×10</w:t>
            </w:r>
            <w:r>
              <w:rPr>
                <w:rFonts w:hint="default" w:ascii="Times New Roman" w:hAnsi="Times New Roman" w:eastAsia="宋体" w:cs="Times New Roman"/>
                <w:i w:val="0"/>
                <w:iCs w:val="0"/>
                <w:caps w:val="0"/>
                <w:color w:val="auto"/>
                <w:spacing w:val="0"/>
                <w:kern w:val="0"/>
                <w:sz w:val="21"/>
                <w:szCs w:val="21"/>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cm/s或参照GB16889执行</w:t>
            </w:r>
          </w:p>
        </w:tc>
      </w:tr>
      <w:tr w14:paraId="247257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483DE86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4" w:type="dxa"/>
            <w:vAlign w:val="center"/>
          </w:tcPr>
          <w:p w14:paraId="21F6640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05" w:name="_Toc14372"/>
            <w:bookmarkStart w:id="2406" w:name="_Toc14789"/>
            <w:bookmarkStart w:id="2407" w:name="_Toc1429"/>
            <w:bookmarkStart w:id="2408" w:name="_Toc27668"/>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中-强</w:t>
            </w:r>
            <w:bookmarkEnd w:id="2405"/>
            <w:bookmarkEnd w:id="2406"/>
            <w:bookmarkEnd w:id="2407"/>
            <w:bookmarkEnd w:id="2408"/>
          </w:p>
        </w:tc>
        <w:tc>
          <w:tcPr>
            <w:tcW w:w="1704" w:type="dxa"/>
            <w:vAlign w:val="center"/>
          </w:tcPr>
          <w:p w14:paraId="46B0AE3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09" w:name="_Toc4946"/>
            <w:bookmarkStart w:id="2410" w:name="_Toc4186"/>
            <w:bookmarkStart w:id="2411" w:name="_Toc6441"/>
            <w:bookmarkStart w:id="2412" w:name="_Toc17701"/>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难</w:t>
            </w:r>
            <w:bookmarkEnd w:id="2409"/>
            <w:bookmarkEnd w:id="2410"/>
            <w:bookmarkEnd w:id="2411"/>
            <w:bookmarkEnd w:id="2412"/>
          </w:p>
        </w:tc>
        <w:tc>
          <w:tcPr>
            <w:tcW w:w="1705" w:type="dxa"/>
            <w:vMerge w:val="continue"/>
            <w:vAlign w:val="center"/>
          </w:tcPr>
          <w:p w14:paraId="230FE4E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5" w:type="dxa"/>
            <w:vMerge w:val="continue"/>
            <w:vAlign w:val="center"/>
          </w:tcPr>
          <w:p w14:paraId="49BDD65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2A2F7B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4AD9F0E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4" w:type="dxa"/>
            <w:vAlign w:val="center"/>
          </w:tcPr>
          <w:p w14:paraId="3DF0CEB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13" w:name="_Toc23369"/>
            <w:bookmarkStart w:id="2414" w:name="_Toc9140"/>
            <w:bookmarkStart w:id="2415" w:name="_Toc9805"/>
            <w:bookmarkStart w:id="2416" w:name="_Toc1445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中</w:t>
            </w:r>
            <w:bookmarkEnd w:id="2413"/>
            <w:bookmarkEnd w:id="2414"/>
            <w:bookmarkEnd w:id="2415"/>
            <w:bookmarkEnd w:id="2416"/>
          </w:p>
        </w:tc>
        <w:tc>
          <w:tcPr>
            <w:tcW w:w="1704" w:type="dxa"/>
            <w:vAlign w:val="center"/>
          </w:tcPr>
          <w:p w14:paraId="6B26154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17" w:name="_Toc16102"/>
            <w:bookmarkStart w:id="2418" w:name="_Toc14653"/>
            <w:bookmarkStart w:id="2419" w:name="_Toc9697"/>
            <w:bookmarkStart w:id="2420" w:name="_Toc2942"/>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易</w:t>
            </w:r>
            <w:bookmarkEnd w:id="2417"/>
            <w:bookmarkEnd w:id="2418"/>
            <w:bookmarkEnd w:id="2419"/>
            <w:bookmarkEnd w:id="2420"/>
          </w:p>
        </w:tc>
        <w:tc>
          <w:tcPr>
            <w:tcW w:w="1705" w:type="dxa"/>
            <w:vMerge w:val="restart"/>
            <w:vAlign w:val="center"/>
          </w:tcPr>
          <w:p w14:paraId="4C59361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21" w:name="_Toc9761"/>
            <w:bookmarkStart w:id="2422" w:name="_Toc8638"/>
            <w:bookmarkStart w:id="2423" w:name="_Toc25657"/>
            <w:bookmarkStart w:id="2424" w:name="_Toc1124"/>
            <w:r>
              <w:rPr>
                <w:rFonts w:hint="default" w:ascii="Times New Roman" w:hAnsi="Times New Roman" w:eastAsia="宋体" w:cs="Times New Roman"/>
                <w:color w:val="auto"/>
                <w:kern w:val="0"/>
                <w:sz w:val="21"/>
                <w:szCs w:val="21"/>
                <w:lang w:val="en-US" w:eastAsia="zh-CN" w:bidi="ar"/>
              </w:rPr>
              <w:t>重金属、持久性有机物污染物</w:t>
            </w:r>
            <w:bookmarkEnd w:id="2421"/>
            <w:bookmarkEnd w:id="2422"/>
            <w:bookmarkEnd w:id="2423"/>
            <w:bookmarkEnd w:id="2424"/>
          </w:p>
        </w:tc>
        <w:tc>
          <w:tcPr>
            <w:tcW w:w="1705" w:type="dxa"/>
            <w:vMerge w:val="continue"/>
            <w:vAlign w:val="center"/>
          </w:tcPr>
          <w:p w14:paraId="516FF72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334C5A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FE5403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4" w:type="dxa"/>
            <w:vAlign w:val="center"/>
          </w:tcPr>
          <w:p w14:paraId="2E9B78E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25" w:name="_Toc25308"/>
            <w:bookmarkStart w:id="2426" w:name="_Toc10136"/>
            <w:bookmarkStart w:id="2427" w:name="_Toc3193"/>
            <w:bookmarkStart w:id="2428" w:name="_Toc2714"/>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强</w:t>
            </w:r>
            <w:bookmarkEnd w:id="2425"/>
            <w:bookmarkEnd w:id="2426"/>
            <w:bookmarkEnd w:id="2427"/>
            <w:bookmarkEnd w:id="2428"/>
          </w:p>
        </w:tc>
        <w:tc>
          <w:tcPr>
            <w:tcW w:w="1704" w:type="dxa"/>
            <w:vAlign w:val="center"/>
          </w:tcPr>
          <w:p w14:paraId="6D6C840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29" w:name="_Toc4387"/>
            <w:bookmarkStart w:id="2430" w:name="_Toc27267"/>
            <w:bookmarkStart w:id="2431" w:name="_Toc21903"/>
            <w:bookmarkStart w:id="2432" w:name="_Toc29144"/>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易</w:t>
            </w:r>
            <w:bookmarkEnd w:id="2429"/>
            <w:bookmarkEnd w:id="2430"/>
            <w:bookmarkEnd w:id="2431"/>
            <w:bookmarkEnd w:id="2432"/>
          </w:p>
        </w:tc>
        <w:tc>
          <w:tcPr>
            <w:tcW w:w="1705" w:type="dxa"/>
            <w:vMerge w:val="continue"/>
            <w:vAlign w:val="center"/>
          </w:tcPr>
          <w:p w14:paraId="6C40919C">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c>
          <w:tcPr>
            <w:tcW w:w="1705" w:type="dxa"/>
            <w:vMerge w:val="continue"/>
            <w:vAlign w:val="center"/>
          </w:tcPr>
          <w:p w14:paraId="359B5AC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p>
        </w:tc>
      </w:tr>
      <w:tr w14:paraId="5AC6A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DED0D9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33" w:name="_Toc20337"/>
            <w:bookmarkStart w:id="2434" w:name="_Toc17431"/>
            <w:bookmarkStart w:id="2435" w:name="_Toc19695"/>
            <w:bookmarkStart w:id="2436" w:name="_Toc30470"/>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简单防渗区</w:t>
            </w:r>
            <w:bookmarkEnd w:id="2433"/>
            <w:bookmarkEnd w:id="2434"/>
            <w:bookmarkEnd w:id="2435"/>
            <w:bookmarkEnd w:id="2436"/>
          </w:p>
        </w:tc>
        <w:tc>
          <w:tcPr>
            <w:tcW w:w="1704" w:type="dxa"/>
            <w:vAlign w:val="center"/>
          </w:tcPr>
          <w:p w14:paraId="413849B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37" w:name="_Toc18617"/>
            <w:bookmarkStart w:id="2438" w:name="_Toc6288"/>
            <w:bookmarkStart w:id="2439" w:name="_Toc4809"/>
            <w:bookmarkStart w:id="2440" w:name="_Toc13847"/>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中-强</w:t>
            </w:r>
            <w:bookmarkEnd w:id="2437"/>
            <w:bookmarkEnd w:id="2438"/>
            <w:bookmarkEnd w:id="2439"/>
            <w:bookmarkEnd w:id="2440"/>
          </w:p>
        </w:tc>
        <w:tc>
          <w:tcPr>
            <w:tcW w:w="1704" w:type="dxa"/>
            <w:vAlign w:val="center"/>
          </w:tcPr>
          <w:p w14:paraId="179548E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41" w:name="_Toc27000"/>
            <w:bookmarkStart w:id="2442" w:name="_Toc5035"/>
            <w:bookmarkStart w:id="2443" w:name="_Toc24314"/>
            <w:bookmarkStart w:id="2444" w:name="_Toc13598"/>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易</w:t>
            </w:r>
            <w:bookmarkEnd w:id="2441"/>
            <w:bookmarkEnd w:id="2442"/>
            <w:bookmarkEnd w:id="2443"/>
            <w:bookmarkEnd w:id="2444"/>
          </w:p>
        </w:tc>
        <w:tc>
          <w:tcPr>
            <w:tcW w:w="1705" w:type="dxa"/>
            <w:vAlign w:val="center"/>
          </w:tcPr>
          <w:p w14:paraId="481E193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45" w:name="_Toc18922"/>
            <w:bookmarkStart w:id="2446" w:name="_Toc9145"/>
            <w:bookmarkStart w:id="2447" w:name="_Toc10292"/>
            <w:bookmarkStart w:id="2448" w:name="_Toc31719"/>
            <w:r>
              <w:rPr>
                <w:rFonts w:hint="default" w:ascii="Times New Roman" w:hAnsi="Times New Roman" w:eastAsia="宋体" w:cs="Times New Roman"/>
                <w:color w:val="auto"/>
                <w:kern w:val="0"/>
                <w:sz w:val="21"/>
                <w:szCs w:val="21"/>
                <w:lang w:val="en-US" w:eastAsia="zh-CN" w:bidi="ar"/>
              </w:rPr>
              <w:t>其他类型</w:t>
            </w:r>
            <w:bookmarkEnd w:id="2445"/>
            <w:bookmarkEnd w:id="2446"/>
            <w:bookmarkEnd w:id="2447"/>
            <w:bookmarkEnd w:id="2448"/>
          </w:p>
        </w:tc>
        <w:tc>
          <w:tcPr>
            <w:tcW w:w="1705" w:type="dxa"/>
            <w:vAlign w:val="center"/>
          </w:tcPr>
          <w:p w14:paraId="2DC062D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bookmarkStart w:id="2449" w:name="_Toc1427"/>
            <w:bookmarkStart w:id="2450" w:name="_Toc8603"/>
            <w:bookmarkStart w:id="2451" w:name="_Toc23900"/>
            <w:bookmarkStart w:id="2452" w:name="_Toc29061"/>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一般地面硬化</w:t>
            </w:r>
            <w:bookmarkEnd w:id="2449"/>
            <w:bookmarkEnd w:id="2450"/>
            <w:bookmarkEnd w:id="2451"/>
            <w:bookmarkEnd w:id="2452"/>
          </w:p>
        </w:tc>
      </w:tr>
    </w:tbl>
    <w:p w14:paraId="1B153C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本项目根据项目特点和地下水环境影响评价结果，对厂区内的区域进行了分区防渗，划分为重点防渗区、一般防渗区和简单防渗区。</w:t>
      </w:r>
    </w:p>
    <w:p w14:paraId="17F6E1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根据工程分析，本项目采取分区防渗方式对地下水进行污染防治。</w:t>
      </w:r>
    </w:p>
    <w:p w14:paraId="6EA0A4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①重点防渗区（确保防渗要求 等效粘土防渗层Mb≥6.0m，K≤1×10 </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或参照GB18598执行）污水处理站、预处理池、应急事故池、预消毒池、食堂隔油池：①结构厚度不小于250mm；②混凝土的抗渗等级不应低于P8，且水池的内表面应涂刷水泥基渗透结晶型或喷涂聚脲等防水涂料，或在混凝土内掺加水泥基渗透结晶型防水剂；③水泥基渗透结晶型防水涂料不应小于1.0mm，喷涂聚脲防水涂料厚度不应小于1.5mm；④当混凝土内参加水泥基渗透结晶型防水剂，掺量宜为胶凝材料总量的1%～2%。废水输送管线：①沟底、沟壁和顶板的混凝土强度等级不宜低于C30，抗渗等级不应低于P8，混凝土垫层的强度等级不宜低于C15；②沟底和沟壁的厚度不宜小于200mm；③沟底、沟壁的内表面和顶板顶面应抹聚合物水泥防水砂浆。厚度不应小于10mm。医废暂存房、危废暂存间：</w:t>
      </w:r>
      <w:r>
        <w:rPr>
          <w:rFonts w:hint="default" w:ascii="Times New Roman" w:hAnsi="Times New Roman" w:eastAsia="宋体" w:cs="Times New Roman"/>
          <w:color w:val="auto"/>
          <w:sz w:val="24"/>
          <w:szCs w:val="24"/>
          <w:lang w:val="en-US" w:eastAsia="zh-CN"/>
        </w:rPr>
        <w:t>防渗层为至少1m厚粘土层（渗透系数≤10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cm/s），或2mm厚高密度聚乙烯，或至少2mm厚的其他人工材料，渗透系数≤10</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lang w:val="en-US" w:eastAsia="zh-CN"/>
        </w:rPr>
        <w:t>cm/s。</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”同时加强暂储间的密闭性。</w:t>
      </w:r>
    </w:p>
    <w:p w14:paraId="65C3B26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53" w:name="_Toc1658"/>
      <w:bookmarkStart w:id="2454" w:name="_Toc23234"/>
      <w:bookmarkStart w:id="2455" w:name="_Toc2212"/>
      <w:bookmarkStart w:id="2456" w:name="_Toc630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②一般防渗区（确保防渗要求等效粘土防渗层Mb≥1.5m，K≤1×10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cm/s；或参照GB16889执行）门诊楼、急诊楼、住院楼、医技楼；混凝土防渗层抗渗等级不应小于P6，其厚度不宜小于100mm，其防渗层性能与1.5m厚粘土层(渗透系数1.0×10</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cm/s)等效。</w:t>
      </w:r>
      <w:bookmarkEnd w:id="2453"/>
      <w:bookmarkEnd w:id="2454"/>
      <w:bookmarkEnd w:id="2455"/>
      <w:bookmarkEnd w:id="2456"/>
    </w:p>
    <w:p w14:paraId="37021A9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57" w:name="_Toc12450"/>
      <w:bookmarkStart w:id="2458" w:name="_Toc11430"/>
      <w:bookmarkStart w:id="2459" w:name="_Toc1023"/>
      <w:bookmarkStart w:id="2460" w:name="_Toc377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③简单防渗区</w:t>
      </w:r>
      <w:bookmarkEnd w:id="2457"/>
      <w:bookmarkEnd w:id="2458"/>
      <w:bookmarkEnd w:id="2459"/>
      <w:bookmarkEnd w:id="2460"/>
    </w:p>
    <w:p w14:paraId="2F95E1D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61" w:name="_Toc6659"/>
      <w:bookmarkStart w:id="2462" w:name="_Toc12426"/>
      <w:bookmarkStart w:id="2463" w:name="_Toc12490"/>
      <w:bookmarkStart w:id="2464" w:name="_Toc1398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一般地面硬化。</w:t>
      </w:r>
      <w:bookmarkEnd w:id="2461"/>
      <w:bookmarkEnd w:id="2462"/>
      <w:bookmarkEnd w:id="2463"/>
      <w:bookmarkEnd w:id="2464"/>
    </w:p>
    <w:p w14:paraId="3B2C918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65" w:name="_Toc25819"/>
      <w:bookmarkStart w:id="2466" w:name="_Toc16173"/>
      <w:bookmarkStart w:id="2467" w:name="_Toc25936"/>
      <w:bookmarkStart w:id="2468" w:name="_Toc2786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综上，院内采取分区防渗措施。项目的地下水保护措施可行。</w:t>
      </w:r>
      <w:bookmarkEnd w:id="2465"/>
      <w:bookmarkEnd w:id="2466"/>
      <w:bookmarkEnd w:id="2467"/>
      <w:bookmarkEnd w:id="2468"/>
    </w:p>
    <w:p w14:paraId="3FF51846">
      <w:pPr>
        <w:pStyle w:val="6"/>
        <w:bidi w:val="0"/>
        <w:rPr>
          <w:rFonts w:hint="default" w:ascii="Times New Roman" w:hAnsi="Times New Roman" w:eastAsia="宋体" w:cs="Times New Roman"/>
          <w:color w:val="auto"/>
        </w:rPr>
      </w:pPr>
      <w:bookmarkStart w:id="2469" w:name="_Toc14591"/>
      <w:r>
        <w:rPr>
          <w:rFonts w:hint="default" w:ascii="Times New Roman" w:hAnsi="Times New Roman" w:eastAsia="宋体" w:cs="Times New Roman"/>
          <w:color w:val="auto"/>
          <w:lang w:val="en-US" w:eastAsia="zh-CN"/>
        </w:rPr>
        <w:t>6.5 声环境影响评价</w:t>
      </w:r>
      <w:bookmarkEnd w:id="2469"/>
    </w:p>
    <w:p w14:paraId="083E9AFA">
      <w:pPr>
        <w:pStyle w:val="7"/>
        <w:bidi w:val="0"/>
        <w:rPr>
          <w:rFonts w:hint="default" w:ascii="Times New Roman" w:hAnsi="Times New Roman" w:eastAsia="宋体" w:cs="Times New Roman"/>
          <w:color w:val="auto"/>
          <w:lang w:val="en-US" w:eastAsia="zh-CN"/>
        </w:rPr>
      </w:pPr>
      <w:bookmarkStart w:id="2470" w:name="_Toc6860"/>
      <w:r>
        <w:rPr>
          <w:rFonts w:hint="default" w:ascii="Times New Roman" w:hAnsi="Times New Roman" w:eastAsia="宋体" w:cs="Times New Roman"/>
          <w:color w:val="auto"/>
          <w:lang w:val="en-US" w:eastAsia="zh-CN"/>
        </w:rPr>
        <w:t>6.5.1 主要噪声源分析</w:t>
      </w:r>
      <w:bookmarkEnd w:id="2470"/>
    </w:p>
    <w:p w14:paraId="30AF0E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噪声产生和治理措施项目建成运营后主要有以下两类噪声：一是机动车及人员活动产生的生活噪声，属低噪声源，噪声级小于55dB(A)，通过加强管理，对外界影响较小。二是公辅设施设备噪声，包括柴油发电机、各类风机、污水处理站及给水水泵等。</w:t>
      </w:r>
    </w:p>
    <w:p w14:paraId="55FBD378">
      <w:pPr>
        <w:keepNext w:val="0"/>
        <w:keepLines w:val="0"/>
        <w:widowControl/>
        <w:suppressLineNumbers w:val="0"/>
        <w:jc w:val="center"/>
        <w:rPr>
          <w:rFonts w:hint="default" w:ascii="Times New Roman" w:hAnsi="Times New Roman" w:eastAsia="宋体" w:cs="Times New Roman"/>
          <w:color w:val="auto"/>
          <w:lang w:val="en-US"/>
        </w:rPr>
      </w:pPr>
      <w:r>
        <w:rPr>
          <w:rFonts w:hint="default" w:ascii="Times New Roman" w:hAnsi="Times New Roman" w:eastAsia="宋体" w:cs="Times New Roman"/>
          <w:b/>
          <w:bCs/>
          <w:color w:val="auto"/>
          <w:kern w:val="0"/>
          <w:sz w:val="20"/>
          <w:szCs w:val="20"/>
          <w:lang w:val="en-US" w:eastAsia="zh-CN" w:bidi="ar"/>
        </w:rPr>
        <w:t xml:space="preserve">表 6.5-1 噪声源强及降噪措施一览表  </w:t>
      </w:r>
      <w:r>
        <w:rPr>
          <w:rFonts w:hint="default" w:ascii="Times New Roman" w:hAnsi="Times New Roman" w:eastAsia="宋体" w:cs="Times New Roman"/>
          <w:b/>
          <w:bCs/>
          <w:color w:val="auto"/>
          <w:lang w:val="en-US" w:eastAsia="zh-CN"/>
        </w:rPr>
        <w:t>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25"/>
        <w:gridCol w:w="2308"/>
        <w:gridCol w:w="1370"/>
        <w:gridCol w:w="875"/>
        <w:gridCol w:w="1021"/>
        <w:gridCol w:w="935"/>
      </w:tblGrid>
      <w:tr w14:paraId="6BF9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3" w:type="dxa"/>
            <w:vMerge w:val="restart"/>
            <w:vAlign w:val="center"/>
          </w:tcPr>
          <w:p w14:paraId="140E6B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声源位置</w:t>
            </w:r>
          </w:p>
        </w:tc>
        <w:tc>
          <w:tcPr>
            <w:tcW w:w="1125" w:type="dxa"/>
            <w:vMerge w:val="restart"/>
            <w:vAlign w:val="center"/>
          </w:tcPr>
          <w:p w14:paraId="207119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类型</w:t>
            </w:r>
          </w:p>
        </w:tc>
        <w:tc>
          <w:tcPr>
            <w:tcW w:w="2308" w:type="dxa"/>
            <w:vMerge w:val="restart"/>
            <w:vAlign w:val="center"/>
          </w:tcPr>
          <w:p w14:paraId="174124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噪声源</w:t>
            </w:r>
          </w:p>
        </w:tc>
        <w:tc>
          <w:tcPr>
            <w:tcW w:w="1370" w:type="dxa"/>
            <w:vMerge w:val="restart"/>
            <w:vAlign w:val="center"/>
          </w:tcPr>
          <w:p w14:paraId="626A1E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噪声源强</w:t>
            </w:r>
          </w:p>
        </w:tc>
        <w:tc>
          <w:tcPr>
            <w:tcW w:w="2831" w:type="dxa"/>
            <w:gridSpan w:val="3"/>
            <w:vAlign w:val="center"/>
          </w:tcPr>
          <w:p w14:paraId="4317C31E">
            <w:pPr>
              <w:jc w:val="center"/>
              <w:rPr>
                <w:rFonts w:hint="default"/>
                <w:vertAlign w:val="baseline"/>
                <w:lang w:val="en-US" w:eastAsia="zh-CN"/>
              </w:rPr>
            </w:pPr>
            <w:r>
              <w:rPr>
                <w:rFonts w:ascii="Times New Roman" w:hAnsi="Times New Roman" w:cs="Times New Roman" w:eastAsiaTheme="minorEastAsia"/>
                <w:b/>
                <w:sz w:val="21"/>
                <w:szCs w:val="21"/>
              </w:rPr>
              <w:t>空间相对位置/m</w:t>
            </w:r>
          </w:p>
        </w:tc>
      </w:tr>
      <w:tr w14:paraId="6A50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3" w:type="dxa"/>
            <w:vMerge w:val="continue"/>
            <w:vAlign w:val="center"/>
          </w:tcPr>
          <w:p w14:paraId="7E323C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1125" w:type="dxa"/>
            <w:vMerge w:val="continue"/>
            <w:vAlign w:val="center"/>
          </w:tcPr>
          <w:p w14:paraId="381163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Merge w:val="continue"/>
            <w:vAlign w:val="center"/>
          </w:tcPr>
          <w:p w14:paraId="38D4EA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1370" w:type="dxa"/>
            <w:vMerge w:val="continue"/>
            <w:vAlign w:val="center"/>
          </w:tcPr>
          <w:p w14:paraId="13B374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875" w:type="dxa"/>
            <w:vAlign w:val="center"/>
          </w:tcPr>
          <w:p w14:paraId="7E0ED136">
            <w:pPr>
              <w:jc w:val="center"/>
              <w:rPr>
                <w:rFonts w:hint="default"/>
                <w:vertAlign w:val="baseline"/>
                <w:lang w:val="en-US" w:eastAsia="zh-CN"/>
              </w:rPr>
            </w:pPr>
            <w:r>
              <w:rPr>
                <w:rFonts w:ascii="Times New Roman" w:hAnsi="Times New Roman" w:cs="Times New Roman" w:eastAsiaTheme="minorEastAsia"/>
                <w:sz w:val="21"/>
                <w:szCs w:val="21"/>
              </w:rPr>
              <w:t>X</w:t>
            </w:r>
          </w:p>
        </w:tc>
        <w:tc>
          <w:tcPr>
            <w:tcW w:w="1021" w:type="dxa"/>
            <w:vAlign w:val="center"/>
          </w:tcPr>
          <w:p w14:paraId="5E190722">
            <w:pPr>
              <w:jc w:val="center"/>
            </w:pPr>
            <w:r>
              <w:rPr>
                <w:rFonts w:ascii="Times New Roman" w:hAnsi="Times New Roman" w:cs="Times New Roman" w:eastAsiaTheme="minorEastAsia"/>
                <w:sz w:val="21"/>
                <w:szCs w:val="21"/>
              </w:rPr>
              <w:t>Y</w:t>
            </w:r>
          </w:p>
        </w:tc>
        <w:tc>
          <w:tcPr>
            <w:tcW w:w="935" w:type="dxa"/>
            <w:vAlign w:val="center"/>
          </w:tcPr>
          <w:p w14:paraId="657CF1EE">
            <w:pPr>
              <w:jc w:val="center"/>
            </w:pPr>
            <w:r>
              <w:rPr>
                <w:rFonts w:ascii="Times New Roman" w:hAnsi="Times New Roman" w:cs="Times New Roman" w:eastAsiaTheme="minorEastAsia"/>
                <w:sz w:val="21"/>
                <w:szCs w:val="21"/>
              </w:rPr>
              <w:t>Z</w:t>
            </w:r>
          </w:p>
        </w:tc>
      </w:tr>
      <w:tr w14:paraId="10B9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3A56ACC9">
            <w:pPr>
              <w:jc w:val="center"/>
              <w:rPr>
                <w:rFonts w:hint="default"/>
                <w:vertAlign w:val="baseline"/>
                <w:lang w:val="en-US" w:eastAsia="zh-CN"/>
              </w:rPr>
            </w:pPr>
            <w:r>
              <w:rPr>
                <w:rFonts w:ascii="Arial" w:hAnsi="Arial" w:eastAsia="Arial" w:cs="Arial"/>
                <w:sz w:val="20"/>
              </w:rPr>
              <w:t>1</w:t>
            </w:r>
          </w:p>
        </w:tc>
        <w:tc>
          <w:tcPr>
            <w:tcW w:w="1125" w:type="dxa"/>
            <w:vMerge w:val="restart"/>
            <w:vAlign w:val="center"/>
          </w:tcPr>
          <w:p w14:paraId="7D82A51D">
            <w:pPr>
              <w:jc w:val="center"/>
              <w:rPr>
                <w:rFonts w:hint="default"/>
                <w:vertAlign w:val="baseline"/>
                <w:lang w:val="en-US" w:eastAsia="zh-CN"/>
              </w:rPr>
            </w:pPr>
            <w:r>
              <w:rPr>
                <w:rFonts w:hint="eastAsia" w:ascii="Arial" w:hAnsi="Arial" w:eastAsia="宋体" w:cs="Arial"/>
                <w:sz w:val="20"/>
                <w:lang w:val="en-US" w:eastAsia="zh-CN"/>
              </w:rPr>
              <w:t>室外声源</w:t>
            </w:r>
          </w:p>
        </w:tc>
        <w:tc>
          <w:tcPr>
            <w:tcW w:w="2308" w:type="dxa"/>
            <w:vAlign w:val="center"/>
          </w:tcPr>
          <w:p w14:paraId="0991BA14">
            <w:pPr>
              <w:jc w:val="center"/>
              <w:rPr>
                <w:rFonts w:hint="default"/>
                <w:vertAlign w:val="baseline"/>
                <w:lang w:val="en-US" w:eastAsia="zh-CN"/>
              </w:rPr>
            </w:pPr>
            <w:r>
              <w:rPr>
                <w:rFonts w:ascii="Arial" w:hAnsi="Arial" w:eastAsia="Arial" w:cs="Arial"/>
                <w:sz w:val="20"/>
              </w:rPr>
              <w:t>1#楼中央空调冷却机组</w:t>
            </w:r>
          </w:p>
        </w:tc>
        <w:tc>
          <w:tcPr>
            <w:tcW w:w="1370" w:type="dxa"/>
            <w:vAlign w:val="center"/>
          </w:tcPr>
          <w:p w14:paraId="6AE51871">
            <w:pPr>
              <w:jc w:val="center"/>
              <w:rPr>
                <w:rFonts w:hint="default"/>
                <w:vertAlign w:val="baseline"/>
                <w:lang w:val="en-US" w:eastAsia="zh-CN"/>
              </w:rPr>
            </w:pPr>
            <w:r>
              <w:rPr>
                <w:rFonts w:ascii="Arial" w:hAnsi="Arial" w:eastAsia="Arial" w:cs="Arial"/>
                <w:sz w:val="20"/>
              </w:rPr>
              <w:t>85</w:t>
            </w:r>
          </w:p>
        </w:tc>
        <w:tc>
          <w:tcPr>
            <w:tcW w:w="875" w:type="dxa"/>
            <w:vAlign w:val="center"/>
          </w:tcPr>
          <w:p w14:paraId="649FD56C">
            <w:pPr>
              <w:jc w:val="center"/>
              <w:rPr>
                <w:rFonts w:hint="default"/>
                <w:vertAlign w:val="baseline"/>
                <w:lang w:val="en-US" w:eastAsia="zh-CN"/>
              </w:rPr>
            </w:pPr>
            <w:r>
              <w:rPr>
                <w:rFonts w:ascii="Arial" w:hAnsi="Arial" w:eastAsia="Arial" w:cs="Arial"/>
                <w:sz w:val="20"/>
              </w:rPr>
              <w:t>51.7</w:t>
            </w:r>
          </w:p>
        </w:tc>
        <w:tc>
          <w:tcPr>
            <w:tcW w:w="1021" w:type="dxa"/>
            <w:vAlign w:val="center"/>
          </w:tcPr>
          <w:p w14:paraId="1ACDF200">
            <w:pPr>
              <w:jc w:val="center"/>
            </w:pPr>
            <w:r>
              <w:rPr>
                <w:rFonts w:ascii="Arial" w:hAnsi="Arial" w:eastAsia="Arial" w:cs="Arial"/>
                <w:sz w:val="20"/>
              </w:rPr>
              <w:t>-110.8</w:t>
            </w:r>
          </w:p>
        </w:tc>
        <w:tc>
          <w:tcPr>
            <w:tcW w:w="935" w:type="dxa"/>
            <w:vAlign w:val="center"/>
          </w:tcPr>
          <w:p w14:paraId="0E324E45">
            <w:pPr>
              <w:jc w:val="center"/>
            </w:pPr>
            <w:r>
              <w:rPr>
                <w:rFonts w:ascii="Arial" w:hAnsi="Arial" w:eastAsia="Arial" w:cs="Arial"/>
                <w:sz w:val="20"/>
              </w:rPr>
              <w:t>354.8</w:t>
            </w:r>
          </w:p>
        </w:tc>
      </w:tr>
      <w:tr w14:paraId="251F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151EC846">
            <w:pPr>
              <w:jc w:val="center"/>
              <w:rPr>
                <w:rFonts w:hint="default"/>
                <w:vertAlign w:val="baseline"/>
                <w:lang w:val="en-US" w:eastAsia="zh-CN"/>
              </w:rPr>
            </w:pPr>
            <w:r>
              <w:rPr>
                <w:rFonts w:ascii="Arial" w:hAnsi="Arial" w:eastAsia="Arial" w:cs="Arial"/>
                <w:sz w:val="20"/>
              </w:rPr>
              <w:t>2</w:t>
            </w:r>
          </w:p>
        </w:tc>
        <w:tc>
          <w:tcPr>
            <w:tcW w:w="1125" w:type="dxa"/>
            <w:vMerge w:val="continue"/>
            <w:vAlign w:val="center"/>
          </w:tcPr>
          <w:p w14:paraId="379DC411">
            <w:pPr>
              <w:jc w:val="center"/>
              <w:rPr>
                <w:rFonts w:hint="default"/>
                <w:vertAlign w:val="baseline"/>
                <w:lang w:val="en-US" w:eastAsia="zh-CN"/>
              </w:rPr>
            </w:pPr>
          </w:p>
        </w:tc>
        <w:tc>
          <w:tcPr>
            <w:tcW w:w="2308" w:type="dxa"/>
            <w:vAlign w:val="center"/>
          </w:tcPr>
          <w:p w14:paraId="22E593FE">
            <w:pPr>
              <w:jc w:val="center"/>
              <w:rPr>
                <w:rFonts w:hint="default"/>
                <w:vertAlign w:val="baseline"/>
                <w:lang w:val="en-US" w:eastAsia="zh-CN"/>
              </w:rPr>
            </w:pPr>
            <w:r>
              <w:rPr>
                <w:rFonts w:ascii="Arial" w:hAnsi="Arial" w:eastAsia="Arial" w:cs="Arial"/>
                <w:sz w:val="20"/>
              </w:rPr>
              <w:t>2#楼中央空调冷却机组</w:t>
            </w:r>
          </w:p>
        </w:tc>
        <w:tc>
          <w:tcPr>
            <w:tcW w:w="1370" w:type="dxa"/>
            <w:vAlign w:val="center"/>
          </w:tcPr>
          <w:p w14:paraId="16C7D102">
            <w:pPr>
              <w:jc w:val="center"/>
              <w:rPr>
                <w:rFonts w:hint="default"/>
                <w:vertAlign w:val="baseline"/>
                <w:lang w:val="en-US" w:eastAsia="zh-CN"/>
              </w:rPr>
            </w:pPr>
            <w:r>
              <w:rPr>
                <w:rFonts w:ascii="Arial" w:hAnsi="Arial" w:eastAsia="Arial" w:cs="Arial"/>
                <w:sz w:val="20"/>
              </w:rPr>
              <w:t>85</w:t>
            </w:r>
          </w:p>
        </w:tc>
        <w:tc>
          <w:tcPr>
            <w:tcW w:w="875" w:type="dxa"/>
            <w:vAlign w:val="center"/>
          </w:tcPr>
          <w:p w14:paraId="7AB919E6">
            <w:pPr>
              <w:jc w:val="center"/>
              <w:rPr>
                <w:rFonts w:hint="default"/>
                <w:vertAlign w:val="baseline"/>
                <w:lang w:val="en-US" w:eastAsia="zh-CN"/>
              </w:rPr>
            </w:pPr>
            <w:r>
              <w:rPr>
                <w:rFonts w:ascii="Arial" w:hAnsi="Arial" w:eastAsia="Arial" w:cs="Arial"/>
                <w:sz w:val="20"/>
              </w:rPr>
              <w:t>46.5</w:t>
            </w:r>
          </w:p>
        </w:tc>
        <w:tc>
          <w:tcPr>
            <w:tcW w:w="1021" w:type="dxa"/>
            <w:vAlign w:val="center"/>
          </w:tcPr>
          <w:p w14:paraId="5AAF1A08">
            <w:pPr>
              <w:jc w:val="center"/>
            </w:pPr>
            <w:r>
              <w:rPr>
                <w:rFonts w:ascii="Arial" w:hAnsi="Arial" w:eastAsia="Arial" w:cs="Arial"/>
                <w:sz w:val="20"/>
              </w:rPr>
              <w:t>57.3</w:t>
            </w:r>
          </w:p>
        </w:tc>
        <w:tc>
          <w:tcPr>
            <w:tcW w:w="935" w:type="dxa"/>
            <w:vAlign w:val="center"/>
          </w:tcPr>
          <w:p w14:paraId="28D43C50">
            <w:pPr>
              <w:jc w:val="center"/>
            </w:pPr>
            <w:r>
              <w:rPr>
                <w:rFonts w:ascii="Arial" w:hAnsi="Arial" w:eastAsia="Arial" w:cs="Arial"/>
                <w:sz w:val="20"/>
              </w:rPr>
              <w:t>343.1</w:t>
            </w:r>
          </w:p>
        </w:tc>
      </w:tr>
      <w:tr w14:paraId="60F8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2D91E388">
            <w:pPr>
              <w:jc w:val="center"/>
              <w:rPr>
                <w:rFonts w:hint="default"/>
                <w:vertAlign w:val="baseline"/>
                <w:lang w:val="en-US" w:eastAsia="zh-CN"/>
              </w:rPr>
            </w:pPr>
            <w:r>
              <w:rPr>
                <w:rFonts w:ascii="Arial" w:hAnsi="Arial" w:eastAsia="Arial" w:cs="Arial"/>
                <w:sz w:val="20"/>
              </w:rPr>
              <w:t>3</w:t>
            </w:r>
          </w:p>
        </w:tc>
        <w:tc>
          <w:tcPr>
            <w:tcW w:w="1125" w:type="dxa"/>
            <w:vMerge w:val="continue"/>
            <w:vAlign w:val="center"/>
          </w:tcPr>
          <w:p w14:paraId="1AD889F0">
            <w:pPr>
              <w:jc w:val="center"/>
              <w:rPr>
                <w:rFonts w:hint="default"/>
                <w:vertAlign w:val="baseline"/>
                <w:lang w:val="en-US" w:eastAsia="zh-CN"/>
              </w:rPr>
            </w:pPr>
          </w:p>
        </w:tc>
        <w:tc>
          <w:tcPr>
            <w:tcW w:w="2308" w:type="dxa"/>
            <w:vAlign w:val="center"/>
          </w:tcPr>
          <w:p w14:paraId="1C38486F">
            <w:pPr>
              <w:jc w:val="center"/>
              <w:rPr>
                <w:rFonts w:hint="default"/>
                <w:vertAlign w:val="baseline"/>
                <w:lang w:val="en-US" w:eastAsia="zh-CN"/>
              </w:rPr>
            </w:pPr>
            <w:r>
              <w:rPr>
                <w:rFonts w:ascii="Arial" w:hAnsi="Arial" w:eastAsia="Arial" w:cs="Arial"/>
                <w:sz w:val="20"/>
              </w:rPr>
              <w:t>3#楼中央空调冷却机组</w:t>
            </w:r>
          </w:p>
        </w:tc>
        <w:tc>
          <w:tcPr>
            <w:tcW w:w="1370" w:type="dxa"/>
            <w:vAlign w:val="center"/>
          </w:tcPr>
          <w:p w14:paraId="3629346B">
            <w:pPr>
              <w:jc w:val="center"/>
              <w:rPr>
                <w:rFonts w:hint="default"/>
                <w:vertAlign w:val="baseline"/>
                <w:lang w:val="en-US" w:eastAsia="zh-CN"/>
              </w:rPr>
            </w:pPr>
            <w:r>
              <w:rPr>
                <w:rFonts w:ascii="Arial" w:hAnsi="Arial" w:eastAsia="Arial" w:cs="Arial"/>
                <w:sz w:val="20"/>
              </w:rPr>
              <w:t>85</w:t>
            </w:r>
          </w:p>
        </w:tc>
        <w:tc>
          <w:tcPr>
            <w:tcW w:w="875" w:type="dxa"/>
            <w:vAlign w:val="center"/>
          </w:tcPr>
          <w:p w14:paraId="196342E4">
            <w:pPr>
              <w:jc w:val="center"/>
              <w:rPr>
                <w:rFonts w:hint="default"/>
                <w:vertAlign w:val="baseline"/>
                <w:lang w:val="en-US" w:eastAsia="zh-CN"/>
              </w:rPr>
            </w:pPr>
            <w:r>
              <w:rPr>
                <w:rFonts w:ascii="Arial" w:hAnsi="Arial" w:eastAsia="Arial" w:cs="Arial"/>
                <w:sz w:val="20"/>
              </w:rPr>
              <w:t>5.7</w:t>
            </w:r>
          </w:p>
        </w:tc>
        <w:tc>
          <w:tcPr>
            <w:tcW w:w="1021" w:type="dxa"/>
            <w:vAlign w:val="center"/>
          </w:tcPr>
          <w:p w14:paraId="3C7CC886">
            <w:pPr>
              <w:jc w:val="center"/>
            </w:pPr>
            <w:r>
              <w:rPr>
                <w:rFonts w:ascii="Arial" w:hAnsi="Arial" w:eastAsia="Arial" w:cs="Arial"/>
                <w:sz w:val="20"/>
              </w:rPr>
              <w:t>145.7</w:t>
            </w:r>
          </w:p>
        </w:tc>
        <w:tc>
          <w:tcPr>
            <w:tcW w:w="935" w:type="dxa"/>
            <w:vAlign w:val="center"/>
          </w:tcPr>
          <w:p w14:paraId="3CCF1865">
            <w:pPr>
              <w:jc w:val="center"/>
            </w:pPr>
            <w:r>
              <w:rPr>
                <w:rFonts w:ascii="Arial" w:hAnsi="Arial" w:eastAsia="Arial" w:cs="Arial"/>
                <w:sz w:val="20"/>
              </w:rPr>
              <w:t>334.9</w:t>
            </w:r>
          </w:p>
        </w:tc>
      </w:tr>
      <w:tr w14:paraId="4605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6314C6C9">
            <w:pPr>
              <w:jc w:val="center"/>
              <w:rPr>
                <w:rFonts w:hint="default"/>
                <w:vertAlign w:val="baseline"/>
                <w:lang w:val="en-US" w:eastAsia="zh-CN"/>
              </w:rPr>
            </w:pPr>
            <w:r>
              <w:rPr>
                <w:rFonts w:ascii="Arial" w:hAnsi="Arial" w:eastAsia="Arial" w:cs="Arial"/>
                <w:sz w:val="20"/>
              </w:rPr>
              <w:t>4</w:t>
            </w:r>
          </w:p>
        </w:tc>
        <w:tc>
          <w:tcPr>
            <w:tcW w:w="1125" w:type="dxa"/>
            <w:vMerge w:val="continue"/>
            <w:vAlign w:val="center"/>
          </w:tcPr>
          <w:p w14:paraId="40CBD198">
            <w:pPr>
              <w:jc w:val="center"/>
              <w:rPr>
                <w:rFonts w:hint="default"/>
                <w:vertAlign w:val="baseline"/>
                <w:lang w:val="en-US" w:eastAsia="zh-CN"/>
              </w:rPr>
            </w:pPr>
          </w:p>
        </w:tc>
        <w:tc>
          <w:tcPr>
            <w:tcW w:w="2308" w:type="dxa"/>
            <w:vAlign w:val="center"/>
          </w:tcPr>
          <w:p w14:paraId="0DE82834">
            <w:pPr>
              <w:jc w:val="center"/>
              <w:rPr>
                <w:rFonts w:hint="default"/>
                <w:vertAlign w:val="baseline"/>
                <w:lang w:val="en-US" w:eastAsia="zh-CN"/>
              </w:rPr>
            </w:pPr>
            <w:r>
              <w:rPr>
                <w:rFonts w:ascii="Arial" w:hAnsi="Arial" w:eastAsia="Arial" w:cs="Arial"/>
                <w:sz w:val="20"/>
              </w:rPr>
              <w:t>4#楼中央空调冷却机组</w:t>
            </w:r>
          </w:p>
        </w:tc>
        <w:tc>
          <w:tcPr>
            <w:tcW w:w="1370" w:type="dxa"/>
            <w:vAlign w:val="center"/>
          </w:tcPr>
          <w:p w14:paraId="02945308">
            <w:pPr>
              <w:jc w:val="center"/>
              <w:rPr>
                <w:rFonts w:hint="default"/>
                <w:vertAlign w:val="baseline"/>
                <w:lang w:val="en-US" w:eastAsia="zh-CN"/>
              </w:rPr>
            </w:pPr>
            <w:r>
              <w:rPr>
                <w:rFonts w:ascii="Arial" w:hAnsi="Arial" w:eastAsia="Arial" w:cs="Arial"/>
                <w:sz w:val="20"/>
              </w:rPr>
              <w:t>85</w:t>
            </w:r>
          </w:p>
        </w:tc>
        <w:tc>
          <w:tcPr>
            <w:tcW w:w="875" w:type="dxa"/>
            <w:vAlign w:val="center"/>
          </w:tcPr>
          <w:p w14:paraId="2EF72E54">
            <w:pPr>
              <w:jc w:val="center"/>
              <w:rPr>
                <w:rFonts w:hint="default"/>
                <w:vertAlign w:val="baseline"/>
                <w:lang w:val="en-US" w:eastAsia="zh-CN"/>
              </w:rPr>
            </w:pPr>
            <w:r>
              <w:rPr>
                <w:rFonts w:ascii="Arial" w:hAnsi="Arial" w:eastAsia="Arial" w:cs="Arial"/>
                <w:sz w:val="20"/>
              </w:rPr>
              <w:t>-43.2</w:t>
            </w:r>
          </w:p>
        </w:tc>
        <w:tc>
          <w:tcPr>
            <w:tcW w:w="1021" w:type="dxa"/>
            <w:vAlign w:val="center"/>
          </w:tcPr>
          <w:p w14:paraId="2A47EC38">
            <w:pPr>
              <w:jc w:val="center"/>
            </w:pPr>
            <w:r>
              <w:rPr>
                <w:rFonts w:ascii="Arial" w:hAnsi="Arial" w:eastAsia="Arial" w:cs="Arial"/>
                <w:sz w:val="20"/>
              </w:rPr>
              <w:t>138.8</w:t>
            </w:r>
          </w:p>
        </w:tc>
        <w:tc>
          <w:tcPr>
            <w:tcW w:w="935" w:type="dxa"/>
            <w:vAlign w:val="center"/>
          </w:tcPr>
          <w:p w14:paraId="70A272F4">
            <w:pPr>
              <w:jc w:val="center"/>
            </w:pPr>
            <w:r>
              <w:rPr>
                <w:rFonts w:ascii="Arial" w:hAnsi="Arial" w:eastAsia="Arial" w:cs="Arial"/>
                <w:sz w:val="20"/>
              </w:rPr>
              <w:t>330.5</w:t>
            </w:r>
          </w:p>
        </w:tc>
      </w:tr>
      <w:tr w14:paraId="1589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23" w:type="dxa"/>
            <w:vAlign w:val="center"/>
          </w:tcPr>
          <w:p w14:paraId="52FE17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5</w:t>
            </w:r>
          </w:p>
        </w:tc>
        <w:tc>
          <w:tcPr>
            <w:tcW w:w="1125" w:type="dxa"/>
            <w:vMerge w:val="restart"/>
            <w:vAlign w:val="center"/>
          </w:tcPr>
          <w:p w14:paraId="0FD6E8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室内声源</w:t>
            </w:r>
          </w:p>
        </w:tc>
        <w:tc>
          <w:tcPr>
            <w:tcW w:w="2308" w:type="dxa"/>
            <w:vAlign w:val="center"/>
          </w:tcPr>
          <w:p w14:paraId="486119AD">
            <w:pPr>
              <w:jc w:val="center"/>
              <w:rPr>
                <w:rFonts w:hint="default"/>
                <w:vertAlign w:val="baseline"/>
                <w:lang w:val="en-US" w:eastAsia="zh-CN"/>
              </w:rPr>
            </w:pPr>
            <w:r>
              <w:rPr>
                <w:rFonts w:ascii="Arial" w:hAnsi="Arial" w:eastAsia="Arial" w:cs="Arial"/>
                <w:sz w:val="20"/>
              </w:rPr>
              <w:t>预处理池水泵</w:t>
            </w:r>
          </w:p>
        </w:tc>
        <w:tc>
          <w:tcPr>
            <w:tcW w:w="1370" w:type="dxa"/>
            <w:vAlign w:val="center"/>
          </w:tcPr>
          <w:p w14:paraId="5CD37E7D">
            <w:pPr>
              <w:jc w:val="center"/>
              <w:rPr>
                <w:rFonts w:hint="default"/>
                <w:vertAlign w:val="baseline"/>
                <w:lang w:val="en-US" w:eastAsia="zh-CN"/>
              </w:rPr>
            </w:pPr>
            <w:r>
              <w:rPr>
                <w:rFonts w:ascii="Arial" w:hAnsi="Arial" w:eastAsia="Arial" w:cs="Arial"/>
                <w:sz w:val="20"/>
              </w:rPr>
              <w:t>80</w:t>
            </w:r>
          </w:p>
        </w:tc>
        <w:tc>
          <w:tcPr>
            <w:tcW w:w="875" w:type="dxa"/>
            <w:vAlign w:val="center"/>
          </w:tcPr>
          <w:p w14:paraId="27B5D5C3">
            <w:pPr>
              <w:jc w:val="center"/>
              <w:rPr>
                <w:rFonts w:hint="default"/>
                <w:vertAlign w:val="baseline"/>
                <w:lang w:val="en-US" w:eastAsia="zh-CN"/>
              </w:rPr>
            </w:pPr>
            <w:r>
              <w:rPr>
                <w:rFonts w:ascii="Arial" w:hAnsi="Arial" w:eastAsia="Arial" w:cs="Arial"/>
                <w:sz w:val="20"/>
              </w:rPr>
              <w:t>-7.5</w:t>
            </w:r>
          </w:p>
        </w:tc>
        <w:tc>
          <w:tcPr>
            <w:tcW w:w="1021" w:type="dxa"/>
            <w:vAlign w:val="center"/>
          </w:tcPr>
          <w:p w14:paraId="58223888">
            <w:pPr>
              <w:jc w:val="center"/>
            </w:pPr>
            <w:r>
              <w:rPr>
                <w:rFonts w:ascii="Arial" w:hAnsi="Arial" w:eastAsia="Arial" w:cs="Arial"/>
                <w:sz w:val="20"/>
              </w:rPr>
              <w:t>103.1</w:t>
            </w:r>
          </w:p>
        </w:tc>
        <w:tc>
          <w:tcPr>
            <w:tcW w:w="935" w:type="dxa"/>
            <w:vAlign w:val="center"/>
          </w:tcPr>
          <w:p w14:paraId="4B983498">
            <w:pPr>
              <w:jc w:val="center"/>
            </w:pPr>
            <w:r>
              <w:rPr>
                <w:rFonts w:ascii="Arial" w:hAnsi="Arial" w:eastAsia="Arial" w:cs="Arial"/>
                <w:sz w:val="20"/>
              </w:rPr>
              <w:t>333.4</w:t>
            </w:r>
          </w:p>
        </w:tc>
      </w:tr>
      <w:tr w14:paraId="47D1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723" w:type="dxa"/>
            <w:vAlign w:val="center"/>
          </w:tcPr>
          <w:p w14:paraId="594467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6</w:t>
            </w:r>
          </w:p>
        </w:tc>
        <w:tc>
          <w:tcPr>
            <w:tcW w:w="1125" w:type="dxa"/>
            <w:vMerge w:val="continue"/>
            <w:vAlign w:val="center"/>
          </w:tcPr>
          <w:p w14:paraId="58DD03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67637328">
            <w:pPr>
              <w:jc w:val="center"/>
              <w:rPr>
                <w:rFonts w:hint="default"/>
                <w:vertAlign w:val="baseline"/>
                <w:lang w:val="en-US" w:eastAsia="zh-CN"/>
              </w:rPr>
            </w:pPr>
            <w:r>
              <w:rPr>
                <w:rFonts w:ascii="Arial" w:hAnsi="Arial" w:eastAsia="Arial" w:cs="Arial"/>
                <w:sz w:val="20"/>
              </w:rPr>
              <w:t>1#、2#楼地下室机械排风系统</w:t>
            </w:r>
          </w:p>
        </w:tc>
        <w:tc>
          <w:tcPr>
            <w:tcW w:w="1370" w:type="dxa"/>
            <w:vAlign w:val="center"/>
          </w:tcPr>
          <w:p w14:paraId="25DA71FF">
            <w:pPr>
              <w:jc w:val="center"/>
              <w:rPr>
                <w:rFonts w:hint="default"/>
                <w:vertAlign w:val="baseline"/>
                <w:lang w:val="en-US" w:eastAsia="zh-CN"/>
              </w:rPr>
            </w:pPr>
            <w:r>
              <w:rPr>
                <w:rFonts w:ascii="Arial" w:hAnsi="Arial" w:eastAsia="Arial" w:cs="Arial"/>
                <w:sz w:val="20"/>
              </w:rPr>
              <w:t>80</w:t>
            </w:r>
          </w:p>
        </w:tc>
        <w:tc>
          <w:tcPr>
            <w:tcW w:w="875" w:type="dxa"/>
            <w:vAlign w:val="center"/>
          </w:tcPr>
          <w:p w14:paraId="573B2343">
            <w:pPr>
              <w:jc w:val="center"/>
              <w:rPr>
                <w:rFonts w:hint="default"/>
                <w:vertAlign w:val="baseline"/>
                <w:lang w:val="en-US" w:eastAsia="zh-CN"/>
              </w:rPr>
            </w:pPr>
            <w:r>
              <w:rPr>
                <w:rFonts w:ascii="Arial" w:hAnsi="Arial" w:eastAsia="Arial" w:cs="Arial"/>
                <w:sz w:val="20"/>
              </w:rPr>
              <w:t>70.9</w:t>
            </w:r>
          </w:p>
        </w:tc>
        <w:tc>
          <w:tcPr>
            <w:tcW w:w="1021" w:type="dxa"/>
            <w:vAlign w:val="center"/>
          </w:tcPr>
          <w:p w14:paraId="0F313992">
            <w:pPr>
              <w:jc w:val="center"/>
            </w:pPr>
            <w:r>
              <w:rPr>
                <w:rFonts w:ascii="Arial" w:hAnsi="Arial" w:eastAsia="Arial" w:cs="Arial"/>
                <w:sz w:val="20"/>
              </w:rPr>
              <w:t>-36</w:t>
            </w:r>
          </w:p>
        </w:tc>
        <w:tc>
          <w:tcPr>
            <w:tcW w:w="935" w:type="dxa"/>
            <w:vAlign w:val="center"/>
          </w:tcPr>
          <w:p w14:paraId="2A93D574">
            <w:pPr>
              <w:jc w:val="center"/>
            </w:pPr>
            <w:r>
              <w:rPr>
                <w:rFonts w:ascii="Arial" w:hAnsi="Arial" w:eastAsia="Arial" w:cs="Arial"/>
                <w:sz w:val="20"/>
              </w:rPr>
              <w:t>354.4</w:t>
            </w:r>
          </w:p>
        </w:tc>
      </w:tr>
      <w:tr w14:paraId="711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1E964C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7</w:t>
            </w:r>
          </w:p>
        </w:tc>
        <w:tc>
          <w:tcPr>
            <w:tcW w:w="1125" w:type="dxa"/>
            <w:vMerge w:val="continue"/>
            <w:vAlign w:val="center"/>
          </w:tcPr>
          <w:p w14:paraId="126147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48AAC21A">
            <w:pPr>
              <w:jc w:val="center"/>
              <w:rPr>
                <w:rFonts w:hint="default"/>
                <w:vertAlign w:val="baseline"/>
                <w:lang w:val="en-US" w:eastAsia="zh-CN"/>
              </w:rPr>
            </w:pPr>
            <w:r>
              <w:rPr>
                <w:rFonts w:ascii="Arial" w:hAnsi="Arial" w:eastAsia="Arial" w:cs="Arial"/>
                <w:sz w:val="20"/>
              </w:rPr>
              <w:t>3#、4#楼地下室机械排风系统</w:t>
            </w:r>
          </w:p>
        </w:tc>
        <w:tc>
          <w:tcPr>
            <w:tcW w:w="1370" w:type="dxa"/>
            <w:vAlign w:val="center"/>
          </w:tcPr>
          <w:p w14:paraId="21C545C7">
            <w:pPr>
              <w:jc w:val="center"/>
              <w:rPr>
                <w:rFonts w:hint="default"/>
                <w:vertAlign w:val="baseline"/>
                <w:lang w:val="en-US" w:eastAsia="zh-CN"/>
              </w:rPr>
            </w:pPr>
            <w:r>
              <w:rPr>
                <w:rFonts w:ascii="Arial" w:hAnsi="Arial" w:eastAsia="Arial" w:cs="Arial"/>
                <w:sz w:val="20"/>
              </w:rPr>
              <w:t>80</w:t>
            </w:r>
          </w:p>
        </w:tc>
        <w:tc>
          <w:tcPr>
            <w:tcW w:w="875" w:type="dxa"/>
            <w:vAlign w:val="center"/>
          </w:tcPr>
          <w:p w14:paraId="227D0AE1">
            <w:pPr>
              <w:jc w:val="center"/>
              <w:rPr>
                <w:rFonts w:hint="default"/>
                <w:vertAlign w:val="baseline"/>
                <w:lang w:val="en-US" w:eastAsia="zh-CN"/>
              </w:rPr>
            </w:pPr>
            <w:r>
              <w:rPr>
                <w:rFonts w:ascii="Arial" w:hAnsi="Arial" w:eastAsia="Arial" w:cs="Arial"/>
                <w:sz w:val="20"/>
              </w:rPr>
              <w:t>-11.5</w:t>
            </w:r>
          </w:p>
        </w:tc>
        <w:tc>
          <w:tcPr>
            <w:tcW w:w="1021" w:type="dxa"/>
            <w:vAlign w:val="center"/>
          </w:tcPr>
          <w:p w14:paraId="16025C1D">
            <w:pPr>
              <w:jc w:val="center"/>
            </w:pPr>
            <w:r>
              <w:rPr>
                <w:rFonts w:ascii="Arial" w:hAnsi="Arial" w:eastAsia="Arial" w:cs="Arial"/>
                <w:sz w:val="20"/>
              </w:rPr>
              <w:t>177.8</w:t>
            </w:r>
          </w:p>
        </w:tc>
        <w:tc>
          <w:tcPr>
            <w:tcW w:w="935" w:type="dxa"/>
            <w:vAlign w:val="center"/>
          </w:tcPr>
          <w:p w14:paraId="06990BFD">
            <w:pPr>
              <w:jc w:val="center"/>
            </w:pPr>
            <w:r>
              <w:rPr>
                <w:rFonts w:ascii="Arial" w:hAnsi="Arial" w:eastAsia="Arial" w:cs="Arial"/>
                <w:sz w:val="20"/>
              </w:rPr>
              <w:t>336.5</w:t>
            </w:r>
          </w:p>
        </w:tc>
      </w:tr>
      <w:tr w14:paraId="0FB3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23" w:type="dxa"/>
            <w:vAlign w:val="center"/>
          </w:tcPr>
          <w:p w14:paraId="573DA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8</w:t>
            </w:r>
          </w:p>
        </w:tc>
        <w:tc>
          <w:tcPr>
            <w:tcW w:w="1125" w:type="dxa"/>
            <w:vMerge w:val="continue"/>
            <w:vAlign w:val="center"/>
          </w:tcPr>
          <w:p w14:paraId="53ECC1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211E96F8">
            <w:pPr>
              <w:jc w:val="center"/>
              <w:rPr>
                <w:rFonts w:hint="default"/>
                <w:vertAlign w:val="baseline"/>
                <w:lang w:val="en-US" w:eastAsia="zh-CN"/>
              </w:rPr>
            </w:pPr>
            <w:r>
              <w:rPr>
                <w:rFonts w:ascii="Arial" w:hAnsi="Arial" w:eastAsia="Arial" w:cs="Arial"/>
                <w:sz w:val="20"/>
              </w:rPr>
              <w:t>污水处理站水泵、风机</w:t>
            </w:r>
          </w:p>
        </w:tc>
        <w:tc>
          <w:tcPr>
            <w:tcW w:w="1370" w:type="dxa"/>
            <w:vAlign w:val="center"/>
          </w:tcPr>
          <w:p w14:paraId="63C82805">
            <w:pPr>
              <w:jc w:val="center"/>
              <w:rPr>
                <w:rFonts w:hint="default"/>
                <w:vertAlign w:val="baseline"/>
                <w:lang w:val="en-US" w:eastAsia="zh-CN"/>
              </w:rPr>
            </w:pPr>
            <w:r>
              <w:rPr>
                <w:rFonts w:ascii="Arial" w:hAnsi="Arial" w:eastAsia="Arial" w:cs="Arial"/>
                <w:sz w:val="20"/>
              </w:rPr>
              <w:t>85</w:t>
            </w:r>
          </w:p>
        </w:tc>
        <w:tc>
          <w:tcPr>
            <w:tcW w:w="875" w:type="dxa"/>
            <w:vAlign w:val="center"/>
          </w:tcPr>
          <w:p w14:paraId="181B7B11">
            <w:pPr>
              <w:jc w:val="center"/>
              <w:rPr>
                <w:rFonts w:hint="default"/>
                <w:vertAlign w:val="baseline"/>
                <w:lang w:val="en-US" w:eastAsia="zh-CN"/>
              </w:rPr>
            </w:pPr>
            <w:r>
              <w:rPr>
                <w:rFonts w:ascii="Arial" w:hAnsi="Arial" w:eastAsia="Arial" w:cs="Arial"/>
                <w:sz w:val="20"/>
              </w:rPr>
              <w:t>-68.5</w:t>
            </w:r>
          </w:p>
        </w:tc>
        <w:tc>
          <w:tcPr>
            <w:tcW w:w="1021" w:type="dxa"/>
            <w:vAlign w:val="center"/>
          </w:tcPr>
          <w:p w14:paraId="69A20B51">
            <w:pPr>
              <w:jc w:val="center"/>
            </w:pPr>
            <w:r>
              <w:rPr>
                <w:rFonts w:ascii="Arial" w:hAnsi="Arial" w:eastAsia="Arial" w:cs="Arial"/>
                <w:sz w:val="20"/>
              </w:rPr>
              <w:t>-138.5</w:t>
            </w:r>
          </w:p>
        </w:tc>
        <w:tc>
          <w:tcPr>
            <w:tcW w:w="935" w:type="dxa"/>
            <w:vAlign w:val="center"/>
          </w:tcPr>
          <w:p w14:paraId="19290362">
            <w:pPr>
              <w:jc w:val="center"/>
            </w:pPr>
            <w:r>
              <w:rPr>
                <w:rFonts w:ascii="Arial" w:hAnsi="Arial" w:eastAsia="Arial" w:cs="Arial"/>
                <w:sz w:val="20"/>
              </w:rPr>
              <w:t>329.1</w:t>
            </w:r>
          </w:p>
        </w:tc>
      </w:tr>
      <w:tr w14:paraId="2B0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3" w:type="dxa"/>
            <w:vAlign w:val="center"/>
          </w:tcPr>
          <w:p w14:paraId="398B94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r>
              <w:rPr>
                <w:rFonts w:hint="eastAsia" w:ascii="Times New Roman" w:hAnsi="Times New Roman" w:eastAsia="宋体" w:cs="Times New Roman"/>
                <w:i w:val="0"/>
                <w:iCs w:val="0"/>
                <w:caps w:val="0"/>
                <w:color w:val="auto"/>
                <w:spacing w:val="0"/>
                <w:kern w:val="0"/>
                <w:sz w:val="21"/>
                <w:szCs w:val="21"/>
                <w:shd w:val="clear" w:fill="FFFFFF"/>
                <w:vertAlign w:val="baseline"/>
                <w:lang w:val="en-US" w:eastAsia="zh-CN" w:bidi="ar"/>
              </w:rPr>
              <w:t>9</w:t>
            </w:r>
          </w:p>
        </w:tc>
        <w:tc>
          <w:tcPr>
            <w:tcW w:w="1125" w:type="dxa"/>
            <w:vMerge w:val="continue"/>
            <w:vAlign w:val="center"/>
          </w:tcPr>
          <w:p w14:paraId="7C4ACF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vertAlign w:val="baseline"/>
                <w:lang w:val="en-US" w:eastAsia="zh-CN"/>
              </w:rPr>
            </w:pPr>
          </w:p>
        </w:tc>
        <w:tc>
          <w:tcPr>
            <w:tcW w:w="2308" w:type="dxa"/>
            <w:vAlign w:val="center"/>
          </w:tcPr>
          <w:p w14:paraId="5D588533">
            <w:pPr>
              <w:jc w:val="center"/>
              <w:rPr>
                <w:rFonts w:hint="default"/>
                <w:vertAlign w:val="baseline"/>
                <w:lang w:val="en-US" w:eastAsia="zh-CN"/>
              </w:rPr>
            </w:pPr>
            <w:r>
              <w:rPr>
                <w:rFonts w:ascii="Arial" w:hAnsi="Arial" w:eastAsia="Arial" w:cs="Arial"/>
                <w:sz w:val="20"/>
              </w:rPr>
              <w:t>锅炉</w:t>
            </w:r>
          </w:p>
        </w:tc>
        <w:tc>
          <w:tcPr>
            <w:tcW w:w="1370" w:type="dxa"/>
            <w:vAlign w:val="center"/>
          </w:tcPr>
          <w:p w14:paraId="17572A89">
            <w:pPr>
              <w:jc w:val="center"/>
              <w:rPr>
                <w:rFonts w:hint="default"/>
                <w:vertAlign w:val="baseline"/>
                <w:lang w:val="en-US" w:eastAsia="zh-CN"/>
              </w:rPr>
            </w:pPr>
            <w:r>
              <w:rPr>
                <w:rFonts w:ascii="Arial" w:hAnsi="Arial" w:eastAsia="Arial" w:cs="Arial"/>
                <w:sz w:val="20"/>
              </w:rPr>
              <w:t>90</w:t>
            </w:r>
          </w:p>
        </w:tc>
        <w:tc>
          <w:tcPr>
            <w:tcW w:w="875" w:type="dxa"/>
            <w:vAlign w:val="center"/>
          </w:tcPr>
          <w:p w14:paraId="2BD055F4">
            <w:pPr>
              <w:jc w:val="center"/>
              <w:rPr>
                <w:rFonts w:hint="default"/>
                <w:vertAlign w:val="baseline"/>
                <w:lang w:val="en-US" w:eastAsia="zh-CN"/>
              </w:rPr>
            </w:pPr>
            <w:r>
              <w:rPr>
                <w:rFonts w:ascii="Arial" w:hAnsi="Arial" w:eastAsia="Arial" w:cs="Arial"/>
                <w:sz w:val="20"/>
              </w:rPr>
              <w:t>77.2</w:t>
            </w:r>
          </w:p>
        </w:tc>
        <w:tc>
          <w:tcPr>
            <w:tcW w:w="1021" w:type="dxa"/>
            <w:vAlign w:val="center"/>
          </w:tcPr>
          <w:p w14:paraId="709BFEFF">
            <w:pPr>
              <w:jc w:val="center"/>
            </w:pPr>
            <w:r>
              <w:rPr>
                <w:rFonts w:ascii="Arial" w:hAnsi="Arial" w:eastAsia="Arial" w:cs="Arial"/>
                <w:sz w:val="20"/>
              </w:rPr>
              <w:t>33</w:t>
            </w:r>
          </w:p>
        </w:tc>
        <w:tc>
          <w:tcPr>
            <w:tcW w:w="935" w:type="dxa"/>
            <w:vAlign w:val="center"/>
          </w:tcPr>
          <w:p w14:paraId="71116691">
            <w:pPr>
              <w:jc w:val="center"/>
            </w:pPr>
            <w:r>
              <w:rPr>
                <w:rFonts w:ascii="Arial" w:hAnsi="Arial" w:eastAsia="Arial" w:cs="Arial"/>
                <w:sz w:val="20"/>
              </w:rPr>
              <w:t>352.2</w:t>
            </w:r>
          </w:p>
        </w:tc>
      </w:tr>
    </w:tbl>
    <w:p w14:paraId="14FAE9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（2）本项目对设备采取的降噪措施有：</w:t>
      </w:r>
    </w:p>
    <w:p w14:paraId="6FAF7D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为确保项目厂界噪声达标排放，项目拟采取以下措施进行防护：</w:t>
      </w:r>
    </w:p>
    <w:p w14:paraId="4219B6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①采用先进的低噪声设备，从源头上削减源强；</w:t>
      </w:r>
    </w:p>
    <w:p w14:paraId="3AE492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②供配电房、生活及消防水泵房设置于</w:t>
      </w:r>
      <w:r>
        <w:rPr>
          <w:rFonts w:hint="default" w:ascii="Times New Roman" w:hAnsi="Times New Roman" w:eastAsia="宋体" w:cs="Times New Roman"/>
          <w:color w:val="auto"/>
          <w:sz w:val="24"/>
          <w:szCs w:val="24"/>
          <w:lang w:val="en-US" w:eastAsia="zh-CN"/>
        </w:rPr>
        <w:t>后勤</w:t>
      </w:r>
      <w:r>
        <w:rPr>
          <w:rFonts w:hint="default" w:ascii="Times New Roman" w:hAnsi="Times New Roman" w:eastAsia="宋体" w:cs="Times New Roman"/>
          <w:color w:val="auto"/>
          <w:sz w:val="24"/>
          <w:szCs w:val="24"/>
        </w:rPr>
        <w:t>楼地下室的设备房内，房间密闭隔声；</w:t>
      </w:r>
    </w:p>
    <w:p w14:paraId="1CB2A0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③空调机组设置于楼顶的设备间内，采取基础减振、橡胶垫减振、使用柔性连接等措施；</w:t>
      </w:r>
    </w:p>
    <w:p w14:paraId="6F616A36">
      <w:pPr>
        <w:keepNext w:val="0"/>
        <w:keepLines w:val="0"/>
        <w:pageBreakBefore w:val="0"/>
        <w:widowControl/>
        <w:suppressLineNumbers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④污水处理站采用潜水泵，并经设备房隔声；</w:t>
      </w:r>
    </w:p>
    <w:p w14:paraId="7530384B">
      <w:pPr>
        <w:keepNext w:val="0"/>
        <w:keepLines w:val="0"/>
        <w:pageBreakBefore w:val="0"/>
        <w:widowControl/>
        <w:suppressLineNumbers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⑤院区禁止鸣笛，合理设置明显的车流导向标志等；</w:t>
      </w:r>
    </w:p>
    <w:p w14:paraId="2F9F1661">
      <w:pPr>
        <w:keepNext w:val="0"/>
        <w:keepLines w:val="0"/>
        <w:pageBreakBefore w:val="0"/>
        <w:widowControl/>
        <w:suppressLineNumbers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lang w:val="en-US" w:eastAsia="zh-CN"/>
        </w:rPr>
        <w:t>院</w:t>
      </w:r>
      <w:r>
        <w:rPr>
          <w:rFonts w:hint="default" w:ascii="Times New Roman" w:hAnsi="Times New Roman" w:eastAsia="宋体" w:cs="Times New Roman"/>
          <w:color w:val="auto"/>
          <w:sz w:val="24"/>
          <w:szCs w:val="24"/>
        </w:rPr>
        <w:t>区建筑物周围种植绿化。</w:t>
      </w:r>
    </w:p>
    <w:p w14:paraId="13DDF1E4">
      <w:pPr>
        <w:keepNext w:val="0"/>
        <w:keepLines w:val="0"/>
        <w:pageBreakBefore w:val="0"/>
        <w:widowControl/>
        <w:suppressLineNumbers w:val="0"/>
        <w:kinsoku/>
        <w:wordWrap/>
        <w:overflowPunct/>
        <w:topLinePunct w:val="0"/>
        <w:autoSpaceDE/>
        <w:autoSpaceDN/>
        <w:bidi w:val="0"/>
        <w:adjustRightInd/>
        <w:snapToGrid/>
        <w:spacing w:line="348" w:lineRule="auto"/>
        <w:jc w:val="left"/>
        <w:textAlignment w:val="auto"/>
        <w:rPr>
          <w:rFonts w:hint="default" w:ascii="Times New Roman" w:hAnsi="Times New Roman" w:eastAsia="宋体" w:cs="Times New Roman"/>
          <w:b/>
          <w:bCs/>
          <w:color w:val="auto"/>
          <w:sz w:val="24"/>
          <w:szCs w:val="24"/>
          <w:highlight w:val="none"/>
          <w:lang w:val="de-DE"/>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w:t>
      </w: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）场界</w:t>
      </w:r>
      <w:r>
        <w:rPr>
          <w:rFonts w:hint="default" w:ascii="Times New Roman" w:hAnsi="Times New Roman" w:eastAsia="宋体" w:cs="Times New Roman"/>
          <w:b w:val="0"/>
          <w:bCs w:val="0"/>
          <w:color w:val="auto"/>
          <w:sz w:val="24"/>
          <w:szCs w:val="24"/>
          <w:highlight w:val="none"/>
          <w:lang w:val="de-DE"/>
        </w:rPr>
        <w:t>及环境保护目标达标情况分析</w:t>
      </w:r>
    </w:p>
    <w:p w14:paraId="0F892797">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①户外声源衰减模式</w:t>
      </w:r>
    </w:p>
    <w:p w14:paraId="049542CB">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点声源的几何发散衰减：</w:t>
      </w:r>
    </w:p>
    <w:p w14:paraId="1EA6F9DA">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无指向性点声源几何发散衰减的基本公式是：</w:t>
      </w:r>
    </w:p>
    <w:p w14:paraId="4D7FB868">
      <w:pPr>
        <w:keepNext w:val="0"/>
        <w:keepLines w:val="0"/>
        <w:pageBreakBefore w:val="0"/>
        <w:kinsoku/>
        <w:wordWrap/>
        <w:overflowPunct/>
        <w:topLinePunct w:val="0"/>
        <w:autoSpaceDE/>
        <w:autoSpaceDN/>
        <w:bidi w:val="0"/>
        <w:spacing w:line="348" w:lineRule="auto"/>
        <w:ind w:firstLine="465"/>
        <w:jc w:val="center"/>
        <w:textAlignment w:val="auto"/>
        <w:rPr>
          <w:rFonts w:hint="default" w:ascii="Times New Roman" w:hAnsi="Times New Roman" w:eastAsia="宋体" w:cs="Times New Roman"/>
          <w:color w:val="auto"/>
          <w:sz w:val="28"/>
          <w:szCs w:val="24"/>
          <w:highlight w:val="none"/>
          <w:lang w:val="en-US"/>
        </w:rPr>
      </w:pPr>
      <w:r>
        <w:rPr>
          <w:rFonts w:hint="default" w:ascii="Times New Roman" w:hAnsi="Times New Roman" w:eastAsia="宋体" w:cs="Times New Roman"/>
          <w:color w:val="auto"/>
          <w:sz w:val="28"/>
          <w:szCs w:val="24"/>
          <w:highlight w:val="none"/>
        </w:rPr>
        <w:t>L</w:t>
      </w:r>
      <w:r>
        <w:rPr>
          <w:rFonts w:hint="default" w:ascii="Times New Roman" w:hAnsi="Times New Roman" w:eastAsia="宋体" w:cs="Times New Roman"/>
          <w:color w:val="auto"/>
          <w:sz w:val="28"/>
          <w:szCs w:val="24"/>
          <w:highlight w:val="none"/>
          <w:vertAlign w:val="subscript"/>
        </w:rPr>
        <w:t>1</w:t>
      </w:r>
      <w:r>
        <w:rPr>
          <w:rFonts w:hint="default" w:ascii="Times New Roman" w:hAnsi="Times New Roman" w:eastAsia="宋体" w:cs="Times New Roman"/>
          <w:color w:val="auto"/>
          <w:sz w:val="28"/>
          <w:szCs w:val="24"/>
          <w:highlight w:val="none"/>
        </w:rPr>
        <w:t>＝Lr</w:t>
      </w:r>
      <w:r>
        <w:rPr>
          <w:rFonts w:hint="default" w:ascii="Times New Roman" w:hAnsi="Times New Roman" w:eastAsia="宋体" w:cs="Times New Roman"/>
          <w:color w:val="auto"/>
          <w:sz w:val="28"/>
          <w:szCs w:val="24"/>
          <w:highlight w:val="none"/>
          <w:vertAlign w:val="subscript"/>
        </w:rPr>
        <w:t>0</w:t>
      </w:r>
      <w:r>
        <w:rPr>
          <w:rFonts w:hint="default" w:ascii="Times New Roman" w:hAnsi="Times New Roman" w:eastAsia="宋体" w:cs="Times New Roman"/>
          <w:color w:val="auto"/>
          <w:sz w:val="28"/>
          <w:szCs w:val="24"/>
          <w:highlight w:val="none"/>
        </w:rPr>
        <w:t>－20lg</w:t>
      </w:r>
      <w:r>
        <w:rPr>
          <w:rFonts w:hint="default" w:ascii="Times New Roman" w:hAnsi="Times New Roman" w:eastAsia="宋体" w:cs="Times New Roman"/>
          <w:color w:val="auto"/>
          <w:sz w:val="28"/>
          <w:szCs w:val="24"/>
          <w:highlight w:val="none"/>
          <w:lang w:eastAsia="zh-CN"/>
        </w:rPr>
        <w:t>（</w:t>
      </w:r>
      <w:r>
        <w:rPr>
          <w:rFonts w:hint="default" w:ascii="Times New Roman" w:hAnsi="Times New Roman" w:eastAsia="宋体" w:cs="Times New Roman"/>
          <w:color w:val="auto"/>
          <w:sz w:val="28"/>
          <w:szCs w:val="24"/>
          <w:highlight w:val="none"/>
        </w:rPr>
        <w:t>r</w:t>
      </w:r>
      <w:r>
        <w:rPr>
          <w:rFonts w:hint="default" w:ascii="Times New Roman" w:hAnsi="Times New Roman" w:eastAsia="宋体" w:cs="Times New Roman"/>
          <w:color w:val="auto"/>
          <w:sz w:val="28"/>
          <w:szCs w:val="24"/>
          <w:highlight w:val="none"/>
          <w:vertAlign w:val="subscript"/>
        </w:rPr>
        <w:t>1</w:t>
      </w:r>
      <w:r>
        <w:rPr>
          <w:rFonts w:hint="default" w:ascii="Times New Roman" w:hAnsi="Times New Roman" w:eastAsia="宋体" w:cs="Times New Roman"/>
          <w:color w:val="auto"/>
          <w:sz w:val="28"/>
          <w:szCs w:val="24"/>
          <w:highlight w:val="none"/>
        </w:rPr>
        <w:t>/r</w:t>
      </w:r>
      <w:r>
        <w:rPr>
          <w:rFonts w:hint="default" w:ascii="Times New Roman" w:hAnsi="Times New Roman" w:eastAsia="宋体" w:cs="Times New Roman"/>
          <w:color w:val="auto"/>
          <w:sz w:val="28"/>
          <w:szCs w:val="24"/>
          <w:highlight w:val="none"/>
          <w:vertAlign w:val="subscript"/>
        </w:rPr>
        <w:t>0</w:t>
      </w:r>
      <w:r>
        <w:rPr>
          <w:rFonts w:hint="default" w:ascii="Times New Roman" w:hAnsi="Times New Roman" w:eastAsia="宋体" w:cs="Times New Roman"/>
          <w:color w:val="auto"/>
          <w:sz w:val="28"/>
          <w:szCs w:val="24"/>
          <w:highlight w:val="none"/>
          <w:lang w:eastAsia="zh-CN"/>
        </w:rPr>
        <w:t>）</w:t>
      </w:r>
      <w:r>
        <w:rPr>
          <w:rFonts w:hint="default" w:ascii="Times New Roman" w:hAnsi="Times New Roman" w:eastAsia="宋体" w:cs="Times New Roman"/>
          <w:color w:val="auto"/>
          <w:sz w:val="28"/>
          <w:szCs w:val="24"/>
          <w:highlight w:val="none"/>
          <w:lang w:val="en-US" w:eastAsia="zh-CN"/>
        </w:rPr>
        <w:t>-△</w:t>
      </w:r>
      <w:r>
        <w:rPr>
          <w:rFonts w:hint="default" w:ascii="Times New Roman" w:hAnsi="Times New Roman" w:eastAsia="宋体" w:cs="Times New Roman"/>
          <w:color w:val="auto"/>
          <w:sz w:val="28"/>
          <w:szCs w:val="24"/>
          <w:highlight w:val="none"/>
        </w:rPr>
        <w:t>L</w:t>
      </w:r>
    </w:p>
    <w:p w14:paraId="46643EF3">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——距声源r</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处的声级，dB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97D6E23">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——距声源r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处的声级，dB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42F44738">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——预测点距噪声源距离，m；</w:t>
      </w:r>
    </w:p>
    <w:p w14:paraId="11035DFD">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——噪声测量点距噪声源距离，m；</w:t>
      </w:r>
    </w:p>
    <w:p w14:paraId="477F1968">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rPr>
        <w:t>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各种因素引起的衰减量（包括遮挡物、空气吸收、地面效应引起的衰减量）。本次取20</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p>
    <w:p w14:paraId="00E52677">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②噪声叠加公式</w:t>
      </w:r>
    </w:p>
    <w:p w14:paraId="141750D0">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不同的噪声源共同作用于某个预测点，该预测点噪声值为各声源传播到预测点声级的叠加后的总等效声级L</w:t>
      </w:r>
      <w:r>
        <w:rPr>
          <w:rFonts w:hint="default" w:ascii="Times New Roman" w:hAnsi="Times New Roman" w:eastAsia="宋体" w:cs="Times New Roman"/>
          <w:color w:val="auto"/>
          <w:sz w:val="24"/>
          <w:szCs w:val="24"/>
          <w:vertAlign w:val="subscript"/>
          <w:lang w:val="en-US" w:eastAsia="zh-CN"/>
        </w:rPr>
        <w:t>eq</w:t>
      </w:r>
      <w:r>
        <w:rPr>
          <w:rFonts w:hint="default" w:ascii="Times New Roman" w:hAnsi="Times New Roman" w:eastAsia="宋体" w:cs="Times New Roman"/>
          <w:color w:val="auto"/>
          <w:sz w:val="24"/>
          <w:szCs w:val="24"/>
          <w:lang w:val="en-US" w:eastAsia="zh-CN"/>
        </w:rPr>
        <w:t>，计算公式如下：</w:t>
      </w:r>
    </w:p>
    <w:p w14:paraId="09805B49">
      <w:pPr>
        <w:keepNext w:val="0"/>
        <w:keepLines w:val="0"/>
        <w:pageBreakBefore w:val="0"/>
        <w:kinsoku/>
        <w:wordWrap/>
        <w:overflowPunct/>
        <w:topLinePunct w:val="0"/>
        <w:autoSpaceDE/>
        <w:autoSpaceDN/>
        <w:bidi w:val="0"/>
        <w:adjustRightInd w:val="0"/>
        <w:snapToGrid w:val="0"/>
        <w:spacing w:line="348" w:lineRule="auto"/>
        <w:ind w:firstLine="480" w:firstLineChars="200"/>
        <w:jc w:val="center"/>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eq</w:t>
      </w:r>
      <w:r>
        <w:rPr>
          <w:rFonts w:hint="default" w:ascii="Times New Roman" w:hAnsi="Times New Roman" w:eastAsia="宋体" w:cs="Times New Roman"/>
          <w:i w:val="0"/>
          <w:color w:val="auto"/>
          <w:kern w:val="2"/>
          <w:sz w:val="28"/>
          <w:szCs w:val="28"/>
          <w:highlight w:val="none"/>
          <w:lang w:val="en-US" w:eastAsia="zh-CN" w:bidi="ar-SA"/>
        </w:rPr>
        <w:t>=10lg(</w:t>
      </w:r>
      <m:oMath>
        <m:f>
          <m:fPr>
            <m:ctrlPr>
              <w:rPr>
                <w:rFonts w:hint="default" w:ascii="Cambria Math" w:hAnsi="Cambria Math" w:eastAsia="宋体" w:cs="Times New Roman"/>
                <w:i/>
                <w:color w:val="auto"/>
                <w:kern w:val="2"/>
                <w:sz w:val="28"/>
                <w:szCs w:val="28"/>
                <w:highlight w:val="none"/>
                <w:lang w:val="en-US" w:bidi="ar-SA"/>
              </w:rPr>
            </m:ctrlPr>
          </m:fPr>
          <m:num>
            <m:r>
              <m:rPr/>
              <w:rPr>
                <w:rFonts w:hint="default" w:ascii="Cambria Math" w:hAnsi="Cambria Math" w:eastAsia="宋体" w:cs="Times New Roman"/>
                <w:color w:val="auto"/>
                <w:kern w:val="2"/>
                <w:sz w:val="28"/>
                <w:szCs w:val="28"/>
                <w:highlight w:val="none"/>
                <w:lang w:val="en-US" w:eastAsia="zh-CN" w:bidi="ar-SA"/>
              </w:rPr>
              <m:t>1</m:t>
            </m:r>
            <m:ctrlPr>
              <w:rPr>
                <w:rFonts w:hint="default" w:ascii="Cambria Math" w:hAnsi="Cambria Math" w:eastAsia="宋体" w:cs="Times New Roman"/>
                <w:i/>
                <w:color w:val="auto"/>
                <w:kern w:val="2"/>
                <w:sz w:val="28"/>
                <w:szCs w:val="28"/>
                <w:highlight w:val="none"/>
                <w:lang w:val="en-US" w:bidi="ar-SA"/>
              </w:rPr>
            </m:ctrlPr>
          </m:num>
          <m:den>
            <m:r>
              <m:rPr/>
              <w:rPr>
                <w:rFonts w:hint="default" w:ascii="Cambria Math" w:hAnsi="Cambria Math" w:eastAsia="宋体" w:cs="Times New Roman"/>
                <w:color w:val="auto"/>
                <w:kern w:val="2"/>
                <w:sz w:val="28"/>
                <w:szCs w:val="28"/>
                <w:highlight w:val="none"/>
                <w:lang w:val="en-US" w:eastAsia="zh-CN" w:bidi="ar-SA"/>
              </w:rPr>
              <m:t>T</m:t>
            </m:r>
            <m:ctrlPr>
              <w:rPr>
                <w:rFonts w:hint="default" w:ascii="Cambria Math" w:hAnsi="Cambria Math" w:eastAsia="宋体" w:cs="Times New Roman"/>
                <w:i/>
                <w:color w:val="auto"/>
                <w:kern w:val="2"/>
                <w:sz w:val="28"/>
                <w:szCs w:val="28"/>
                <w:highlight w:val="none"/>
                <w:lang w:val="en-US" w:bidi="ar-SA"/>
              </w:rPr>
            </m:ctrlPr>
          </m:den>
        </m:f>
      </m:oMath>
      <w:r>
        <w:rPr>
          <w:rFonts w:hint="default" w:ascii="Times New Roman" w:hAnsi="Times New Roman" w:eastAsia="宋体" w:cs="Times New Roman"/>
          <w:i w:val="0"/>
          <w:color w:val="auto"/>
          <w:kern w:val="2"/>
          <w:sz w:val="28"/>
          <w:szCs w:val="28"/>
          <w:highlight w:val="none"/>
          <w:lang w:val="en-US" w:eastAsia="zh-CN" w:bidi="ar-SA"/>
        </w:rPr>
        <w:t>∑</w:t>
      </w:r>
      <m:oMath>
        <m:sSub>
          <m:sSubPr>
            <m:ctrlPr>
              <w:rPr>
                <w:rFonts w:hint="default" w:ascii="Cambria Math" w:hAnsi="Cambria Math" w:eastAsia="宋体" w:cs="Times New Roman"/>
                <w:i w:val="0"/>
                <w:color w:val="auto"/>
                <w:kern w:val="2"/>
                <w:sz w:val="28"/>
                <w:szCs w:val="28"/>
                <w:highlight w:val="none"/>
                <w:lang w:val="en-US" w:eastAsia="zh-CN" w:bidi="ar-SA"/>
              </w:rPr>
            </m:ctrlPr>
          </m:sSubPr>
          <m:e>
            <m:r>
              <m:rPr>
                <m:sty m:val="p"/>
              </m:rPr>
              <w:rPr>
                <w:rFonts w:hint="default" w:ascii="Cambria Math" w:hAnsi="Cambria Math" w:eastAsia="宋体" w:cs="Times New Roman"/>
                <w:color w:val="auto"/>
                <w:kern w:val="2"/>
                <w:sz w:val="28"/>
                <w:szCs w:val="28"/>
                <w:highlight w:val="none"/>
                <w:lang w:val="en-US" w:eastAsia="zh-CN" w:bidi="ar-SA"/>
              </w:rPr>
              <m:t>t</m:t>
            </m:r>
            <m:ctrlPr>
              <w:rPr>
                <w:rFonts w:hint="default" w:ascii="Cambria Math" w:hAnsi="Cambria Math" w:eastAsia="宋体" w:cs="Times New Roman"/>
                <w:i w:val="0"/>
                <w:color w:val="auto"/>
                <w:kern w:val="2"/>
                <w:sz w:val="28"/>
                <w:szCs w:val="28"/>
                <w:highlight w:val="none"/>
                <w:lang w:val="en-US" w:eastAsia="zh-CN" w:bidi="ar-SA"/>
              </w:rPr>
            </m:ctrlPr>
          </m:e>
          <m:sub>
            <m:r>
              <m:rPr>
                <m:sty m:val="p"/>
              </m:rPr>
              <w:rPr>
                <w:rFonts w:hint="default" w:ascii="Cambria Math" w:hAnsi="Cambria Math" w:eastAsia="宋体" w:cs="Times New Roman"/>
                <w:color w:val="auto"/>
                <w:kern w:val="2"/>
                <w:sz w:val="28"/>
                <w:szCs w:val="28"/>
                <w:highlight w:val="none"/>
                <w:lang w:val="en-US" w:eastAsia="zh-CN" w:bidi="ar-SA"/>
              </w:rPr>
              <m:t>i</m:t>
            </m:r>
            <m:ctrlPr>
              <w:rPr>
                <w:rFonts w:hint="default" w:ascii="Cambria Math" w:hAnsi="Cambria Math" w:eastAsia="宋体" w:cs="Times New Roman"/>
                <w:i w:val="0"/>
                <w:color w:val="auto"/>
                <w:kern w:val="2"/>
                <w:sz w:val="28"/>
                <w:szCs w:val="28"/>
                <w:highlight w:val="none"/>
                <w:lang w:val="en-US" w:eastAsia="zh-CN" w:bidi="ar-SA"/>
              </w:rPr>
            </m:ctrlPr>
          </m:sub>
        </m:sSub>
        <m:sSup>
          <m:sSupPr>
            <m:ctrlPr>
              <w:rPr>
                <w:rFonts w:hint="default" w:ascii="Cambria Math" w:hAnsi="Cambria Math" w:eastAsia="宋体" w:cs="Times New Roman"/>
                <w:i/>
                <w:color w:val="auto"/>
                <w:kern w:val="2"/>
                <w:sz w:val="28"/>
                <w:szCs w:val="28"/>
                <w:highlight w:val="none"/>
                <w:lang w:val="en-US" w:bidi="ar-SA"/>
              </w:rPr>
            </m:ctrlPr>
          </m:sSupPr>
          <m:e>
            <m:r>
              <m:rPr/>
              <w:rPr>
                <w:rFonts w:hint="default" w:ascii="Cambria Math" w:hAnsi="Cambria Math" w:eastAsia="宋体" w:cs="Times New Roman"/>
                <w:color w:val="auto"/>
                <w:kern w:val="2"/>
                <w:sz w:val="28"/>
                <w:szCs w:val="28"/>
                <w:highlight w:val="none"/>
                <w:lang w:val="en-US" w:eastAsia="zh-CN" w:bidi="ar-SA"/>
              </w:rPr>
              <m:t>10</m:t>
            </m:r>
            <m:ctrlPr>
              <w:rPr>
                <w:rFonts w:hint="default" w:ascii="Cambria Math" w:hAnsi="Cambria Math" w:eastAsia="宋体" w:cs="Times New Roman"/>
                <w:i/>
                <w:color w:val="auto"/>
                <w:kern w:val="2"/>
                <w:sz w:val="28"/>
                <w:szCs w:val="28"/>
                <w:highlight w:val="none"/>
                <w:lang w:val="en-US" w:bidi="ar-SA"/>
              </w:rPr>
            </m:ctrlPr>
          </m:e>
          <m:sup>
            <m:r>
              <m:rPr/>
              <w:rPr>
                <w:rFonts w:hint="default" w:ascii="Cambria Math" w:hAnsi="Cambria Math" w:eastAsia="宋体" w:cs="Times New Roman"/>
                <w:color w:val="auto"/>
                <w:kern w:val="2"/>
                <w:sz w:val="28"/>
                <w:szCs w:val="28"/>
                <w:highlight w:val="none"/>
                <w:lang w:val="en-US" w:eastAsia="zh-CN" w:bidi="ar-SA"/>
              </w:rPr>
              <m:t>0.1Li</m:t>
            </m:r>
            <m:ctrlPr>
              <w:rPr>
                <w:rFonts w:hint="default" w:ascii="Cambria Math" w:hAnsi="Cambria Math" w:eastAsia="宋体" w:cs="Times New Roman"/>
                <w:i/>
                <w:color w:val="auto"/>
                <w:kern w:val="2"/>
                <w:sz w:val="28"/>
                <w:szCs w:val="28"/>
                <w:highlight w:val="none"/>
                <w:lang w:val="en-US" w:bidi="ar-SA"/>
              </w:rPr>
            </m:ctrlPr>
          </m:sup>
        </m:sSup>
        <m:r>
          <m:rPr/>
          <w:rPr>
            <w:rFonts w:hint="default" w:ascii="Cambria Math" w:hAnsi="Cambria Math" w:eastAsia="宋体" w:cs="Times New Roman"/>
            <w:color w:val="auto"/>
            <w:kern w:val="2"/>
            <w:sz w:val="28"/>
            <w:szCs w:val="28"/>
            <w:highlight w:val="none"/>
            <w:lang w:val="en-US" w:eastAsia="zh-CN" w:bidi="ar-SA"/>
          </w:rPr>
          <m:t>)</m:t>
        </m:r>
      </m:oMath>
    </w:p>
    <w:p w14:paraId="40A3CC9E">
      <w:pPr>
        <w:keepNext w:val="0"/>
        <w:keepLines w:val="0"/>
        <w:pageBreakBefore w:val="0"/>
        <w:kinsoku/>
        <w:wordWrap/>
        <w:overflowPunct/>
        <w:topLinePunct w:val="0"/>
        <w:autoSpaceDE/>
        <w:autoSpaceDN/>
        <w:bidi w:val="0"/>
        <w:adjustRightInd w:val="0"/>
        <w:snapToGrid w:val="0"/>
        <w:spacing w:line="348" w:lineRule="auto"/>
        <w:ind w:firstLine="440" w:firstLineChars="2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式中：L—建设项目声源在预测点的等效声级贡献值，dB（A）；</w:t>
      </w:r>
    </w:p>
    <w:p w14:paraId="7C613DA8">
      <w:pPr>
        <w:keepNext w:val="0"/>
        <w:keepLines w:val="0"/>
        <w:pageBreakBefore w:val="0"/>
        <w:kinsoku/>
        <w:wordWrap/>
        <w:overflowPunct/>
        <w:topLinePunct w:val="0"/>
        <w:autoSpaceDE/>
        <w:autoSpaceDN/>
        <w:bidi w:val="0"/>
        <w:adjustRightInd w:val="0"/>
        <w:snapToGrid w:val="0"/>
        <w:spacing w:line="348" w:lineRule="auto"/>
        <w:ind w:firstLine="880" w:firstLineChars="4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L</w:t>
      </w:r>
      <w:r>
        <w:rPr>
          <w:rFonts w:hint="default" w:ascii="Times New Roman" w:hAnsi="Times New Roman" w:eastAsia="宋体" w:cs="Times New Roman"/>
          <w:color w:val="auto"/>
          <w:sz w:val="22"/>
          <w:szCs w:val="18"/>
          <w:highlight w:val="none"/>
          <w:vertAlign w:val="subscript"/>
        </w:rPr>
        <w:t>i</w:t>
      </w:r>
      <w:r>
        <w:rPr>
          <w:rFonts w:hint="default" w:ascii="Times New Roman" w:hAnsi="Times New Roman" w:eastAsia="宋体" w:cs="Times New Roman"/>
          <w:color w:val="auto"/>
          <w:sz w:val="22"/>
          <w:szCs w:val="18"/>
          <w:highlight w:val="none"/>
        </w:rPr>
        <w:t>—i声源在预测点产生的A声级，dB（A）；</w:t>
      </w:r>
    </w:p>
    <w:p w14:paraId="57E1CD03">
      <w:pPr>
        <w:keepNext w:val="0"/>
        <w:keepLines w:val="0"/>
        <w:pageBreakBefore w:val="0"/>
        <w:kinsoku/>
        <w:wordWrap/>
        <w:overflowPunct/>
        <w:topLinePunct w:val="0"/>
        <w:autoSpaceDE/>
        <w:autoSpaceDN/>
        <w:bidi w:val="0"/>
        <w:adjustRightInd w:val="0"/>
        <w:snapToGrid w:val="0"/>
        <w:spacing w:line="348" w:lineRule="auto"/>
        <w:ind w:firstLine="880" w:firstLineChars="4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T—预测计算的时间段，s；</w:t>
      </w:r>
    </w:p>
    <w:p w14:paraId="0F8342FF">
      <w:pPr>
        <w:keepNext w:val="0"/>
        <w:keepLines w:val="0"/>
        <w:pageBreakBefore w:val="0"/>
        <w:kinsoku/>
        <w:wordWrap/>
        <w:overflowPunct/>
        <w:topLinePunct w:val="0"/>
        <w:autoSpaceDE/>
        <w:autoSpaceDN/>
        <w:bidi w:val="0"/>
        <w:adjustRightInd w:val="0"/>
        <w:snapToGrid w:val="0"/>
        <w:spacing w:line="348" w:lineRule="auto"/>
        <w:ind w:firstLine="880" w:firstLineChars="4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t</w:t>
      </w:r>
      <w:r>
        <w:rPr>
          <w:rFonts w:hint="default" w:ascii="Times New Roman" w:hAnsi="Times New Roman" w:eastAsia="宋体" w:cs="Times New Roman"/>
          <w:color w:val="auto"/>
          <w:sz w:val="22"/>
          <w:szCs w:val="18"/>
          <w:highlight w:val="none"/>
          <w:vertAlign w:val="subscript"/>
        </w:rPr>
        <w:t>i</w:t>
      </w:r>
      <w:r>
        <w:rPr>
          <w:rFonts w:hint="default" w:ascii="Times New Roman" w:hAnsi="Times New Roman" w:eastAsia="宋体" w:cs="Times New Roman"/>
          <w:color w:val="auto"/>
          <w:sz w:val="22"/>
          <w:szCs w:val="18"/>
          <w:highlight w:val="none"/>
        </w:rPr>
        <w:t>—i声源在T时段内的运行时间，s；</w:t>
      </w:r>
    </w:p>
    <w:p w14:paraId="141EB6A5">
      <w:pPr>
        <w:keepNext w:val="0"/>
        <w:keepLines w:val="0"/>
        <w:pageBreakBefore w:val="0"/>
        <w:kinsoku/>
        <w:wordWrap/>
        <w:overflowPunct/>
        <w:topLinePunct w:val="0"/>
        <w:autoSpaceDE/>
        <w:autoSpaceDN/>
        <w:bidi w:val="0"/>
        <w:adjustRightInd w:val="0"/>
        <w:snapToGrid w:val="0"/>
        <w:spacing w:line="348" w:lineRule="auto"/>
        <w:ind w:firstLine="440" w:firstLineChars="2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本项目噪声设备为工作时段连续运行，故上述公式可简化为如下公式：</w:t>
      </w:r>
    </w:p>
    <w:p w14:paraId="47E8EBDD">
      <w:pPr>
        <w:keepNext w:val="0"/>
        <w:keepLines w:val="0"/>
        <w:pageBreakBefore w:val="0"/>
        <w:kinsoku/>
        <w:wordWrap/>
        <w:overflowPunct/>
        <w:topLinePunct w:val="0"/>
        <w:autoSpaceDE/>
        <w:autoSpaceDN/>
        <w:bidi w:val="0"/>
        <w:spacing w:line="348" w:lineRule="auto"/>
        <w:ind w:firstLine="440" w:firstLineChars="200"/>
        <w:jc w:val="center"/>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drawing>
          <wp:inline distT="0" distB="0" distL="114300" distR="114300">
            <wp:extent cx="1221105" cy="264160"/>
            <wp:effectExtent l="0" t="0" r="0" b="1905"/>
            <wp:docPr id="4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7"/>
                    <pic:cNvPicPr>
                      <a:picLocks noChangeAspect="1"/>
                    </pic:cNvPicPr>
                  </pic:nvPicPr>
                  <pic:blipFill>
                    <a:blip r:embed="rId34"/>
                    <a:stretch>
                      <a:fillRect/>
                    </a:stretch>
                  </pic:blipFill>
                  <pic:spPr>
                    <a:xfrm>
                      <a:off x="0" y="0"/>
                      <a:ext cx="1221105" cy="264160"/>
                    </a:xfrm>
                    <a:prstGeom prst="rect">
                      <a:avLst/>
                    </a:prstGeom>
                    <a:noFill/>
                    <a:ln>
                      <a:noFill/>
                    </a:ln>
                  </pic:spPr>
                </pic:pic>
              </a:graphicData>
            </a:graphic>
          </wp:inline>
        </w:drawing>
      </w:r>
    </w:p>
    <w:p w14:paraId="08067D86">
      <w:pPr>
        <w:keepNext w:val="0"/>
        <w:keepLines w:val="0"/>
        <w:pageBreakBefore w:val="0"/>
        <w:tabs>
          <w:tab w:val="left" w:pos="6090"/>
        </w:tabs>
        <w:kinsoku/>
        <w:wordWrap/>
        <w:overflowPunct/>
        <w:topLinePunct w:val="0"/>
        <w:autoSpaceDE/>
        <w:autoSpaceDN/>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③噪声预测值</w:t>
      </w:r>
    </w:p>
    <w:p w14:paraId="7A46F7E9">
      <w:pPr>
        <w:keepNext w:val="0"/>
        <w:keepLines w:val="0"/>
        <w:pageBreakBefore w:val="0"/>
        <w:tabs>
          <w:tab w:val="left" w:pos="6090"/>
        </w:tabs>
        <w:kinsoku/>
        <w:wordWrap/>
        <w:overflowPunct/>
        <w:topLinePunct w:val="0"/>
        <w:autoSpaceDE/>
        <w:autoSpaceDN/>
        <w:bidi w:val="0"/>
        <w:adjustRightInd w:val="0"/>
        <w:snapToGrid w:val="0"/>
        <w:spacing w:line="348" w:lineRule="auto"/>
        <w:ind w:firstLine="440" w:firstLineChars="200"/>
        <w:jc w:val="center"/>
        <w:textAlignment w:val="auto"/>
        <w:rPr>
          <w:rFonts w:hint="default" w:ascii="Times New Roman" w:hAnsi="Times New Roman" w:eastAsia="宋体" w:cs="Times New Roman"/>
          <w:color w:val="auto"/>
          <w:sz w:val="22"/>
          <w:szCs w:val="21"/>
          <w:highlight w:val="none"/>
        </w:rPr>
      </w:pPr>
      <w:r>
        <w:rPr>
          <w:rFonts w:hint="default" w:ascii="Times New Roman" w:hAnsi="Times New Roman" w:eastAsia="宋体" w:cs="Times New Roman"/>
          <w:color w:val="auto"/>
          <w:sz w:val="22"/>
          <w:szCs w:val="21"/>
          <w:highlight w:val="none"/>
        </w:rPr>
        <w:drawing>
          <wp:inline distT="0" distB="0" distL="114300" distR="114300">
            <wp:extent cx="1914525" cy="250825"/>
            <wp:effectExtent l="0" t="0" r="9525" b="16510"/>
            <wp:docPr id="4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8"/>
                    <pic:cNvPicPr>
                      <a:picLocks noChangeAspect="1"/>
                    </pic:cNvPicPr>
                  </pic:nvPicPr>
                  <pic:blipFill>
                    <a:blip r:embed="rId35"/>
                    <a:stretch>
                      <a:fillRect/>
                    </a:stretch>
                  </pic:blipFill>
                  <pic:spPr>
                    <a:xfrm>
                      <a:off x="0" y="0"/>
                      <a:ext cx="1914525" cy="250825"/>
                    </a:xfrm>
                    <a:prstGeom prst="rect">
                      <a:avLst/>
                    </a:prstGeom>
                    <a:noFill/>
                    <a:ln>
                      <a:noFill/>
                    </a:ln>
                  </pic:spPr>
                </pic:pic>
              </a:graphicData>
            </a:graphic>
          </wp:inline>
        </w:drawing>
      </w:r>
    </w:p>
    <w:p w14:paraId="0FE907F0">
      <w:pPr>
        <w:keepNext w:val="0"/>
        <w:keepLines w:val="0"/>
        <w:pageBreakBefore w:val="0"/>
        <w:tabs>
          <w:tab w:val="left" w:pos="6090"/>
        </w:tabs>
        <w:kinsoku/>
        <w:wordWrap/>
        <w:overflowPunct/>
        <w:topLinePunct w:val="0"/>
        <w:autoSpaceDE/>
        <w:autoSpaceDN/>
        <w:bidi w:val="0"/>
        <w:adjustRightInd w:val="0"/>
        <w:snapToGrid w:val="0"/>
        <w:spacing w:line="348" w:lineRule="auto"/>
        <w:ind w:firstLine="440" w:firstLineChars="2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式中：L—预测点的预测等效声级，dB（A）；</w:t>
      </w:r>
    </w:p>
    <w:p w14:paraId="33277C6B">
      <w:pPr>
        <w:keepNext w:val="0"/>
        <w:keepLines w:val="0"/>
        <w:pageBreakBefore w:val="0"/>
        <w:tabs>
          <w:tab w:val="left" w:pos="6090"/>
        </w:tabs>
        <w:kinsoku/>
        <w:wordWrap/>
        <w:overflowPunct/>
        <w:topLinePunct w:val="0"/>
        <w:autoSpaceDE/>
        <w:autoSpaceDN/>
        <w:bidi w:val="0"/>
        <w:adjustRightInd w:val="0"/>
        <w:snapToGrid w:val="0"/>
        <w:spacing w:line="348" w:lineRule="auto"/>
        <w:ind w:firstLine="1100" w:firstLineChars="500"/>
        <w:textAlignment w:val="auto"/>
        <w:rPr>
          <w:rFonts w:hint="default" w:ascii="Times New Roman" w:hAnsi="Times New Roman" w:eastAsia="宋体" w:cs="Times New Roman"/>
          <w:color w:val="auto"/>
          <w:sz w:val="22"/>
          <w:szCs w:val="18"/>
          <w:highlight w:val="none"/>
        </w:rPr>
      </w:pPr>
      <w:r>
        <w:rPr>
          <w:rFonts w:hint="default" w:ascii="Times New Roman" w:hAnsi="Times New Roman" w:eastAsia="宋体" w:cs="Times New Roman"/>
          <w:color w:val="auto"/>
          <w:sz w:val="22"/>
          <w:szCs w:val="18"/>
          <w:highlight w:val="none"/>
        </w:rPr>
        <w:t>L</w:t>
      </w:r>
      <w:r>
        <w:rPr>
          <w:rFonts w:hint="default" w:ascii="Times New Roman" w:hAnsi="Times New Roman" w:eastAsia="宋体" w:cs="Times New Roman"/>
          <w:color w:val="auto"/>
          <w:sz w:val="22"/>
          <w:szCs w:val="18"/>
          <w:highlight w:val="none"/>
          <w:vertAlign w:val="subscript"/>
        </w:rPr>
        <w:t>贡献值</w:t>
      </w:r>
      <w:r>
        <w:rPr>
          <w:rFonts w:hint="default" w:ascii="Times New Roman" w:hAnsi="Times New Roman" w:eastAsia="宋体" w:cs="Times New Roman"/>
          <w:color w:val="auto"/>
          <w:sz w:val="22"/>
          <w:szCs w:val="18"/>
          <w:highlight w:val="none"/>
          <w:vertAlign w:val="baseline"/>
          <w:lang w:eastAsia="zh-CN"/>
        </w:rPr>
        <w:t>—</w:t>
      </w:r>
      <w:r>
        <w:rPr>
          <w:rFonts w:hint="default" w:ascii="Times New Roman" w:hAnsi="Times New Roman" w:eastAsia="宋体" w:cs="Times New Roman"/>
          <w:color w:val="auto"/>
          <w:sz w:val="22"/>
          <w:szCs w:val="18"/>
          <w:highlight w:val="none"/>
        </w:rPr>
        <w:t>建设项目声源在预测点的等效声级贡献值，dB（A）；</w:t>
      </w:r>
    </w:p>
    <w:p w14:paraId="5D1F3D5E">
      <w:pPr>
        <w:keepNext w:val="0"/>
        <w:keepLines w:val="0"/>
        <w:pageBreakBefore w:val="0"/>
        <w:kinsoku/>
        <w:wordWrap/>
        <w:overflowPunct/>
        <w:topLinePunct w:val="0"/>
        <w:autoSpaceDE/>
        <w:autoSpaceDN/>
        <w:bidi w:val="0"/>
        <w:spacing w:line="348" w:lineRule="auto"/>
        <w:ind w:firstLine="1100" w:firstLineChars="500"/>
        <w:textAlignment w:val="auto"/>
        <w:rPr>
          <w:rFonts w:hint="default" w:ascii="Times New Roman" w:hAnsi="Times New Roman" w:eastAsia="宋体" w:cs="Times New Roman"/>
          <w:color w:val="auto"/>
          <w:sz w:val="22"/>
          <w:szCs w:val="21"/>
          <w:highlight w:val="none"/>
        </w:rPr>
      </w:pPr>
      <w:r>
        <w:rPr>
          <w:rFonts w:hint="default" w:ascii="Times New Roman" w:hAnsi="Times New Roman" w:eastAsia="宋体" w:cs="Times New Roman"/>
          <w:color w:val="auto"/>
          <w:sz w:val="22"/>
          <w:szCs w:val="18"/>
          <w:highlight w:val="none"/>
        </w:rPr>
        <w:t>L</w:t>
      </w:r>
      <w:r>
        <w:rPr>
          <w:rFonts w:hint="default" w:ascii="Times New Roman" w:hAnsi="Times New Roman" w:eastAsia="宋体" w:cs="Times New Roman"/>
          <w:color w:val="auto"/>
          <w:sz w:val="22"/>
          <w:szCs w:val="18"/>
          <w:highlight w:val="none"/>
          <w:vertAlign w:val="subscript"/>
        </w:rPr>
        <w:t>背景值</w:t>
      </w:r>
      <w:r>
        <w:rPr>
          <w:rFonts w:hint="default" w:ascii="Times New Roman" w:hAnsi="Times New Roman" w:eastAsia="宋体" w:cs="Times New Roman"/>
          <w:color w:val="auto"/>
          <w:sz w:val="22"/>
          <w:szCs w:val="18"/>
          <w:highlight w:val="none"/>
          <w:vertAlign w:val="baseline"/>
          <w:lang w:eastAsia="zh-CN"/>
        </w:rPr>
        <w:t>—</w:t>
      </w:r>
      <w:r>
        <w:rPr>
          <w:rFonts w:hint="default" w:ascii="Times New Roman" w:hAnsi="Times New Roman" w:eastAsia="宋体" w:cs="Times New Roman"/>
          <w:color w:val="auto"/>
          <w:sz w:val="22"/>
          <w:szCs w:val="18"/>
          <w:highlight w:val="none"/>
        </w:rPr>
        <w:t>预测点的背景值值，dB（A）。</w:t>
      </w:r>
    </w:p>
    <w:p w14:paraId="6C794117">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表6.5-2</w:t>
      </w:r>
      <w:r>
        <w:rPr>
          <w:rFonts w:cs="Times New Roman" w:asciiTheme="minorEastAsia" w:hAnsiTheme="minorEastAsia" w:eastAsiaTheme="minorEastAsia"/>
          <w:b/>
          <w:sz w:val="24"/>
          <w:szCs w:val="24"/>
          <w:lang w:eastAsia="zh-CN"/>
        </w:rPr>
        <w:t>厂界噪声预测结果与达标分析表</w:t>
      </w:r>
    </w:p>
    <w:tbl>
      <w:tblPr>
        <w:tblStyle w:val="20"/>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2815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00293916">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预测方位</w:t>
            </w:r>
          </w:p>
        </w:tc>
        <w:tc>
          <w:tcPr>
            <w:tcW w:w="2409" w:type="dxa"/>
            <w:gridSpan w:val="3"/>
            <w:vAlign w:val="center"/>
          </w:tcPr>
          <w:p w14:paraId="4AADF084">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空间相对位置/m</w:t>
            </w:r>
          </w:p>
        </w:tc>
        <w:tc>
          <w:tcPr>
            <w:tcW w:w="993" w:type="dxa"/>
            <w:vMerge w:val="restart"/>
            <w:vAlign w:val="center"/>
          </w:tcPr>
          <w:p w14:paraId="620DD0F3">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时段</w:t>
            </w:r>
          </w:p>
        </w:tc>
        <w:tc>
          <w:tcPr>
            <w:tcW w:w="1417" w:type="dxa"/>
            <w:vMerge w:val="restart"/>
            <w:vAlign w:val="center"/>
          </w:tcPr>
          <w:p w14:paraId="40787F64">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预测值（dB(A)）</w:t>
            </w:r>
          </w:p>
        </w:tc>
        <w:tc>
          <w:tcPr>
            <w:tcW w:w="1418" w:type="dxa"/>
            <w:vMerge w:val="restart"/>
            <w:vAlign w:val="center"/>
          </w:tcPr>
          <w:p w14:paraId="0855044E">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标准限值（dB(A)）</w:t>
            </w:r>
          </w:p>
        </w:tc>
        <w:tc>
          <w:tcPr>
            <w:tcW w:w="1188" w:type="dxa"/>
            <w:vMerge w:val="restart"/>
            <w:vAlign w:val="center"/>
          </w:tcPr>
          <w:p w14:paraId="14254EEE">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达标情况</w:t>
            </w:r>
          </w:p>
        </w:tc>
      </w:tr>
      <w:tr w14:paraId="51AD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4BE2E6B8">
            <w:pPr>
              <w:jc w:val="center"/>
              <w:rPr>
                <w:rFonts w:ascii="Times New Roman" w:hAnsi="Times New Roman" w:cs="Times New Roman" w:eastAsiaTheme="minorEastAsia"/>
                <w:sz w:val="21"/>
                <w:szCs w:val="21"/>
              </w:rPr>
            </w:pPr>
          </w:p>
        </w:tc>
        <w:tc>
          <w:tcPr>
            <w:tcW w:w="803" w:type="dxa"/>
            <w:shd w:val="clear" w:color="auto" w:fill="FFFFFF"/>
            <w:vAlign w:val="center"/>
          </w:tcPr>
          <w:p w14:paraId="66E605F9">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X</w:t>
            </w:r>
          </w:p>
        </w:tc>
        <w:tc>
          <w:tcPr>
            <w:tcW w:w="803" w:type="dxa"/>
            <w:shd w:val="clear" w:color="auto" w:fill="FFFFFF"/>
            <w:vAlign w:val="center"/>
          </w:tcPr>
          <w:p w14:paraId="54B8C455">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Y</w:t>
            </w:r>
          </w:p>
        </w:tc>
        <w:tc>
          <w:tcPr>
            <w:tcW w:w="803" w:type="dxa"/>
            <w:shd w:val="clear" w:color="auto" w:fill="FFFFFF"/>
            <w:vAlign w:val="center"/>
          </w:tcPr>
          <w:p w14:paraId="208EFA37">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Z</w:t>
            </w:r>
          </w:p>
        </w:tc>
        <w:tc>
          <w:tcPr>
            <w:tcW w:w="993" w:type="dxa"/>
            <w:vMerge w:val="continue"/>
            <w:shd w:val="clear" w:color="auto" w:fill="FFFFFF"/>
            <w:vAlign w:val="center"/>
          </w:tcPr>
          <w:p w14:paraId="7504F132">
            <w:pPr>
              <w:jc w:val="center"/>
              <w:rPr>
                <w:rFonts w:ascii="Times New Roman" w:hAnsi="Times New Roman" w:cs="Times New Roman" w:eastAsiaTheme="minorEastAsia"/>
                <w:sz w:val="21"/>
                <w:szCs w:val="21"/>
              </w:rPr>
            </w:pPr>
          </w:p>
        </w:tc>
        <w:tc>
          <w:tcPr>
            <w:tcW w:w="1417" w:type="dxa"/>
            <w:vMerge w:val="continue"/>
            <w:shd w:val="clear" w:color="auto" w:fill="FFFFFF"/>
            <w:vAlign w:val="center"/>
          </w:tcPr>
          <w:p w14:paraId="6E5B81CE">
            <w:pPr>
              <w:jc w:val="center"/>
              <w:rPr>
                <w:rFonts w:ascii="Times New Roman" w:hAnsi="Times New Roman" w:cs="Times New Roman" w:eastAsiaTheme="minorEastAsia"/>
                <w:sz w:val="21"/>
                <w:szCs w:val="21"/>
              </w:rPr>
            </w:pPr>
          </w:p>
        </w:tc>
        <w:tc>
          <w:tcPr>
            <w:tcW w:w="1418" w:type="dxa"/>
            <w:vMerge w:val="continue"/>
            <w:shd w:val="clear" w:color="auto" w:fill="FFFFFF"/>
            <w:vAlign w:val="center"/>
          </w:tcPr>
          <w:p w14:paraId="14047113">
            <w:pPr>
              <w:jc w:val="center"/>
              <w:rPr>
                <w:rFonts w:ascii="Times New Roman" w:hAnsi="Times New Roman" w:cs="Times New Roman" w:eastAsiaTheme="minorEastAsia"/>
                <w:sz w:val="21"/>
                <w:szCs w:val="21"/>
              </w:rPr>
            </w:pPr>
          </w:p>
        </w:tc>
        <w:tc>
          <w:tcPr>
            <w:tcW w:w="1188" w:type="dxa"/>
            <w:vMerge w:val="continue"/>
            <w:shd w:val="clear" w:color="auto" w:fill="FFFFFF"/>
            <w:vAlign w:val="center"/>
          </w:tcPr>
          <w:p w14:paraId="4651D160">
            <w:pPr>
              <w:jc w:val="center"/>
              <w:rPr>
                <w:rFonts w:ascii="Times New Roman" w:hAnsi="Times New Roman" w:cs="Times New Roman" w:eastAsiaTheme="minorEastAsia"/>
                <w:sz w:val="21"/>
                <w:szCs w:val="21"/>
              </w:rPr>
            </w:pPr>
          </w:p>
        </w:tc>
      </w:tr>
      <w:tr w14:paraId="7E56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17BF33CF">
            <w:pPr>
              <w:jc w:val="center"/>
            </w:pPr>
            <w:r>
              <w:rPr>
                <w:rFonts w:ascii="Arial" w:hAnsi="Arial" w:eastAsia="Arial" w:cs="Arial"/>
                <w:sz w:val="20"/>
              </w:rPr>
              <w:t>东侧</w:t>
            </w:r>
          </w:p>
        </w:tc>
        <w:tc>
          <w:tcPr>
            <w:tcW w:w="803" w:type="dxa"/>
            <w:shd w:val="clear" w:color="auto" w:fill="FFFFFF"/>
            <w:vAlign w:val="center"/>
          </w:tcPr>
          <w:p w14:paraId="3F5DA5CB">
            <w:pPr>
              <w:jc w:val="center"/>
            </w:pPr>
            <w:r>
              <w:rPr>
                <w:rFonts w:ascii="Arial" w:hAnsi="Arial" w:eastAsia="Arial" w:cs="Arial"/>
                <w:sz w:val="20"/>
              </w:rPr>
              <w:t>88.7</w:t>
            </w:r>
          </w:p>
        </w:tc>
        <w:tc>
          <w:tcPr>
            <w:tcW w:w="803" w:type="dxa"/>
            <w:shd w:val="clear" w:color="auto" w:fill="FFFFFF"/>
            <w:vAlign w:val="center"/>
          </w:tcPr>
          <w:p w14:paraId="7AD60943">
            <w:pPr>
              <w:jc w:val="center"/>
            </w:pPr>
            <w:r>
              <w:rPr>
                <w:rFonts w:ascii="Arial" w:hAnsi="Arial" w:eastAsia="Arial" w:cs="Arial"/>
                <w:sz w:val="20"/>
              </w:rPr>
              <w:t>-55.5</w:t>
            </w:r>
          </w:p>
        </w:tc>
        <w:tc>
          <w:tcPr>
            <w:tcW w:w="803" w:type="dxa"/>
            <w:shd w:val="clear" w:color="auto" w:fill="FFFFFF"/>
            <w:vAlign w:val="center"/>
          </w:tcPr>
          <w:p w14:paraId="74B52343">
            <w:pPr>
              <w:jc w:val="center"/>
            </w:pPr>
            <w:r>
              <w:rPr>
                <w:rFonts w:ascii="Arial" w:hAnsi="Arial" w:eastAsia="Arial" w:cs="Arial"/>
                <w:sz w:val="20"/>
              </w:rPr>
              <w:t>360.9</w:t>
            </w:r>
          </w:p>
        </w:tc>
        <w:tc>
          <w:tcPr>
            <w:tcW w:w="993" w:type="dxa"/>
            <w:shd w:val="clear" w:color="auto" w:fill="FFFFFF"/>
            <w:vAlign w:val="center"/>
          </w:tcPr>
          <w:p w14:paraId="37BC229E">
            <w:pPr>
              <w:jc w:val="center"/>
            </w:pPr>
            <w:r>
              <w:rPr>
                <w:rFonts w:ascii="Arial" w:hAnsi="Arial" w:eastAsia="Arial" w:cs="Arial"/>
                <w:sz w:val="20"/>
              </w:rPr>
              <w:t>昼间</w:t>
            </w:r>
          </w:p>
        </w:tc>
        <w:tc>
          <w:tcPr>
            <w:tcW w:w="1417" w:type="dxa"/>
            <w:shd w:val="clear" w:color="auto" w:fill="FFFFFF"/>
            <w:vAlign w:val="center"/>
          </w:tcPr>
          <w:p w14:paraId="7831B2EA">
            <w:pPr>
              <w:jc w:val="center"/>
            </w:pPr>
            <w:r>
              <w:rPr>
                <w:rFonts w:ascii="Arial" w:hAnsi="Arial" w:eastAsia="Arial" w:cs="Arial"/>
                <w:sz w:val="20"/>
              </w:rPr>
              <w:t>40.3</w:t>
            </w:r>
          </w:p>
        </w:tc>
        <w:tc>
          <w:tcPr>
            <w:tcW w:w="1418" w:type="dxa"/>
            <w:shd w:val="clear" w:color="auto" w:fill="FFFFFF"/>
            <w:vAlign w:val="center"/>
          </w:tcPr>
          <w:p w14:paraId="14816F03">
            <w:pPr>
              <w:jc w:val="center"/>
            </w:pPr>
            <w:r>
              <w:rPr>
                <w:rFonts w:ascii="Arial" w:hAnsi="Arial" w:eastAsia="Arial" w:cs="Arial"/>
                <w:sz w:val="20"/>
              </w:rPr>
              <w:t>60</w:t>
            </w:r>
          </w:p>
        </w:tc>
        <w:tc>
          <w:tcPr>
            <w:tcW w:w="1188" w:type="dxa"/>
            <w:shd w:val="clear" w:color="auto" w:fill="FFFFFF"/>
            <w:vAlign w:val="center"/>
          </w:tcPr>
          <w:p w14:paraId="4BFEE87A">
            <w:pPr>
              <w:jc w:val="center"/>
            </w:pPr>
            <w:r>
              <w:rPr>
                <w:rFonts w:ascii="Arial" w:hAnsi="Arial" w:eastAsia="Arial" w:cs="Arial"/>
                <w:sz w:val="20"/>
              </w:rPr>
              <w:t>达标</w:t>
            </w:r>
          </w:p>
        </w:tc>
      </w:tr>
      <w:tr w14:paraId="0BA3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67D3C223">
            <w:pPr>
              <w:jc w:val="center"/>
            </w:pPr>
            <w:r>
              <w:rPr>
                <w:rFonts w:ascii="Arial" w:hAnsi="Arial" w:eastAsia="Arial" w:cs="Arial"/>
                <w:sz w:val="20"/>
              </w:rPr>
              <w:t>东侧</w:t>
            </w:r>
          </w:p>
        </w:tc>
        <w:tc>
          <w:tcPr>
            <w:tcW w:w="803" w:type="dxa"/>
            <w:shd w:val="clear" w:color="auto" w:fill="FFFFFF"/>
            <w:vAlign w:val="center"/>
          </w:tcPr>
          <w:p w14:paraId="66ED79B9">
            <w:pPr>
              <w:jc w:val="center"/>
            </w:pPr>
            <w:r>
              <w:rPr>
                <w:rFonts w:ascii="Arial" w:hAnsi="Arial" w:eastAsia="Arial" w:cs="Arial"/>
                <w:sz w:val="20"/>
              </w:rPr>
              <w:t>88.7</w:t>
            </w:r>
          </w:p>
        </w:tc>
        <w:tc>
          <w:tcPr>
            <w:tcW w:w="803" w:type="dxa"/>
            <w:shd w:val="clear" w:color="auto" w:fill="FFFFFF"/>
            <w:vAlign w:val="center"/>
          </w:tcPr>
          <w:p w14:paraId="2E655C10">
            <w:pPr>
              <w:jc w:val="center"/>
            </w:pPr>
            <w:r>
              <w:rPr>
                <w:rFonts w:ascii="Arial" w:hAnsi="Arial" w:eastAsia="Arial" w:cs="Arial"/>
                <w:sz w:val="20"/>
              </w:rPr>
              <w:t>-55.5</w:t>
            </w:r>
          </w:p>
        </w:tc>
        <w:tc>
          <w:tcPr>
            <w:tcW w:w="803" w:type="dxa"/>
            <w:shd w:val="clear" w:color="auto" w:fill="FFFFFF"/>
            <w:vAlign w:val="center"/>
          </w:tcPr>
          <w:p w14:paraId="05134B7C">
            <w:pPr>
              <w:jc w:val="center"/>
            </w:pPr>
            <w:r>
              <w:rPr>
                <w:rFonts w:ascii="Arial" w:hAnsi="Arial" w:eastAsia="Arial" w:cs="Arial"/>
                <w:sz w:val="20"/>
              </w:rPr>
              <w:t>360.9</w:t>
            </w:r>
          </w:p>
        </w:tc>
        <w:tc>
          <w:tcPr>
            <w:tcW w:w="993" w:type="dxa"/>
            <w:shd w:val="clear" w:color="auto" w:fill="FFFFFF"/>
            <w:vAlign w:val="center"/>
          </w:tcPr>
          <w:p w14:paraId="1DE8153A">
            <w:pPr>
              <w:jc w:val="center"/>
            </w:pPr>
            <w:r>
              <w:rPr>
                <w:rFonts w:ascii="Arial" w:hAnsi="Arial" w:eastAsia="Arial" w:cs="Arial"/>
                <w:sz w:val="20"/>
              </w:rPr>
              <w:t>夜间</w:t>
            </w:r>
          </w:p>
        </w:tc>
        <w:tc>
          <w:tcPr>
            <w:tcW w:w="1417" w:type="dxa"/>
            <w:shd w:val="clear" w:color="auto" w:fill="FFFFFF"/>
            <w:vAlign w:val="center"/>
          </w:tcPr>
          <w:p w14:paraId="1BE6F060">
            <w:pPr>
              <w:jc w:val="center"/>
            </w:pPr>
            <w:r>
              <w:rPr>
                <w:rFonts w:ascii="Arial" w:hAnsi="Arial" w:eastAsia="Arial" w:cs="Arial"/>
                <w:sz w:val="20"/>
              </w:rPr>
              <w:t>40.3</w:t>
            </w:r>
          </w:p>
        </w:tc>
        <w:tc>
          <w:tcPr>
            <w:tcW w:w="1418" w:type="dxa"/>
            <w:shd w:val="clear" w:color="auto" w:fill="FFFFFF"/>
            <w:vAlign w:val="center"/>
          </w:tcPr>
          <w:p w14:paraId="3E2756CA">
            <w:pPr>
              <w:jc w:val="center"/>
            </w:pPr>
            <w:r>
              <w:rPr>
                <w:rFonts w:ascii="Arial" w:hAnsi="Arial" w:eastAsia="Arial" w:cs="Arial"/>
                <w:sz w:val="20"/>
              </w:rPr>
              <w:t>50</w:t>
            </w:r>
          </w:p>
        </w:tc>
        <w:tc>
          <w:tcPr>
            <w:tcW w:w="1188" w:type="dxa"/>
            <w:shd w:val="clear" w:color="auto" w:fill="FFFFFF"/>
            <w:vAlign w:val="center"/>
          </w:tcPr>
          <w:p w14:paraId="7DF164E7">
            <w:pPr>
              <w:jc w:val="center"/>
            </w:pPr>
            <w:r>
              <w:rPr>
                <w:rFonts w:ascii="Arial" w:hAnsi="Arial" w:eastAsia="Arial" w:cs="Arial"/>
                <w:sz w:val="20"/>
              </w:rPr>
              <w:t>达标</w:t>
            </w:r>
          </w:p>
        </w:tc>
      </w:tr>
      <w:tr w14:paraId="4360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59E8FE90">
            <w:pPr>
              <w:jc w:val="center"/>
            </w:pPr>
            <w:r>
              <w:rPr>
                <w:rFonts w:ascii="Arial" w:hAnsi="Arial" w:eastAsia="Arial" w:cs="Arial"/>
                <w:sz w:val="20"/>
              </w:rPr>
              <w:t>南侧</w:t>
            </w:r>
          </w:p>
        </w:tc>
        <w:tc>
          <w:tcPr>
            <w:tcW w:w="803" w:type="dxa"/>
            <w:shd w:val="clear" w:color="auto" w:fill="FFFFFF"/>
            <w:vAlign w:val="center"/>
          </w:tcPr>
          <w:p w14:paraId="4B5C4299">
            <w:pPr>
              <w:jc w:val="center"/>
            </w:pPr>
            <w:r>
              <w:rPr>
                <w:rFonts w:ascii="Arial" w:hAnsi="Arial" w:eastAsia="Arial" w:cs="Arial"/>
                <w:sz w:val="20"/>
              </w:rPr>
              <w:t>80.7</w:t>
            </w:r>
          </w:p>
        </w:tc>
        <w:tc>
          <w:tcPr>
            <w:tcW w:w="803" w:type="dxa"/>
            <w:shd w:val="clear" w:color="auto" w:fill="FFFFFF"/>
            <w:vAlign w:val="center"/>
          </w:tcPr>
          <w:p w14:paraId="3C5FF751">
            <w:pPr>
              <w:jc w:val="center"/>
            </w:pPr>
            <w:r>
              <w:rPr>
                <w:rFonts w:ascii="Arial" w:hAnsi="Arial" w:eastAsia="Arial" w:cs="Arial"/>
                <w:sz w:val="20"/>
              </w:rPr>
              <w:t>-84.4</w:t>
            </w:r>
          </w:p>
        </w:tc>
        <w:tc>
          <w:tcPr>
            <w:tcW w:w="803" w:type="dxa"/>
            <w:shd w:val="clear" w:color="auto" w:fill="FFFFFF"/>
            <w:vAlign w:val="center"/>
          </w:tcPr>
          <w:p w14:paraId="142F8D8A">
            <w:pPr>
              <w:jc w:val="center"/>
            </w:pPr>
            <w:r>
              <w:rPr>
                <w:rFonts w:ascii="Arial" w:hAnsi="Arial" w:eastAsia="Arial" w:cs="Arial"/>
                <w:sz w:val="20"/>
              </w:rPr>
              <w:t>363.7</w:t>
            </w:r>
          </w:p>
        </w:tc>
        <w:tc>
          <w:tcPr>
            <w:tcW w:w="993" w:type="dxa"/>
            <w:shd w:val="clear" w:color="auto" w:fill="FFFFFF"/>
            <w:vAlign w:val="center"/>
          </w:tcPr>
          <w:p w14:paraId="4F4874FC">
            <w:pPr>
              <w:jc w:val="center"/>
            </w:pPr>
            <w:r>
              <w:rPr>
                <w:rFonts w:ascii="Arial" w:hAnsi="Arial" w:eastAsia="Arial" w:cs="Arial"/>
                <w:sz w:val="20"/>
              </w:rPr>
              <w:t>昼间</w:t>
            </w:r>
          </w:p>
        </w:tc>
        <w:tc>
          <w:tcPr>
            <w:tcW w:w="1417" w:type="dxa"/>
            <w:shd w:val="clear" w:color="auto" w:fill="FFFFFF"/>
            <w:vAlign w:val="center"/>
          </w:tcPr>
          <w:p w14:paraId="1D2E1C6D">
            <w:pPr>
              <w:jc w:val="center"/>
            </w:pPr>
            <w:r>
              <w:rPr>
                <w:rFonts w:ascii="Arial" w:hAnsi="Arial" w:eastAsia="Arial" w:cs="Arial"/>
                <w:sz w:val="20"/>
              </w:rPr>
              <w:t>39.4</w:t>
            </w:r>
          </w:p>
        </w:tc>
        <w:tc>
          <w:tcPr>
            <w:tcW w:w="1418" w:type="dxa"/>
            <w:shd w:val="clear" w:color="auto" w:fill="FFFFFF"/>
            <w:vAlign w:val="center"/>
          </w:tcPr>
          <w:p w14:paraId="0CB2172D">
            <w:pPr>
              <w:jc w:val="center"/>
            </w:pPr>
            <w:r>
              <w:rPr>
                <w:rFonts w:ascii="Arial" w:hAnsi="Arial" w:eastAsia="Arial" w:cs="Arial"/>
                <w:sz w:val="20"/>
              </w:rPr>
              <w:t>60</w:t>
            </w:r>
          </w:p>
        </w:tc>
        <w:tc>
          <w:tcPr>
            <w:tcW w:w="1188" w:type="dxa"/>
            <w:shd w:val="clear" w:color="auto" w:fill="FFFFFF"/>
            <w:vAlign w:val="center"/>
          </w:tcPr>
          <w:p w14:paraId="000ECEDA">
            <w:pPr>
              <w:jc w:val="center"/>
            </w:pPr>
            <w:r>
              <w:rPr>
                <w:rFonts w:ascii="Arial" w:hAnsi="Arial" w:eastAsia="Arial" w:cs="Arial"/>
                <w:sz w:val="20"/>
              </w:rPr>
              <w:t>达标</w:t>
            </w:r>
          </w:p>
        </w:tc>
      </w:tr>
      <w:tr w14:paraId="3E4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03AFEC5E">
            <w:pPr>
              <w:jc w:val="center"/>
            </w:pPr>
            <w:r>
              <w:rPr>
                <w:rFonts w:ascii="Arial" w:hAnsi="Arial" w:eastAsia="Arial" w:cs="Arial"/>
                <w:sz w:val="20"/>
              </w:rPr>
              <w:t>南侧</w:t>
            </w:r>
          </w:p>
        </w:tc>
        <w:tc>
          <w:tcPr>
            <w:tcW w:w="803" w:type="dxa"/>
            <w:shd w:val="clear" w:color="auto" w:fill="FFFFFF"/>
            <w:vAlign w:val="center"/>
          </w:tcPr>
          <w:p w14:paraId="17B6FD2A">
            <w:pPr>
              <w:jc w:val="center"/>
            </w:pPr>
            <w:r>
              <w:rPr>
                <w:rFonts w:ascii="Arial" w:hAnsi="Arial" w:eastAsia="Arial" w:cs="Arial"/>
                <w:sz w:val="20"/>
              </w:rPr>
              <w:t>80.7</w:t>
            </w:r>
          </w:p>
        </w:tc>
        <w:tc>
          <w:tcPr>
            <w:tcW w:w="803" w:type="dxa"/>
            <w:shd w:val="clear" w:color="auto" w:fill="FFFFFF"/>
            <w:vAlign w:val="center"/>
          </w:tcPr>
          <w:p w14:paraId="0B9AD0D3">
            <w:pPr>
              <w:jc w:val="center"/>
            </w:pPr>
            <w:r>
              <w:rPr>
                <w:rFonts w:ascii="Arial" w:hAnsi="Arial" w:eastAsia="Arial" w:cs="Arial"/>
                <w:sz w:val="20"/>
              </w:rPr>
              <w:t>-84.4</w:t>
            </w:r>
          </w:p>
        </w:tc>
        <w:tc>
          <w:tcPr>
            <w:tcW w:w="803" w:type="dxa"/>
            <w:shd w:val="clear" w:color="auto" w:fill="FFFFFF"/>
            <w:vAlign w:val="center"/>
          </w:tcPr>
          <w:p w14:paraId="31802EBC">
            <w:pPr>
              <w:jc w:val="center"/>
            </w:pPr>
            <w:r>
              <w:rPr>
                <w:rFonts w:ascii="Arial" w:hAnsi="Arial" w:eastAsia="Arial" w:cs="Arial"/>
                <w:sz w:val="20"/>
              </w:rPr>
              <w:t>363.7</w:t>
            </w:r>
          </w:p>
        </w:tc>
        <w:tc>
          <w:tcPr>
            <w:tcW w:w="993" w:type="dxa"/>
            <w:shd w:val="clear" w:color="auto" w:fill="FFFFFF"/>
            <w:vAlign w:val="center"/>
          </w:tcPr>
          <w:p w14:paraId="5337568D">
            <w:pPr>
              <w:jc w:val="center"/>
            </w:pPr>
            <w:r>
              <w:rPr>
                <w:rFonts w:ascii="Arial" w:hAnsi="Arial" w:eastAsia="Arial" w:cs="Arial"/>
                <w:sz w:val="20"/>
              </w:rPr>
              <w:t>夜间</w:t>
            </w:r>
          </w:p>
        </w:tc>
        <w:tc>
          <w:tcPr>
            <w:tcW w:w="1417" w:type="dxa"/>
            <w:shd w:val="clear" w:color="auto" w:fill="FFFFFF"/>
            <w:vAlign w:val="center"/>
          </w:tcPr>
          <w:p w14:paraId="6FD9752C">
            <w:pPr>
              <w:jc w:val="center"/>
            </w:pPr>
            <w:r>
              <w:rPr>
                <w:rFonts w:ascii="Arial" w:hAnsi="Arial" w:eastAsia="Arial" w:cs="Arial"/>
                <w:sz w:val="20"/>
              </w:rPr>
              <w:t>39.4</w:t>
            </w:r>
          </w:p>
        </w:tc>
        <w:tc>
          <w:tcPr>
            <w:tcW w:w="1418" w:type="dxa"/>
            <w:shd w:val="clear" w:color="auto" w:fill="FFFFFF"/>
            <w:vAlign w:val="center"/>
          </w:tcPr>
          <w:p w14:paraId="41CC379D">
            <w:pPr>
              <w:jc w:val="center"/>
            </w:pPr>
            <w:r>
              <w:rPr>
                <w:rFonts w:ascii="Arial" w:hAnsi="Arial" w:eastAsia="Arial" w:cs="Arial"/>
                <w:sz w:val="20"/>
              </w:rPr>
              <w:t>50</w:t>
            </w:r>
          </w:p>
        </w:tc>
        <w:tc>
          <w:tcPr>
            <w:tcW w:w="1188" w:type="dxa"/>
            <w:shd w:val="clear" w:color="auto" w:fill="FFFFFF"/>
            <w:vAlign w:val="center"/>
          </w:tcPr>
          <w:p w14:paraId="59A6B12F">
            <w:pPr>
              <w:jc w:val="center"/>
            </w:pPr>
            <w:r>
              <w:rPr>
                <w:rFonts w:ascii="Arial" w:hAnsi="Arial" w:eastAsia="Arial" w:cs="Arial"/>
                <w:sz w:val="20"/>
              </w:rPr>
              <w:t>达标</w:t>
            </w:r>
          </w:p>
        </w:tc>
      </w:tr>
      <w:tr w14:paraId="21B8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4606C729">
            <w:pPr>
              <w:jc w:val="center"/>
            </w:pPr>
            <w:r>
              <w:rPr>
                <w:rFonts w:ascii="Arial" w:hAnsi="Arial" w:eastAsia="Arial" w:cs="Arial"/>
                <w:sz w:val="20"/>
              </w:rPr>
              <w:t>西侧</w:t>
            </w:r>
          </w:p>
        </w:tc>
        <w:tc>
          <w:tcPr>
            <w:tcW w:w="803" w:type="dxa"/>
            <w:shd w:val="clear" w:color="auto" w:fill="FFFFFF"/>
            <w:vAlign w:val="center"/>
          </w:tcPr>
          <w:p w14:paraId="2AD27753">
            <w:pPr>
              <w:jc w:val="center"/>
            </w:pPr>
            <w:r>
              <w:rPr>
                <w:rFonts w:ascii="Arial" w:hAnsi="Arial" w:eastAsia="Arial" w:cs="Arial"/>
                <w:sz w:val="20"/>
              </w:rPr>
              <w:t>-85</w:t>
            </w:r>
          </w:p>
        </w:tc>
        <w:tc>
          <w:tcPr>
            <w:tcW w:w="803" w:type="dxa"/>
            <w:shd w:val="clear" w:color="auto" w:fill="FFFFFF"/>
            <w:vAlign w:val="center"/>
          </w:tcPr>
          <w:p w14:paraId="4065AFCC">
            <w:pPr>
              <w:jc w:val="center"/>
            </w:pPr>
            <w:r>
              <w:rPr>
                <w:rFonts w:ascii="Arial" w:hAnsi="Arial" w:eastAsia="Arial" w:cs="Arial"/>
                <w:sz w:val="20"/>
              </w:rPr>
              <w:t>-48.6</w:t>
            </w:r>
          </w:p>
        </w:tc>
        <w:tc>
          <w:tcPr>
            <w:tcW w:w="803" w:type="dxa"/>
            <w:shd w:val="clear" w:color="auto" w:fill="FFFFFF"/>
            <w:vAlign w:val="center"/>
          </w:tcPr>
          <w:p w14:paraId="59171EDC">
            <w:pPr>
              <w:jc w:val="center"/>
            </w:pPr>
            <w:r>
              <w:rPr>
                <w:rFonts w:ascii="Arial" w:hAnsi="Arial" w:eastAsia="Arial" w:cs="Arial"/>
                <w:sz w:val="20"/>
              </w:rPr>
              <w:t>326.8</w:t>
            </w:r>
          </w:p>
        </w:tc>
        <w:tc>
          <w:tcPr>
            <w:tcW w:w="993" w:type="dxa"/>
            <w:shd w:val="clear" w:color="auto" w:fill="FFFFFF"/>
            <w:vAlign w:val="center"/>
          </w:tcPr>
          <w:p w14:paraId="4BAFA831">
            <w:pPr>
              <w:jc w:val="center"/>
            </w:pPr>
            <w:r>
              <w:rPr>
                <w:rFonts w:ascii="Arial" w:hAnsi="Arial" w:eastAsia="Arial" w:cs="Arial"/>
                <w:sz w:val="20"/>
              </w:rPr>
              <w:t>昼间</w:t>
            </w:r>
          </w:p>
        </w:tc>
        <w:tc>
          <w:tcPr>
            <w:tcW w:w="1417" w:type="dxa"/>
            <w:shd w:val="clear" w:color="auto" w:fill="FFFFFF"/>
            <w:vAlign w:val="center"/>
          </w:tcPr>
          <w:p w14:paraId="2E57AB2B">
            <w:pPr>
              <w:jc w:val="center"/>
            </w:pPr>
            <w:r>
              <w:rPr>
                <w:rFonts w:ascii="Arial" w:hAnsi="Arial" w:eastAsia="Arial" w:cs="Arial"/>
                <w:sz w:val="20"/>
              </w:rPr>
              <w:t>17</w:t>
            </w:r>
          </w:p>
        </w:tc>
        <w:tc>
          <w:tcPr>
            <w:tcW w:w="1418" w:type="dxa"/>
            <w:shd w:val="clear" w:color="auto" w:fill="FFFFFF"/>
            <w:vAlign w:val="center"/>
          </w:tcPr>
          <w:p w14:paraId="35EDB88C">
            <w:pPr>
              <w:jc w:val="center"/>
            </w:pPr>
            <w:r>
              <w:rPr>
                <w:rFonts w:ascii="Arial" w:hAnsi="Arial" w:eastAsia="Arial" w:cs="Arial"/>
                <w:sz w:val="20"/>
              </w:rPr>
              <w:t>60</w:t>
            </w:r>
          </w:p>
        </w:tc>
        <w:tc>
          <w:tcPr>
            <w:tcW w:w="1188" w:type="dxa"/>
            <w:shd w:val="clear" w:color="auto" w:fill="FFFFFF"/>
            <w:vAlign w:val="center"/>
          </w:tcPr>
          <w:p w14:paraId="12F94343">
            <w:pPr>
              <w:jc w:val="center"/>
            </w:pPr>
            <w:r>
              <w:rPr>
                <w:rFonts w:ascii="Arial" w:hAnsi="Arial" w:eastAsia="Arial" w:cs="Arial"/>
                <w:sz w:val="20"/>
              </w:rPr>
              <w:t>达标</w:t>
            </w:r>
          </w:p>
        </w:tc>
      </w:tr>
      <w:tr w14:paraId="6D78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4B540E37">
            <w:pPr>
              <w:jc w:val="center"/>
            </w:pPr>
            <w:r>
              <w:rPr>
                <w:rFonts w:ascii="Arial" w:hAnsi="Arial" w:eastAsia="Arial" w:cs="Arial"/>
                <w:sz w:val="20"/>
              </w:rPr>
              <w:t>西侧</w:t>
            </w:r>
          </w:p>
        </w:tc>
        <w:tc>
          <w:tcPr>
            <w:tcW w:w="803" w:type="dxa"/>
            <w:shd w:val="clear" w:color="auto" w:fill="FFFFFF"/>
            <w:vAlign w:val="center"/>
          </w:tcPr>
          <w:p w14:paraId="5F8D1D2B">
            <w:pPr>
              <w:jc w:val="center"/>
            </w:pPr>
            <w:r>
              <w:rPr>
                <w:rFonts w:ascii="Arial" w:hAnsi="Arial" w:eastAsia="Arial" w:cs="Arial"/>
                <w:sz w:val="20"/>
              </w:rPr>
              <w:t>-85</w:t>
            </w:r>
          </w:p>
        </w:tc>
        <w:tc>
          <w:tcPr>
            <w:tcW w:w="803" w:type="dxa"/>
            <w:shd w:val="clear" w:color="auto" w:fill="FFFFFF"/>
            <w:vAlign w:val="center"/>
          </w:tcPr>
          <w:p w14:paraId="0FB6357E">
            <w:pPr>
              <w:jc w:val="center"/>
            </w:pPr>
            <w:r>
              <w:rPr>
                <w:rFonts w:ascii="Arial" w:hAnsi="Arial" w:eastAsia="Arial" w:cs="Arial"/>
                <w:sz w:val="20"/>
              </w:rPr>
              <w:t>-48.6</w:t>
            </w:r>
          </w:p>
        </w:tc>
        <w:tc>
          <w:tcPr>
            <w:tcW w:w="803" w:type="dxa"/>
            <w:shd w:val="clear" w:color="auto" w:fill="FFFFFF"/>
            <w:vAlign w:val="center"/>
          </w:tcPr>
          <w:p w14:paraId="54E285E5">
            <w:pPr>
              <w:jc w:val="center"/>
            </w:pPr>
            <w:r>
              <w:rPr>
                <w:rFonts w:ascii="Arial" w:hAnsi="Arial" w:eastAsia="Arial" w:cs="Arial"/>
                <w:sz w:val="20"/>
              </w:rPr>
              <w:t>326.8</w:t>
            </w:r>
          </w:p>
        </w:tc>
        <w:tc>
          <w:tcPr>
            <w:tcW w:w="993" w:type="dxa"/>
            <w:shd w:val="clear" w:color="auto" w:fill="FFFFFF"/>
            <w:vAlign w:val="center"/>
          </w:tcPr>
          <w:p w14:paraId="4EDF27B4">
            <w:pPr>
              <w:jc w:val="center"/>
            </w:pPr>
            <w:r>
              <w:rPr>
                <w:rFonts w:ascii="Arial" w:hAnsi="Arial" w:eastAsia="Arial" w:cs="Arial"/>
                <w:sz w:val="20"/>
              </w:rPr>
              <w:t>夜间</w:t>
            </w:r>
          </w:p>
        </w:tc>
        <w:tc>
          <w:tcPr>
            <w:tcW w:w="1417" w:type="dxa"/>
            <w:shd w:val="clear" w:color="auto" w:fill="FFFFFF"/>
            <w:vAlign w:val="center"/>
          </w:tcPr>
          <w:p w14:paraId="4A48D783">
            <w:pPr>
              <w:jc w:val="center"/>
            </w:pPr>
            <w:r>
              <w:rPr>
                <w:rFonts w:ascii="Arial" w:hAnsi="Arial" w:eastAsia="Arial" w:cs="Arial"/>
                <w:sz w:val="20"/>
              </w:rPr>
              <w:t>17</w:t>
            </w:r>
          </w:p>
        </w:tc>
        <w:tc>
          <w:tcPr>
            <w:tcW w:w="1418" w:type="dxa"/>
            <w:shd w:val="clear" w:color="auto" w:fill="FFFFFF"/>
            <w:vAlign w:val="center"/>
          </w:tcPr>
          <w:p w14:paraId="31C07DB5">
            <w:pPr>
              <w:jc w:val="center"/>
            </w:pPr>
            <w:r>
              <w:rPr>
                <w:rFonts w:ascii="Arial" w:hAnsi="Arial" w:eastAsia="Arial" w:cs="Arial"/>
                <w:sz w:val="20"/>
              </w:rPr>
              <w:t>50</w:t>
            </w:r>
          </w:p>
        </w:tc>
        <w:tc>
          <w:tcPr>
            <w:tcW w:w="1188" w:type="dxa"/>
            <w:shd w:val="clear" w:color="auto" w:fill="FFFFFF"/>
            <w:vAlign w:val="center"/>
          </w:tcPr>
          <w:p w14:paraId="7271DF06">
            <w:pPr>
              <w:jc w:val="center"/>
            </w:pPr>
            <w:r>
              <w:rPr>
                <w:rFonts w:ascii="Arial" w:hAnsi="Arial" w:eastAsia="Arial" w:cs="Arial"/>
                <w:sz w:val="20"/>
              </w:rPr>
              <w:t>达标</w:t>
            </w:r>
          </w:p>
        </w:tc>
      </w:tr>
      <w:tr w14:paraId="3176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08DA982B">
            <w:pPr>
              <w:jc w:val="center"/>
            </w:pPr>
            <w:r>
              <w:rPr>
                <w:rFonts w:ascii="Arial" w:hAnsi="Arial" w:eastAsia="Arial" w:cs="Arial"/>
                <w:sz w:val="20"/>
              </w:rPr>
              <w:t>北侧</w:t>
            </w:r>
          </w:p>
        </w:tc>
        <w:tc>
          <w:tcPr>
            <w:tcW w:w="803" w:type="dxa"/>
            <w:shd w:val="clear" w:color="auto" w:fill="FFFFFF"/>
            <w:vAlign w:val="center"/>
          </w:tcPr>
          <w:p w14:paraId="6696A162">
            <w:pPr>
              <w:jc w:val="center"/>
            </w:pPr>
            <w:r>
              <w:rPr>
                <w:rFonts w:ascii="Arial" w:hAnsi="Arial" w:eastAsia="Arial" w:cs="Arial"/>
                <w:sz w:val="20"/>
              </w:rPr>
              <w:t>73.2</w:t>
            </w:r>
          </w:p>
        </w:tc>
        <w:tc>
          <w:tcPr>
            <w:tcW w:w="803" w:type="dxa"/>
            <w:shd w:val="clear" w:color="auto" w:fill="FFFFFF"/>
            <w:vAlign w:val="center"/>
          </w:tcPr>
          <w:p w14:paraId="78AEE4C7">
            <w:pPr>
              <w:jc w:val="center"/>
            </w:pPr>
            <w:r>
              <w:rPr>
                <w:rFonts w:ascii="Arial" w:hAnsi="Arial" w:eastAsia="Arial" w:cs="Arial"/>
                <w:sz w:val="20"/>
              </w:rPr>
              <w:t>97.6</w:t>
            </w:r>
          </w:p>
        </w:tc>
        <w:tc>
          <w:tcPr>
            <w:tcW w:w="803" w:type="dxa"/>
            <w:shd w:val="clear" w:color="auto" w:fill="FFFFFF"/>
            <w:vAlign w:val="center"/>
          </w:tcPr>
          <w:p w14:paraId="680D1E82">
            <w:pPr>
              <w:jc w:val="center"/>
            </w:pPr>
            <w:r>
              <w:rPr>
                <w:rFonts w:ascii="Arial" w:hAnsi="Arial" w:eastAsia="Arial" w:cs="Arial"/>
                <w:sz w:val="20"/>
              </w:rPr>
              <w:t>361.3</w:t>
            </w:r>
          </w:p>
        </w:tc>
        <w:tc>
          <w:tcPr>
            <w:tcW w:w="993" w:type="dxa"/>
            <w:shd w:val="clear" w:color="auto" w:fill="FFFFFF"/>
            <w:vAlign w:val="center"/>
          </w:tcPr>
          <w:p w14:paraId="328A5EAC">
            <w:pPr>
              <w:jc w:val="center"/>
            </w:pPr>
            <w:r>
              <w:rPr>
                <w:rFonts w:ascii="Arial" w:hAnsi="Arial" w:eastAsia="Arial" w:cs="Arial"/>
                <w:sz w:val="20"/>
              </w:rPr>
              <w:t>昼间</w:t>
            </w:r>
          </w:p>
        </w:tc>
        <w:tc>
          <w:tcPr>
            <w:tcW w:w="1417" w:type="dxa"/>
            <w:shd w:val="clear" w:color="auto" w:fill="FFFFFF"/>
            <w:vAlign w:val="center"/>
          </w:tcPr>
          <w:p w14:paraId="4D4D2325">
            <w:pPr>
              <w:jc w:val="center"/>
            </w:pPr>
            <w:r>
              <w:rPr>
                <w:rFonts w:ascii="Arial" w:hAnsi="Arial" w:eastAsia="Arial" w:cs="Arial"/>
                <w:sz w:val="20"/>
              </w:rPr>
              <w:t>20.8</w:t>
            </w:r>
          </w:p>
        </w:tc>
        <w:tc>
          <w:tcPr>
            <w:tcW w:w="1418" w:type="dxa"/>
            <w:shd w:val="clear" w:color="auto" w:fill="FFFFFF"/>
            <w:vAlign w:val="center"/>
          </w:tcPr>
          <w:p w14:paraId="4AB1D69D">
            <w:pPr>
              <w:jc w:val="center"/>
            </w:pPr>
            <w:r>
              <w:rPr>
                <w:rFonts w:ascii="Arial" w:hAnsi="Arial" w:eastAsia="Arial" w:cs="Arial"/>
                <w:sz w:val="20"/>
              </w:rPr>
              <w:t>60</w:t>
            </w:r>
          </w:p>
        </w:tc>
        <w:tc>
          <w:tcPr>
            <w:tcW w:w="1188" w:type="dxa"/>
            <w:shd w:val="clear" w:color="auto" w:fill="FFFFFF"/>
            <w:vAlign w:val="center"/>
          </w:tcPr>
          <w:p w14:paraId="39928D00">
            <w:pPr>
              <w:jc w:val="center"/>
            </w:pPr>
            <w:r>
              <w:rPr>
                <w:rFonts w:ascii="Arial" w:hAnsi="Arial" w:eastAsia="Arial" w:cs="Arial"/>
                <w:sz w:val="20"/>
              </w:rPr>
              <w:t>达标</w:t>
            </w:r>
          </w:p>
        </w:tc>
      </w:tr>
      <w:tr w14:paraId="0CCF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6AE967D0">
            <w:pPr>
              <w:jc w:val="center"/>
            </w:pPr>
            <w:r>
              <w:rPr>
                <w:rFonts w:ascii="Arial" w:hAnsi="Arial" w:eastAsia="Arial" w:cs="Arial"/>
                <w:sz w:val="20"/>
              </w:rPr>
              <w:t>北侧</w:t>
            </w:r>
          </w:p>
        </w:tc>
        <w:tc>
          <w:tcPr>
            <w:tcW w:w="803" w:type="dxa"/>
            <w:shd w:val="clear" w:color="auto" w:fill="FFFFFF"/>
            <w:vAlign w:val="center"/>
          </w:tcPr>
          <w:p w14:paraId="3195765F">
            <w:pPr>
              <w:jc w:val="center"/>
            </w:pPr>
            <w:r>
              <w:rPr>
                <w:rFonts w:ascii="Arial" w:hAnsi="Arial" w:eastAsia="Arial" w:cs="Arial"/>
                <w:sz w:val="20"/>
              </w:rPr>
              <w:t>73.2</w:t>
            </w:r>
          </w:p>
        </w:tc>
        <w:tc>
          <w:tcPr>
            <w:tcW w:w="803" w:type="dxa"/>
            <w:shd w:val="clear" w:color="auto" w:fill="FFFFFF"/>
            <w:vAlign w:val="center"/>
          </w:tcPr>
          <w:p w14:paraId="641B8A1E">
            <w:pPr>
              <w:jc w:val="center"/>
            </w:pPr>
            <w:r>
              <w:rPr>
                <w:rFonts w:ascii="Arial" w:hAnsi="Arial" w:eastAsia="Arial" w:cs="Arial"/>
                <w:sz w:val="20"/>
              </w:rPr>
              <w:t>97.6</w:t>
            </w:r>
          </w:p>
        </w:tc>
        <w:tc>
          <w:tcPr>
            <w:tcW w:w="803" w:type="dxa"/>
            <w:shd w:val="clear" w:color="auto" w:fill="FFFFFF"/>
            <w:vAlign w:val="center"/>
          </w:tcPr>
          <w:p w14:paraId="488A2BEE">
            <w:pPr>
              <w:jc w:val="center"/>
            </w:pPr>
            <w:r>
              <w:rPr>
                <w:rFonts w:ascii="Arial" w:hAnsi="Arial" w:eastAsia="Arial" w:cs="Arial"/>
                <w:sz w:val="20"/>
              </w:rPr>
              <w:t>361.3</w:t>
            </w:r>
          </w:p>
        </w:tc>
        <w:tc>
          <w:tcPr>
            <w:tcW w:w="993" w:type="dxa"/>
            <w:shd w:val="clear" w:color="auto" w:fill="FFFFFF"/>
            <w:vAlign w:val="center"/>
          </w:tcPr>
          <w:p w14:paraId="3194A5A4">
            <w:pPr>
              <w:jc w:val="center"/>
            </w:pPr>
            <w:r>
              <w:rPr>
                <w:rFonts w:ascii="Arial" w:hAnsi="Arial" w:eastAsia="Arial" w:cs="Arial"/>
                <w:sz w:val="20"/>
              </w:rPr>
              <w:t>夜间</w:t>
            </w:r>
          </w:p>
        </w:tc>
        <w:tc>
          <w:tcPr>
            <w:tcW w:w="1417" w:type="dxa"/>
            <w:shd w:val="clear" w:color="auto" w:fill="FFFFFF"/>
            <w:vAlign w:val="center"/>
          </w:tcPr>
          <w:p w14:paraId="13E73E9B">
            <w:pPr>
              <w:jc w:val="center"/>
            </w:pPr>
            <w:r>
              <w:rPr>
                <w:rFonts w:ascii="Arial" w:hAnsi="Arial" w:eastAsia="Arial" w:cs="Arial"/>
                <w:sz w:val="20"/>
              </w:rPr>
              <w:t>20.8</w:t>
            </w:r>
          </w:p>
        </w:tc>
        <w:tc>
          <w:tcPr>
            <w:tcW w:w="1418" w:type="dxa"/>
            <w:shd w:val="clear" w:color="auto" w:fill="FFFFFF"/>
            <w:vAlign w:val="center"/>
          </w:tcPr>
          <w:p w14:paraId="70DD35A6">
            <w:pPr>
              <w:jc w:val="center"/>
            </w:pPr>
            <w:r>
              <w:rPr>
                <w:rFonts w:ascii="Arial" w:hAnsi="Arial" w:eastAsia="Arial" w:cs="Arial"/>
                <w:sz w:val="20"/>
              </w:rPr>
              <w:t>50</w:t>
            </w:r>
          </w:p>
        </w:tc>
        <w:tc>
          <w:tcPr>
            <w:tcW w:w="1188" w:type="dxa"/>
            <w:shd w:val="clear" w:color="auto" w:fill="FFFFFF"/>
            <w:vAlign w:val="center"/>
          </w:tcPr>
          <w:p w14:paraId="3F1CB4AC">
            <w:pPr>
              <w:jc w:val="center"/>
            </w:pPr>
            <w:r>
              <w:rPr>
                <w:rFonts w:ascii="Arial" w:hAnsi="Arial" w:eastAsia="Arial" w:cs="Arial"/>
                <w:sz w:val="20"/>
              </w:rPr>
              <w:t>达标</w:t>
            </w:r>
          </w:p>
        </w:tc>
      </w:tr>
    </w:tbl>
    <w:p w14:paraId="74AD0C43">
      <w:pPr>
        <w:rPr>
          <w:rFonts w:hint="default" w:ascii="Times New Roman" w:hAnsi="Times New Roman" w:eastAsia="宋体" w:cs="Times New Roman"/>
          <w:b/>
          <w:color w:val="auto"/>
          <w:sz w:val="21"/>
          <w:szCs w:val="21"/>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color w:val="auto"/>
          <w:sz w:val="21"/>
          <w:szCs w:val="21"/>
          <w:highlight w:val="none"/>
          <w:lang w:val="en-US" w:eastAsia="zh-CN"/>
        </w:rPr>
        <w:br w:type="page"/>
      </w:r>
    </w:p>
    <w:p w14:paraId="7D77E6E1">
      <w:pPr>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表6.5-3</w:t>
      </w:r>
      <w:r>
        <w:rPr>
          <w:rFonts w:cs="Times New Roman" w:asciiTheme="minorEastAsia" w:hAnsiTheme="minorEastAsia" w:eastAsiaTheme="minorEastAsia"/>
          <w:b/>
          <w:lang w:eastAsia="zh-CN"/>
        </w:rPr>
        <w:t>工</w:t>
      </w:r>
      <w:r>
        <w:rPr>
          <w:rFonts w:cs="Times New Roman" w:asciiTheme="minorEastAsia" w:hAnsiTheme="minorEastAsia" w:eastAsiaTheme="minorEastAsia"/>
          <w:b/>
          <w:spacing w:val="-3"/>
          <w:lang w:eastAsia="zh-CN"/>
        </w:rPr>
        <w:t>业</w:t>
      </w:r>
      <w:r>
        <w:rPr>
          <w:rFonts w:cs="Times New Roman" w:asciiTheme="minorEastAsia" w:hAnsiTheme="minorEastAsia" w:eastAsiaTheme="minorEastAsia"/>
          <w:b/>
          <w:lang w:eastAsia="zh-CN"/>
        </w:rPr>
        <w:t>企</w:t>
      </w:r>
      <w:r>
        <w:rPr>
          <w:rFonts w:cs="Times New Roman" w:asciiTheme="minorEastAsia" w:hAnsiTheme="minorEastAsia" w:eastAsiaTheme="minorEastAsia"/>
          <w:b/>
          <w:spacing w:val="-3"/>
          <w:lang w:eastAsia="zh-CN"/>
        </w:rPr>
        <w:t>业</w:t>
      </w:r>
      <w:r>
        <w:rPr>
          <w:rFonts w:cs="Times New Roman" w:asciiTheme="minorEastAsia" w:hAnsiTheme="minorEastAsia" w:eastAsiaTheme="minorEastAsia"/>
          <w:b/>
          <w:lang w:eastAsia="zh-CN"/>
        </w:rPr>
        <w:t>声</w:t>
      </w:r>
      <w:r>
        <w:rPr>
          <w:rFonts w:cs="Times New Roman" w:asciiTheme="minorEastAsia" w:hAnsiTheme="minorEastAsia" w:eastAsiaTheme="minorEastAsia"/>
          <w:b/>
          <w:spacing w:val="-3"/>
          <w:lang w:eastAsia="zh-CN"/>
        </w:rPr>
        <w:t>环境</w:t>
      </w:r>
      <w:r>
        <w:rPr>
          <w:rFonts w:cs="Times New Roman" w:asciiTheme="minorEastAsia" w:hAnsiTheme="minorEastAsia" w:eastAsiaTheme="minorEastAsia"/>
          <w:b/>
          <w:lang w:eastAsia="zh-CN"/>
        </w:rPr>
        <w:t>保护</w:t>
      </w:r>
      <w:r>
        <w:rPr>
          <w:rFonts w:cs="Times New Roman" w:asciiTheme="minorEastAsia" w:hAnsiTheme="minorEastAsia" w:eastAsiaTheme="minorEastAsia"/>
          <w:b/>
          <w:spacing w:val="-3"/>
          <w:lang w:eastAsia="zh-CN"/>
        </w:rPr>
        <w:t>目</w:t>
      </w:r>
      <w:r>
        <w:rPr>
          <w:rFonts w:cs="Times New Roman" w:asciiTheme="minorEastAsia" w:hAnsiTheme="minorEastAsia" w:eastAsiaTheme="minorEastAsia"/>
          <w:b/>
          <w:lang w:eastAsia="zh-CN"/>
        </w:rPr>
        <w:t>标</w:t>
      </w:r>
      <w:r>
        <w:rPr>
          <w:rFonts w:cs="Times New Roman" w:asciiTheme="minorEastAsia" w:hAnsiTheme="minorEastAsia" w:eastAsiaTheme="minorEastAsia"/>
          <w:b/>
          <w:spacing w:val="-3"/>
          <w:lang w:eastAsia="zh-CN"/>
        </w:rPr>
        <w:t>噪</w:t>
      </w:r>
      <w:r>
        <w:rPr>
          <w:rFonts w:cs="Times New Roman" w:asciiTheme="minorEastAsia" w:hAnsiTheme="minorEastAsia" w:eastAsiaTheme="minorEastAsia"/>
          <w:b/>
          <w:lang w:eastAsia="zh-CN"/>
        </w:rPr>
        <w:t>声</w:t>
      </w:r>
      <w:r>
        <w:rPr>
          <w:rFonts w:cs="Times New Roman" w:asciiTheme="minorEastAsia" w:hAnsiTheme="minorEastAsia" w:eastAsiaTheme="minorEastAsia"/>
          <w:b/>
          <w:spacing w:val="-3"/>
          <w:lang w:eastAsia="zh-CN"/>
        </w:rPr>
        <w:t>预</w:t>
      </w:r>
      <w:r>
        <w:rPr>
          <w:rFonts w:cs="Times New Roman" w:asciiTheme="minorEastAsia" w:hAnsiTheme="minorEastAsia" w:eastAsiaTheme="minorEastAsia"/>
          <w:b/>
          <w:lang w:eastAsia="zh-CN"/>
        </w:rPr>
        <w:t>测</w:t>
      </w:r>
      <w:r>
        <w:rPr>
          <w:rFonts w:cs="Times New Roman" w:asciiTheme="minorEastAsia" w:hAnsiTheme="minorEastAsia" w:eastAsiaTheme="minorEastAsia"/>
          <w:b/>
          <w:spacing w:val="-3"/>
          <w:lang w:eastAsia="zh-CN"/>
        </w:rPr>
        <w:t>结</w:t>
      </w:r>
      <w:r>
        <w:rPr>
          <w:rFonts w:cs="Times New Roman" w:asciiTheme="minorEastAsia" w:hAnsiTheme="minorEastAsia" w:eastAsiaTheme="minorEastAsia"/>
          <w:b/>
          <w:lang w:eastAsia="zh-CN"/>
        </w:rPr>
        <w:t>果</w:t>
      </w:r>
      <w:r>
        <w:rPr>
          <w:rFonts w:cs="Times New Roman" w:asciiTheme="minorEastAsia" w:hAnsiTheme="minorEastAsia" w:eastAsiaTheme="minorEastAsia"/>
          <w:b/>
          <w:spacing w:val="-3"/>
          <w:lang w:eastAsia="zh-CN"/>
        </w:rPr>
        <w:t>与</w:t>
      </w:r>
      <w:r>
        <w:rPr>
          <w:rFonts w:cs="Times New Roman" w:asciiTheme="minorEastAsia" w:hAnsiTheme="minorEastAsia" w:eastAsiaTheme="minorEastAsia"/>
          <w:b/>
          <w:lang w:eastAsia="zh-CN"/>
        </w:rPr>
        <w:t>达标</w:t>
      </w:r>
      <w:r>
        <w:rPr>
          <w:rFonts w:cs="Times New Roman" w:asciiTheme="minorEastAsia" w:hAnsiTheme="minorEastAsia" w:eastAsiaTheme="minorEastAsia"/>
          <w:b/>
          <w:spacing w:val="-3"/>
          <w:lang w:eastAsia="zh-CN"/>
        </w:rPr>
        <w:t>分</w:t>
      </w:r>
      <w:r>
        <w:rPr>
          <w:rFonts w:cs="Times New Roman" w:asciiTheme="minorEastAsia" w:hAnsiTheme="minorEastAsia" w:eastAsiaTheme="minorEastAsia"/>
          <w:b/>
          <w:lang w:eastAsia="zh-CN"/>
        </w:rPr>
        <w:t>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892"/>
        <w:gridCol w:w="891"/>
        <w:gridCol w:w="892"/>
        <w:gridCol w:w="891"/>
        <w:gridCol w:w="797"/>
        <w:gridCol w:w="796"/>
        <w:gridCol w:w="908"/>
        <w:gridCol w:w="907"/>
        <w:gridCol w:w="908"/>
        <w:gridCol w:w="907"/>
        <w:gridCol w:w="897"/>
        <w:gridCol w:w="896"/>
        <w:gridCol w:w="807"/>
        <w:gridCol w:w="807"/>
      </w:tblGrid>
      <w:tr w14:paraId="0B0C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exact"/>
          <w:jc w:val="center"/>
        </w:trPr>
        <w:tc>
          <w:tcPr>
            <w:tcW w:w="0" w:type="auto"/>
            <w:vMerge w:val="restart"/>
            <w:vAlign w:val="center"/>
          </w:tcPr>
          <w:p w14:paraId="20F8ED6C">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声环境保护目标名称</w:t>
            </w:r>
          </w:p>
        </w:tc>
        <w:tc>
          <w:tcPr>
            <w:tcW w:w="0" w:type="auto"/>
            <w:gridSpan w:val="2"/>
            <w:vAlign w:val="center"/>
          </w:tcPr>
          <w:p w14:paraId="7F91206A">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噪声背景值/dB(A)</w:t>
            </w:r>
          </w:p>
        </w:tc>
        <w:tc>
          <w:tcPr>
            <w:tcW w:w="0" w:type="auto"/>
            <w:gridSpan w:val="2"/>
            <w:vAlign w:val="center"/>
          </w:tcPr>
          <w:p w14:paraId="0EB72625">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噪声现状值/dB(A)</w:t>
            </w:r>
          </w:p>
        </w:tc>
        <w:tc>
          <w:tcPr>
            <w:tcW w:w="0" w:type="auto"/>
            <w:gridSpan w:val="2"/>
            <w:vAlign w:val="center"/>
          </w:tcPr>
          <w:p w14:paraId="0D91F1DF">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噪声标准/dB(A)</w:t>
            </w:r>
          </w:p>
        </w:tc>
        <w:tc>
          <w:tcPr>
            <w:tcW w:w="0" w:type="auto"/>
            <w:gridSpan w:val="2"/>
            <w:vAlign w:val="center"/>
          </w:tcPr>
          <w:p w14:paraId="10E1BE68">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噪声贡献值/dB(A)</w:t>
            </w:r>
          </w:p>
        </w:tc>
        <w:tc>
          <w:tcPr>
            <w:tcW w:w="0" w:type="auto"/>
            <w:gridSpan w:val="2"/>
            <w:vAlign w:val="center"/>
          </w:tcPr>
          <w:p w14:paraId="579CC945">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噪声预测值/dB(A)</w:t>
            </w:r>
          </w:p>
        </w:tc>
        <w:tc>
          <w:tcPr>
            <w:tcW w:w="0" w:type="auto"/>
            <w:gridSpan w:val="2"/>
            <w:vAlign w:val="center"/>
          </w:tcPr>
          <w:p w14:paraId="3E18606E">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较现状增量/dB(A)</w:t>
            </w:r>
          </w:p>
        </w:tc>
        <w:tc>
          <w:tcPr>
            <w:tcW w:w="0" w:type="auto"/>
            <w:gridSpan w:val="2"/>
            <w:vAlign w:val="center"/>
          </w:tcPr>
          <w:p w14:paraId="5A339A0E">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超标和达标情况</w:t>
            </w:r>
          </w:p>
        </w:tc>
      </w:tr>
      <w:tr w14:paraId="5CD1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shd w:val="clear" w:color="auto" w:fill="FFFFFF"/>
            <w:vAlign w:val="center"/>
          </w:tcPr>
          <w:p w14:paraId="0C1444C7">
            <w:pPr>
              <w:jc w:val="center"/>
              <w:rPr>
                <w:rFonts w:ascii="Times New Roman" w:hAnsi="Times New Roman" w:cs="Times New Roman" w:eastAsiaTheme="minorEastAsia"/>
                <w:sz w:val="21"/>
                <w:szCs w:val="21"/>
              </w:rPr>
            </w:pPr>
          </w:p>
        </w:tc>
        <w:tc>
          <w:tcPr>
            <w:tcW w:w="0" w:type="auto"/>
            <w:shd w:val="clear" w:color="auto" w:fill="FFFFFF"/>
            <w:vAlign w:val="center"/>
          </w:tcPr>
          <w:p w14:paraId="7483BC3E">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3354CCCE">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3377D4E5">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0A54D4B1">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3F3CC6E0">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43BFB4F4">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45FAC4C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4B590B5B">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34D78DB0">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11746110">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240AB732">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3F5DC35C">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c>
          <w:tcPr>
            <w:tcW w:w="0" w:type="auto"/>
            <w:shd w:val="clear" w:color="auto" w:fill="FFFFFF"/>
            <w:vAlign w:val="center"/>
          </w:tcPr>
          <w:p w14:paraId="7621138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w:t>
            </w:r>
          </w:p>
        </w:tc>
        <w:tc>
          <w:tcPr>
            <w:tcW w:w="0" w:type="auto"/>
            <w:shd w:val="clear" w:color="auto" w:fill="FFFFFF"/>
            <w:vAlign w:val="center"/>
          </w:tcPr>
          <w:p w14:paraId="5B57AF4D">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w:t>
            </w:r>
          </w:p>
        </w:tc>
      </w:tr>
      <w:tr w14:paraId="7805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0" w:type="auto"/>
            <w:shd w:val="clear" w:color="auto" w:fill="FFFFFF"/>
            <w:vAlign w:val="center"/>
          </w:tcPr>
          <w:p w14:paraId="3031A1C5">
            <w:pPr>
              <w:rPr>
                <w:rFonts w:hint="default" w:eastAsiaTheme="minorEastAsia"/>
                <w:lang w:val="en-US" w:eastAsia="zh-CN"/>
              </w:rPr>
            </w:pPr>
            <w:r>
              <w:rPr>
                <w:rFonts w:hint="eastAsia" w:ascii="Arial" w:hAnsi="Arial" w:eastAsia="宋体" w:cs="Arial"/>
                <w:sz w:val="20"/>
                <w:lang w:val="en-US" w:eastAsia="zh-CN"/>
              </w:rPr>
              <w:t>青龙坡安置房居民</w:t>
            </w:r>
          </w:p>
        </w:tc>
        <w:tc>
          <w:tcPr>
            <w:tcW w:w="0" w:type="auto"/>
            <w:shd w:val="clear" w:color="auto" w:fill="FFFFFF"/>
            <w:vAlign w:val="center"/>
          </w:tcPr>
          <w:p w14:paraId="0519E07F">
            <w:r>
              <w:rPr>
                <w:rFonts w:ascii="Arial" w:hAnsi="Arial" w:eastAsia="Arial" w:cs="Arial"/>
                <w:sz w:val="20"/>
              </w:rPr>
              <w:t>54</w:t>
            </w:r>
          </w:p>
        </w:tc>
        <w:tc>
          <w:tcPr>
            <w:tcW w:w="0" w:type="auto"/>
            <w:shd w:val="clear" w:color="auto" w:fill="FFFFFF"/>
            <w:vAlign w:val="center"/>
          </w:tcPr>
          <w:p w14:paraId="18EAE48F">
            <w:r>
              <w:rPr>
                <w:rFonts w:ascii="Arial" w:hAnsi="Arial" w:eastAsia="Arial" w:cs="Arial"/>
                <w:sz w:val="20"/>
              </w:rPr>
              <w:t>44</w:t>
            </w:r>
          </w:p>
        </w:tc>
        <w:tc>
          <w:tcPr>
            <w:tcW w:w="0" w:type="auto"/>
            <w:shd w:val="clear" w:color="auto" w:fill="FFFFFF"/>
            <w:vAlign w:val="center"/>
          </w:tcPr>
          <w:p w14:paraId="0454BDCB">
            <w:r>
              <w:rPr>
                <w:rFonts w:ascii="Arial" w:hAnsi="Arial" w:eastAsia="Arial" w:cs="Arial"/>
                <w:sz w:val="20"/>
              </w:rPr>
              <w:t>54</w:t>
            </w:r>
          </w:p>
        </w:tc>
        <w:tc>
          <w:tcPr>
            <w:tcW w:w="0" w:type="auto"/>
            <w:shd w:val="clear" w:color="auto" w:fill="FFFFFF"/>
            <w:vAlign w:val="center"/>
          </w:tcPr>
          <w:p w14:paraId="5E8A269C">
            <w:r>
              <w:rPr>
                <w:rFonts w:ascii="Arial" w:hAnsi="Arial" w:eastAsia="Arial" w:cs="Arial"/>
                <w:sz w:val="20"/>
              </w:rPr>
              <w:t>44</w:t>
            </w:r>
          </w:p>
        </w:tc>
        <w:tc>
          <w:tcPr>
            <w:tcW w:w="0" w:type="auto"/>
            <w:shd w:val="clear" w:color="auto" w:fill="FFFFFF"/>
            <w:vAlign w:val="center"/>
          </w:tcPr>
          <w:p w14:paraId="1446A50D">
            <w:r>
              <w:rPr>
                <w:rFonts w:ascii="Arial" w:hAnsi="Arial" w:eastAsia="Arial" w:cs="Arial"/>
                <w:sz w:val="20"/>
              </w:rPr>
              <w:t>60</w:t>
            </w:r>
          </w:p>
        </w:tc>
        <w:tc>
          <w:tcPr>
            <w:tcW w:w="0" w:type="auto"/>
            <w:shd w:val="clear" w:color="auto" w:fill="FFFFFF"/>
            <w:vAlign w:val="center"/>
          </w:tcPr>
          <w:p w14:paraId="41C150B9">
            <w:r>
              <w:rPr>
                <w:rFonts w:ascii="Arial" w:hAnsi="Arial" w:eastAsia="Arial" w:cs="Arial"/>
                <w:sz w:val="20"/>
              </w:rPr>
              <w:t>50</w:t>
            </w:r>
          </w:p>
        </w:tc>
        <w:tc>
          <w:tcPr>
            <w:tcW w:w="0" w:type="auto"/>
            <w:shd w:val="clear" w:color="auto" w:fill="FFFFFF"/>
            <w:vAlign w:val="center"/>
          </w:tcPr>
          <w:p w14:paraId="4B7A280D">
            <w:r>
              <w:rPr>
                <w:rFonts w:ascii="Arial" w:hAnsi="Arial" w:eastAsia="Arial" w:cs="Arial"/>
                <w:sz w:val="20"/>
              </w:rPr>
              <w:t>0</w:t>
            </w:r>
          </w:p>
        </w:tc>
        <w:tc>
          <w:tcPr>
            <w:tcW w:w="0" w:type="auto"/>
            <w:shd w:val="clear" w:color="auto" w:fill="FFFFFF"/>
            <w:vAlign w:val="center"/>
          </w:tcPr>
          <w:p w14:paraId="1ACABF85">
            <w:r>
              <w:rPr>
                <w:rFonts w:ascii="Arial" w:hAnsi="Arial" w:eastAsia="Arial" w:cs="Arial"/>
                <w:sz w:val="20"/>
              </w:rPr>
              <w:t>0</w:t>
            </w:r>
          </w:p>
        </w:tc>
        <w:tc>
          <w:tcPr>
            <w:tcW w:w="0" w:type="auto"/>
            <w:shd w:val="clear" w:color="auto" w:fill="FFFFFF"/>
            <w:vAlign w:val="center"/>
          </w:tcPr>
          <w:p w14:paraId="74E81C19">
            <w:r>
              <w:rPr>
                <w:rFonts w:ascii="Arial" w:hAnsi="Arial" w:eastAsia="Arial" w:cs="Arial"/>
                <w:sz w:val="20"/>
              </w:rPr>
              <w:t>54.0</w:t>
            </w:r>
          </w:p>
        </w:tc>
        <w:tc>
          <w:tcPr>
            <w:tcW w:w="0" w:type="auto"/>
            <w:shd w:val="clear" w:color="auto" w:fill="FFFFFF"/>
            <w:vAlign w:val="center"/>
          </w:tcPr>
          <w:p w14:paraId="0667CBC0">
            <w:r>
              <w:rPr>
                <w:rFonts w:ascii="Arial" w:hAnsi="Arial" w:eastAsia="Arial" w:cs="Arial"/>
                <w:sz w:val="20"/>
              </w:rPr>
              <w:t>44.0</w:t>
            </w:r>
          </w:p>
        </w:tc>
        <w:tc>
          <w:tcPr>
            <w:tcW w:w="0" w:type="auto"/>
            <w:shd w:val="clear" w:color="auto" w:fill="FFFFFF"/>
            <w:vAlign w:val="center"/>
          </w:tcPr>
          <w:p w14:paraId="4BFBE78F">
            <w:r>
              <w:rPr>
                <w:rFonts w:ascii="Arial" w:hAnsi="Arial" w:eastAsia="Arial" w:cs="Arial"/>
                <w:sz w:val="20"/>
              </w:rPr>
              <w:t>0.0</w:t>
            </w:r>
          </w:p>
        </w:tc>
        <w:tc>
          <w:tcPr>
            <w:tcW w:w="0" w:type="auto"/>
            <w:shd w:val="clear" w:color="auto" w:fill="FFFFFF"/>
            <w:vAlign w:val="center"/>
          </w:tcPr>
          <w:p w14:paraId="7816252B">
            <w:r>
              <w:rPr>
                <w:rFonts w:ascii="Arial" w:hAnsi="Arial" w:eastAsia="Arial" w:cs="Arial"/>
                <w:sz w:val="20"/>
              </w:rPr>
              <w:t>0.0</w:t>
            </w:r>
          </w:p>
        </w:tc>
        <w:tc>
          <w:tcPr>
            <w:tcW w:w="0" w:type="auto"/>
            <w:shd w:val="clear" w:color="auto" w:fill="FFFFFF"/>
            <w:vAlign w:val="center"/>
          </w:tcPr>
          <w:p w14:paraId="7E9D17C3">
            <w:r>
              <w:rPr>
                <w:rFonts w:ascii="Arial" w:hAnsi="Arial" w:eastAsia="Arial" w:cs="Arial"/>
                <w:sz w:val="20"/>
              </w:rPr>
              <w:t>达标</w:t>
            </w:r>
          </w:p>
        </w:tc>
        <w:tc>
          <w:tcPr>
            <w:tcW w:w="0" w:type="auto"/>
            <w:shd w:val="clear" w:color="auto" w:fill="FFFFFF"/>
            <w:vAlign w:val="center"/>
          </w:tcPr>
          <w:p w14:paraId="1EA6F81E">
            <w:r>
              <w:rPr>
                <w:rFonts w:ascii="Arial" w:hAnsi="Arial" w:eastAsia="Arial" w:cs="Arial"/>
                <w:sz w:val="20"/>
              </w:rPr>
              <w:t>达标</w:t>
            </w:r>
          </w:p>
        </w:tc>
      </w:tr>
      <w:tr w14:paraId="6275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0" w:type="auto"/>
            <w:shd w:val="clear" w:color="auto" w:fill="FFFFFF"/>
            <w:vAlign w:val="center"/>
          </w:tcPr>
          <w:p w14:paraId="53237917">
            <w:r>
              <w:rPr>
                <w:rFonts w:ascii="Arial" w:hAnsi="Arial" w:eastAsia="Arial" w:cs="Arial"/>
                <w:sz w:val="20"/>
              </w:rPr>
              <w:t>大英名门</w:t>
            </w:r>
          </w:p>
        </w:tc>
        <w:tc>
          <w:tcPr>
            <w:tcW w:w="0" w:type="auto"/>
            <w:shd w:val="clear" w:color="auto" w:fill="FFFFFF"/>
            <w:vAlign w:val="center"/>
          </w:tcPr>
          <w:p w14:paraId="1D264667">
            <w:r>
              <w:rPr>
                <w:rFonts w:ascii="Arial" w:hAnsi="Arial" w:eastAsia="Arial" w:cs="Arial"/>
                <w:sz w:val="20"/>
              </w:rPr>
              <w:t>53</w:t>
            </w:r>
          </w:p>
        </w:tc>
        <w:tc>
          <w:tcPr>
            <w:tcW w:w="0" w:type="auto"/>
            <w:shd w:val="clear" w:color="auto" w:fill="FFFFFF"/>
            <w:vAlign w:val="center"/>
          </w:tcPr>
          <w:p w14:paraId="0B67CB7F">
            <w:r>
              <w:rPr>
                <w:rFonts w:ascii="Arial" w:hAnsi="Arial" w:eastAsia="Arial" w:cs="Arial"/>
                <w:sz w:val="20"/>
              </w:rPr>
              <w:t>43</w:t>
            </w:r>
          </w:p>
        </w:tc>
        <w:tc>
          <w:tcPr>
            <w:tcW w:w="0" w:type="auto"/>
            <w:shd w:val="clear" w:color="auto" w:fill="FFFFFF"/>
            <w:vAlign w:val="center"/>
          </w:tcPr>
          <w:p w14:paraId="56D4BB8E">
            <w:r>
              <w:rPr>
                <w:rFonts w:ascii="Arial" w:hAnsi="Arial" w:eastAsia="Arial" w:cs="Arial"/>
                <w:sz w:val="20"/>
              </w:rPr>
              <w:t>53</w:t>
            </w:r>
          </w:p>
        </w:tc>
        <w:tc>
          <w:tcPr>
            <w:tcW w:w="0" w:type="auto"/>
            <w:shd w:val="clear" w:color="auto" w:fill="FFFFFF"/>
            <w:vAlign w:val="center"/>
          </w:tcPr>
          <w:p w14:paraId="029CA4B0">
            <w:r>
              <w:rPr>
                <w:rFonts w:ascii="Arial" w:hAnsi="Arial" w:eastAsia="Arial" w:cs="Arial"/>
                <w:sz w:val="20"/>
              </w:rPr>
              <w:t>43</w:t>
            </w:r>
          </w:p>
        </w:tc>
        <w:tc>
          <w:tcPr>
            <w:tcW w:w="0" w:type="auto"/>
            <w:shd w:val="clear" w:color="auto" w:fill="FFFFFF"/>
            <w:vAlign w:val="center"/>
          </w:tcPr>
          <w:p w14:paraId="2D94615A">
            <w:r>
              <w:rPr>
                <w:rFonts w:ascii="Arial" w:hAnsi="Arial" w:eastAsia="Arial" w:cs="Arial"/>
                <w:sz w:val="20"/>
              </w:rPr>
              <w:t>60</w:t>
            </w:r>
          </w:p>
        </w:tc>
        <w:tc>
          <w:tcPr>
            <w:tcW w:w="0" w:type="auto"/>
            <w:shd w:val="clear" w:color="auto" w:fill="FFFFFF"/>
            <w:vAlign w:val="center"/>
          </w:tcPr>
          <w:p w14:paraId="514988A3">
            <w:r>
              <w:rPr>
                <w:rFonts w:ascii="Arial" w:hAnsi="Arial" w:eastAsia="Arial" w:cs="Arial"/>
                <w:sz w:val="20"/>
              </w:rPr>
              <w:t>50</w:t>
            </w:r>
          </w:p>
        </w:tc>
        <w:tc>
          <w:tcPr>
            <w:tcW w:w="0" w:type="auto"/>
            <w:shd w:val="clear" w:color="auto" w:fill="FFFFFF"/>
            <w:vAlign w:val="center"/>
          </w:tcPr>
          <w:p w14:paraId="366FB48D">
            <w:r>
              <w:rPr>
                <w:rFonts w:ascii="Arial" w:hAnsi="Arial" w:eastAsia="Arial" w:cs="Arial"/>
                <w:sz w:val="20"/>
              </w:rPr>
              <w:t>0</w:t>
            </w:r>
          </w:p>
        </w:tc>
        <w:tc>
          <w:tcPr>
            <w:tcW w:w="0" w:type="auto"/>
            <w:shd w:val="clear" w:color="auto" w:fill="FFFFFF"/>
            <w:vAlign w:val="center"/>
          </w:tcPr>
          <w:p w14:paraId="115552C6">
            <w:r>
              <w:rPr>
                <w:rFonts w:ascii="Arial" w:hAnsi="Arial" w:eastAsia="Arial" w:cs="Arial"/>
                <w:sz w:val="20"/>
              </w:rPr>
              <w:t>0</w:t>
            </w:r>
          </w:p>
        </w:tc>
        <w:tc>
          <w:tcPr>
            <w:tcW w:w="0" w:type="auto"/>
            <w:shd w:val="clear" w:color="auto" w:fill="FFFFFF"/>
            <w:vAlign w:val="center"/>
          </w:tcPr>
          <w:p w14:paraId="7B81E55A">
            <w:r>
              <w:rPr>
                <w:rFonts w:ascii="Arial" w:hAnsi="Arial" w:eastAsia="Arial" w:cs="Arial"/>
                <w:sz w:val="20"/>
              </w:rPr>
              <w:t>53.0</w:t>
            </w:r>
          </w:p>
        </w:tc>
        <w:tc>
          <w:tcPr>
            <w:tcW w:w="0" w:type="auto"/>
            <w:shd w:val="clear" w:color="auto" w:fill="FFFFFF"/>
            <w:vAlign w:val="center"/>
          </w:tcPr>
          <w:p w14:paraId="67EAEC26">
            <w:r>
              <w:rPr>
                <w:rFonts w:ascii="Arial" w:hAnsi="Arial" w:eastAsia="Arial" w:cs="Arial"/>
                <w:sz w:val="20"/>
              </w:rPr>
              <w:t>43.0</w:t>
            </w:r>
          </w:p>
        </w:tc>
        <w:tc>
          <w:tcPr>
            <w:tcW w:w="0" w:type="auto"/>
            <w:shd w:val="clear" w:color="auto" w:fill="FFFFFF"/>
            <w:vAlign w:val="center"/>
          </w:tcPr>
          <w:p w14:paraId="11215389">
            <w:r>
              <w:rPr>
                <w:rFonts w:ascii="Arial" w:hAnsi="Arial" w:eastAsia="Arial" w:cs="Arial"/>
                <w:sz w:val="20"/>
              </w:rPr>
              <w:t>0.0</w:t>
            </w:r>
          </w:p>
        </w:tc>
        <w:tc>
          <w:tcPr>
            <w:tcW w:w="0" w:type="auto"/>
            <w:shd w:val="clear" w:color="auto" w:fill="FFFFFF"/>
            <w:vAlign w:val="center"/>
          </w:tcPr>
          <w:p w14:paraId="066E2930">
            <w:r>
              <w:rPr>
                <w:rFonts w:ascii="Arial" w:hAnsi="Arial" w:eastAsia="Arial" w:cs="Arial"/>
                <w:sz w:val="20"/>
              </w:rPr>
              <w:t>0.0</w:t>
            </w:r>
          </w:p>
        </w:tc>
        <w:tc>
          <w:tcPr>
            <w:tcW w:w="0" w:type="auto"/>
            <w:shd w:val="clear" w:color="auto" w:fill="FFFFFF"/>
            <w:vAlign w:val="center"/>
          </w:tcPr>
          <w:p w14:paraId="2A0CE988">
            <w:r>
              <w:rPr>
                <w:rFonts w:ascii="Arial" w:hAnsi="Arial" w:eastAsia="Arial" w:cs="Arial"/>
                <w:sz w:val="20"/>
              </w:rPr>
              <w:t>达标</w:t>
            </w:r>
          </w:p>
        </w:tc>
        <w:tc>
          <w:tcPr>
            <w:tcW w:w="0" w:type="auto"/>
            <w:shd w:val="clear" w:color="auto" w:fill="FFFFFF"/>
            <w:vAlign w:val="center"/>
          </w:tcPr>
          <w:p w14:paraId="088573FE">
            <w:r>
              <w:rPr>
                <w:rFonts w:ascii="Arial" w:hAnsi="Arial" w:eastAsia="Arial" w:cs="Arial"/>
                <w:sz w:val="20"/>
              </w:rPr>
              <w:t>达标</w:t>
            </w:r>
          </w:p>
        </w:tc>
      </w:tr>
      <w:tr w14:paraId="13F5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0" w:type="auto"/>
            <w:shd w:val="clear" w:color="auto" w:fill="FFFFFF"/>
            <w:vAlign w:val="center"/>
          </w:tcPr>
          <w:p w14:paraId="130D95FF">
            <w:r>
              <w:rPr>
                <w:rFonts w:ascii="Arial" w:hAnsi="Arial" w:eastAsia="Arial" w:cs="Arial"/>
                <w:sz w:val="20"/>
              </w:rPr>
              <w:t>和喜·公园里</w:t>
            </w:r>
          </w:p>
        </w:tc>
        <w:tc>
          <w:tcPr>
            <w:tcW w:w="0" w:type="auto"/>
            <w:shd w:val="clear" w:color="auto" w:fill="FFFFFF"/>
            <w:vAlign w:val="center"/>
          </w:tcPr>
          <w:p w14:paraId="3EF0E201">
            <w:r>
              <w:rPr>
                <w:rFonts w:ascii="Arial" w:hAnsi="Arial" w:eastAsia="Arial" w:cs="Arial"/>
                <w:sz w:val="20"/>
              </w:rPr>
              <w:t>53</w:t>
            </w:r>
          </w:p>
        </w:tc>
        <w:tc>
          <w:tcPr>
            <w:tcW w:w="0" w:type="auto"/>
            <w:shd w:val="clear" w:color="auto" w:fill="FFFFFF"/>
            <w:vAlign w:val="center"/>
          </w:tcPr>
          <w:p w14:paraId="07891A1A">
            <w:r>
              <w:rPr>
                <w:rFonts w:ascii="Arial" w:hAnsi="Arial" w:eastAsia="Arial" w:cs="Arial"/>
                <w:sz w:val="20"/>
              </w:rPr>
              <w:t>48</w:t>
            </w:r>
          </w:p>
        </w:tc>
        <w:tc>
          <w:tcPr>
            <w:tcW w:w="0" w:type="auto"/>
            <w:shd w:val="clear" w:color="auto" w:fill="FFFFFF"/>
            <w:vAlign w:val="center"/>
          </w:tcPr>
          <w:p w14:paraId="309F9C1A">
            <w:r>
              <w:rPr>
                <w:rFonts w:ascii="Arial" w:hAnsi="Arial" w:eastAsia="Arial" w:cs="Arial"/>
                <w:sz w:val="20"/>
              </w:rPr>
              <w:t>53</w:t>
            </w:r>
          </w:p>
        </w:tc>
        <w:tc>
          <w:tcPr>
            <w:tcW w:w="0" w:type="auto"/>
            <w:shd w:val="clear" w:color="auto" w:fill="FFFFFF"/>
            <w:vAlign w:val="center"/>
          </w:tcPr>
          <w:p w14:paraId="6D091CB3">
            <w:r>
              <w:rPr>
                <w:rFonts w:ascii="Arial" w:hAnsi="Arial" w:eastAsia="Arial" w:cs="Arial"/>
                <w:sz w:val="20"/>
              </w:rPr>
              <w:t>48</w:t>
            </w:r>
          </w:p>
        </w:tc>
        <w:tc>
          <w:tcPr>
            <w:tcW w:w="0" w:type="auto"/>
            <w:shd w:val="clear" w:color="auto" w:fill="FFFFFF"/>
            <w:vAlign w:val="center"/>
          </w:tcPr>
          <w:p w14:paraId="248B596D">
            <w:r>
              <w:rPr>
                <w:rFonts w:ascii="Arial" w:hAnsi="Arial" w:eastAsia="Arial" w:cs="Arial"/>
                <w:sz w:val="20"/>
              </w:rPr>
              <w:t>60</w:t>
            </w:r>
          </w:p>
        </w:tc>
        <w:tc>
          <w:tcPr>
            <w:tcW w:w="0" w:type="auto"/>
            <w:shd w:val="clear" w:color="auto" w:fill="FFFFFF"/>
            <w:vAlign w:val="center"/>
          </w:tcPr>
          <w:p w14:paraId="6D7ED877">
            <w:r>
              <w:rPr>
                <w:rFonts w:ascii="Arial" w:hAnsi="Arial" w:eastAsia="Arial" w:cs="Arial"/>
                <w:sz w:val="20"/>
              </w:rPr>
              <w:t>50</w:t>
            </w:r>
          </w:p>
        </w:tc>
        <w:tc>
          <w:tcPr>
            <w:tcW w:w="0" w:type="auto"/>
            <w:shd w:val="clear" w:color="auto" w:fill="FFFFFF"/>
            <w:vAlign w:val="center"/>
          </w:tcPr>
          <w:p w14:paraId="7199B174">
            <w:r>
              <w:rPr>
                <w:rFonts w:ascii="Arial" w:hAnsi="Arial" w:eastAsia="Arial" w:cs="Arial"/>
                <w:sz w:val="20"/>
              </w:rPr>
              <w:t>14.6</w:t>
            </w:r>
          </w:p>
        </w:tc>
        <w:tc>
          <w:tcPr>
            <w:tcW w:w="0" w:type="auto"/>
            <w:shd w:val="clear" w:color="auto" w:fill="FFFFFF"/>
            <w:vAlign w:val="center"/>
          </w:tcPr>
          <w:p w14:paraId="5E226EFD">
            <w:r>
              <w:rPr>
                <w:rFonts w:ascii="Arial" w:hAnsi="Arial" w:eastAsia="Arial" w:cs="Arial"/>
                <w:sz w:val="20"/>
              </w:rPr>
              <w:t>14.6</w:t>
            </w:r>
          </w:p>
        </w:tc>
        <w:tc>
          <w:tcPr>
            <w:tcW w:w="0" w:type="auto"/>
            <w:shd w:val="clear" w:color="auto" w:fill="FFFFFF"/>
            <w:vAlign w:val="center"/>
          </w:tcPr>
          <w:p w14:paraId="7285D618">
            <w:r>
              <w:rPr>
                <w:rFonts w:ascii="Arial" w:hAnsi="Arial" w:eastAsia="Arial" w:cs="Arial"/>
                <w:sz w:val="20"/>
              </w:rPr>
              <w:t>53.0</w:t>
            </w:r>
          </w:p>
        </w:tc>
        <w:tc>
          <w:tcPr>
            <w:tcW w:w="0" w:type="auto"/>
            <w:shd w:val="clear" w:color="auto" w:fill="FFFFFF"/>
            <w:vAlign w:val="center"/>
          </w:tcPr>
          <w:p w14:paraId="24231605">
            <w:r>
              <w:rPr>
                <w:rFonts w:ascii="Arial" w:hAnsi="Arial" w:eastAsia="Arial" w:cs="Arial"/>
                <w:sz w:val="20"/>
              </w:rPr>
              <w:t>48.0</w:t>
            </w:r>
          </w:p>
        </w:tc>
        <w:tc>
          <w:tcPr>
            <w:tcW w:w="0" w:type="auto"/>
            <w:shd w:val="clear" w:color="auto" w:fill="FFFFFF"/>
            <w:vAlign w:val="center"/>
          </w:tcPr>
          <w:p w14:paraId="1D3B4AAD">
            <w:r>
              <w:rPr>
                <w:rFonts w:ascii="Arial" w:hAnsi="Arial" w:eastAsia="Arial" w:cs="Arial"/>
                <w:sz w:val="20"/>
              </w:rPr>
              <w:t>0.0</w:t>
            </w:r>
          </w:p>
        </w:tc>
        <w:tc>
          <w:tcPr>
            <w:tcW w:w="0" w:type="auto"/>
            <w:shd w:val="clear" w:color="auto" w:fill="FFFFFF"/>
            <w:vAlign w:val="center"/>
          </w:tcPr>
          <w:p w14:paraId="65EE23A6">
            <w:r>
              <w:rPr>
                <w:rFonts w:ascii="Arial" w:hAnsi="Arial" w:eastAsia="Arial" w:cs="Arial"/>
                <w:sz w:val="20"/>
              </w:rPr>
              <w:t>0.0</w:t>
            </w:r>
          </w:p>
        </w:tc>
        <w:tc>
          <w:tcPr>
            <w:tcW w:w="0" w:type="auto"/>
            <w:shd w:val="clear" w:color="auto" w:fill="FFFFFF"/>
            <w:vAlign w:val="center"/>
          </w:tcPr>
          <w:p w14:paraId="5EFC075F">
            <w:r>
              <w:rPr>
                <w:rFonts w:ascii="Arial" w:hAnsi="Arial" w:eastAsia="Arial" w:cs="Arial"/>
                <w:sz w:val="20"/>
              </w:rPr>
              <w:t>达标</w:t>
            </w:r>
          </w:p>
        </w:tc>
        <w:tc>
          <w:tcPr>
            <w:tcW w:w="0" w:type="auto"/>
            <w:shd w:val="clear" w:color="auto" w:fill="FFFFFF"/>
            <w:vAlign w:val="center"/>
          </w:tcPr>
          <w:p w14:paraId="5EF57FC8">
            <w:r>
              <w:rPr>
                <w:rFonts w:ascii="Arial" w:hAnsi="Arial" w:eastAsia="Arial" w:cs="Arial"/>
                <w:sz w:val="20"/>
              </w:rPr>
              <w:t>达标</w:t>
            </w:r>
          </w:p>
        </w:tc>
      </w:tr>
    </w:tbl>
    <w:p w14:paraId="5373E7E7">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sz w:val="22"/>
          <w:szCs w:val="21"/>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为新建项目，</w:t>
      </w:r>
      <w:r>
        <w:rPr>
          <w:rFonts w:hint="default" w:ascii="Times New Roman" w:hAnsi="Times New Roman" w:eastAsia="宋体" w:cs="Times New Roman"/>
          <w:color w:val="auto"/>
          <w:sz w:val="24"/>
          <w:szCs w:val="24"/>
          <w:highlight w:val="none"/>
        </w:rPr>
        <w:t>预测结果表明，通过合理布局噪声源，并设置噪声治理措施，厂界</w:t>
      </w:r>
      <w:r>
        <w:rPr>
          <w:rFonts w:hint="default" w:ascii="Times New Roman" w:hAnsi="Times New Roman" w:eastAsia="宋体"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lang w:val="en-US" w:eastAsia="zh-CN"/>
        </w:rPr>
        <w:t>声环境保护目标处</w:t>
      </w:r>
      <w:r>
        <w:rPr>
          <w:rFonts w:hint="default" w:ascii="Times New Roman" w:hAnsi="Times New Roman" w:eastAsia="宋体" w:cs="Times New Roman"/>
          <w:color w:val="auto"/>
          <w:sz w:val="24"/>
          <w:szCs w:val="24"/>
          <w:highlight w:val="none"/>
        </w:rPr>
        <w:t>的噪声值</w:t>
      </w:r>
      <w:r>
        <w:rPr>
          <w:rFonts w:hint="default" w:ascii="Times New Roman" w:hAnsi="Times New Roman" w:eastAsia="宋体" w:cs="Times New Roman"/>
          <w:color w:val="auto"/>
          <w:sz w:val="24"/>
          <w:szCs w:val="24"/>
          <w:highlight w:val="none"/>
          <w:lang w:eastAsia="zh-CN"/>
        </w:rPr>
        <w:t>均</w:t>
      </w:r>
      <w:r>
        <w:rPr>
          <w:rFonts w:hint="default" w:ascii="Times New Roman" w:hAnsi="Times New Roman" w:eastAsia="宋体" w:cs="Times New Roman"/>
          <w:color w:val="auto"/>
          <w:sz w:val="24"/>
          <w:szCs w:val="24"/>
          <w:highlight w:val="none"/>
        </w:rPr>
        <w:t>能满足《工业企业厂界环境噪声排放标准》（GB12348-2008）中</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类标准值</w:t>
      </w:r>
      <w:r>
        <w:rPr>
          <w:rFonts w:hint="default" w:ascii="Times New Roman" w:hAnsi="Times New Roman" w:eastAsia="宋体" w:cs="Times New Roman"/>
          <w:color w:val="auto"/>
          <w:sz w:val="22"/>
          <w:szCs w:val="21"/>
          <w:highlight w:val="none"/>
          <w:lang w:eastAsia="zh-CN"/>
        </w:rPr>
        <w:t>。</w:t>
      </w:r>
      <w:r>
        <w:rPr>
          <w:rFonts w:hint="eastAsia" w:eastAsia="宋体" w:cs="Times New Roman"/>
          <w:color w:val="auto"/>
          <w:sz w:val="22"/>
          <w:szCs w:val="21"/>
          <w:highlight w:val="none"/>
          <w:lang w:val="en-US" w:eastAsia="zh-CN"/>
        </w:rPr>
        <w:t>通过预测结果可知，项目运营期噪声对周边声环境保护目标影响较小。</w:t>
      </w:r>
    </w:p>
    <w:p w14:paraId="625582FB">
      <w:pPr>
        <w:pStyle w:val="6"/>
        <w:bidi w:val="0"/>
        <w:rPr>
          <w:rFonts w:hint="default" w:ascii="Times New Roman" w:hAnsi="Times New Roman" w:eastAsia="宋体" w:cs="Times New Roman"/>
          <w:color w:val="auto"/>
        </w:rPr>
      </w:pPr>
      <w:bookmarkStart w:id="2471" w:name="_Toc717"/>
      <w:r>
        <w:rPr>
          <w:rFonts w:hint="default" w:ascii="Times New Roman" w:hAnsi="Times New Roman" w:eastAsia="宋体" w:cs="Times New Roman"/>
          <w:color w:val="auto"/>
          <w:lang w:val="en-US" w:eastAsia="zh-CN"/>
        </w:rPr>
        <w:t>6.6 固体废物环境影响分析</w:t>
      </w:r>
      <w:bookmarkEnd w:id="2471"/>
    </w:p>
    <w:p w14:paraId="1D0136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本项目一般固废包括医院职工办公生活垃圾、餐厨垃圾、</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废离子交换树脂</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等；危险废物包括医疗废物、污水站污泥、废活性炭及废弃紫外线灯管等。</w:t>
      </w:r>
    </w:p>
    <w:p w14:paraId="10F77502">
      <w:pPr>
        <w:pStyle w:val="7"/>
        <w:bidi w:val="0"/>
        <w:rPr>
          <w:rFonts w:hint="default" w:ascii="Times New Roman" w:hAnsi="Times New Roman" w:eastAsia="宋体" w:cs="Times New Roman"/>
          <w:color w:val="auto"/>
          <w:lang w:val="en-US" w:eastAsia="zh-CN"/>
        </w:rPr>
      </w:pPr>
      <w:bookmarkStart w:id="2472" w:name="_Toc30403"/>
      <w:r>
        <w:rPr>
          <w:rFonts w:hint="default" w:ascii="Times New Roman" w:hAnsi="Times New Roman" w:eastAsia="宋体" w:cs="Times New Roman"/>
          <w:color w:val="auto"/>
          <w:lang w:val="en-US" w:eastAsia="zh-CN"/>
        </w:rPr>
        <w:t>6.6.1一般固废</w:t>
      </w:r>
      <w:bookmarkEnd w:id="2472"/>
    </w:p>
    <w:p w14:paraId="47D16A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（1）生活垃圾</w:t>
      </w:r>
    </w:p>
    <w:p w14:paraId="5F45F5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生活垃圾主要由住院病人及陪护人员、门诊病人、医院职工产生。</w:t>
      </w:r>
    </w:p>
    <w:p w14:paraId="135607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①住院病人及陪护人员生活垃圾</w:t>
      </w:r>
    </w:p>
    <w:p w14:paraId="04880D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项目床位数为1100床，按负荷量为100%计，陪护人员按每床1人计，根据《城镇生活源产排污系数手册》，住院病人按每病床每日生活垃圾按0.5kg 计，陪护人员每日生活垃圾按0.2kg计算，则住院病人生活垃圾产生量为550kg/d，陪护人员生活垃圾产生量为220kg/d，即住院部门生活垃圾产生量为770kg/d。</w:t>
      </w:r>
    </w:p>
    <w:p w14:paraId="27423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②门诊病人生活垃圾</w:t>
      </w:r>
    </w:p>
    <w:p w14:paraId="3DCEB2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门诊垃圾按每人次产生0.2kg计，门诊人数为2830人·次/d，则门诊生活垃圾产生量为566kg/d。</w:t>
      </w:r>
    </w:p>
    <w:p w14:paraId="50C3F4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③医院职工生活垃圾</w:t>
      </w:r>
    </w:p>
    <w:p w14:paraId="3F6004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医护人员每人每日产生生活垃圾按0.5kg计，医院有1760名职员，则医院职工生活垃圾量为880kg/d。</w:t>
      </w:r>
    </w:p>
    <w:p w14:paraId="01598D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根据生活垃圾产生情况计算，项目总的生活垃圾产生量2216kg/d，808.84t/a。生活垃圾统一经垃圾桶收集后，委托当地环卫部门清运处置。</w:t>
      </w:r>
    </w:p>
    <w:p w14:paraId="3EE55B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（2）餐厨垃圾</w:t>
      </w:r>
    </w:p>
    <w:p w14:paraId="3D189B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项目设置食堂每天为部分医护人员及患者提供三餐，就餐人数约4000人，</w:t>
      </w:r>
      <w:r>
        <w:rPr>
          <w:rFonts w:hint="default" w:ascii="Times New Roman" w:hAnsi="Times New Roman" w:eastAsia="宋体" w:cs="Times New Roman"/>
          <w:color w:val="auto"/>
          <w:kern w:val="0"/>
          <w:sz w:val="24"/>
          <w:szCs w:val="24"/>
          <w:lang w:val="en-US" w:eastAsia="zh-CN" w:bidi="ar"/>
        </w:rPr>
        <w:t>泔水产生量为0.2kg/人•天，则食堂泔水产生量为</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800kg/d（292t/a）。食堂泔水经泔水收集桶收集后委托有资质单位清运处置。</w:t>
      </w:r>
    </w:p>
    <w:p w14:paraId="38B0DD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环评要求：餐厨垃圾须用塑料桶单独收集，交由有资质单位进行收运、处置，做到日产日清。</w:t>
      </w:r>
    </w:p>
    <w:p w14:paraId="2DF7E1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（3）废弃离子交换树脂</w:t>
      </w:r>
    </w:p>
    <w:p w14:paraId="08FFC961">
      <w:pPr>
        <w:spacing w:line="360" w:lineRule="auto"/>
        <w:ind w:firstLine="480" w:firstLineChars="20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bCs/>
          <w:color w:val="auto"/>
          <w:sz w:val="24"/>
          <w:szCs w:val="24"/>
          <w:highlight w:val="none"/>
          <w:lang w:val="en-US" w:eastAsia="zh-CN"/>
        </w:rPr>
        <w:t>锅炉软水采用离子交换树脂制取</w:t>
      </w:r>
      <w:r>
        <w:rPr>
          <w:rFonts w:hint="default" w:ascii="Times New Roman" w:hAnsi="Times New Roman" w:eastAsia="宋体" w:cs="Times New Roman"/>
          <w:bCs/>
          <w:color w:val="auto"/>
          <w:sz w:val="24"/>
          <w:szCs w:val="24"/>
          <w:highlight w:val="none"/>
          <w:lang w:eastAsia="zh-CN"/>
        </w:rPr>
        <w:t>，产生量约为</w:t>
      </w:r>
      <w:r>
        <w:rPr>
          <w:rFonts w:hint="default" w:ascii="Times New Roman" w:hAnsi="Times New Roman" w:eastAsia="宋体" w:cs="Times New Roman"/>
          <w:bCs/>
          <w:color w:val="auto"/>
          <w:sz w:val="24"/>
          <w:szCs w:val="24"/>
          <w:highlight w:val="none"/>
          <w:lang w:val="en-US" w:eastAsia="zh-CN"/>
        </w:rPr>
        <w:t>0.5t/a，</w:t>
      </w:r>
      <w:r>
        <w:rPr>
          <w:rFonts w:hint="default" w:ascii="Times New Roman" w:hAnsi="Times New Roman" w:eastAsia="宋体" w:cs="Times New Roman"/>
          <w:bCs/>
          <w:color w:val="auto"/>
          <w:sz w:val="24"/>
          <w:szCs w:val="24"/>
          <w:highlight w:val="none"/>
          <w:lang w:eastAsia="zh-CN"/>
        </w:rPr>
        <w:t>产生的废弃离子交换树脂属于一般固体废物，交由厂家进行回收</w:t>
      </w:r>
      <w:r>
        <w:rPr>
          <w:rFonts w:hint="default" w:ascii="Times New Roman" w:hAnsi="Times New Roman" w:eastAsia="宋体" w:cs="Times New Roman"/>
          <w:bCs/>
          <w:color w:val="auto"/>
          <w:sz w:val="24"/>
          <w:szCs w:val="24"/>
          <w:highlight w:val="none"/>
          <w:lang w:val="en-US" w:eastAsia="zh-CN"/>
        </w:rPr>
        <w:t>或环卫部门处理</w:t>
      </w:r>
      <w:r>
        <w:rPr>
          <w:rFonts w:hint="default" w:ascii="Times New Roman" w:hAnsi="Times New Roman" w:eastAsia="宋体" w:cs="Times New Roman"/>
          <w:bCs/>
          <w:color w:val="auto"/>
          <w:sz w:val="24"/>
          <w:szCs w:val="24"/>
          <w:highlight w:val="none"/>
          <w:lang w:eastAsia="zh-CN"/>
        </w:rPr>
        <w:t>。</w:t>
      </w:r>
    </w:p>
    <w:p w14:paraId="0566AA7C">
      <w:pPr>
        <w:pStyle w:val="7"/>
        <w:bidi w:val="0"/>
        <w:rPr>
          <w:rFonts w:hint="default" w:ascii="Times New Roman" w:hAnsi="Times New Roman" w:eastAsia="宋体" w:cs="Times New Roman"/>
          <w:color w:val="auto"/>
          <w:lang w:val="en-US" w:eastAsia="zh-CN"/>
        </w:rPr>
      </w:pPr>
      <w:bookmarkStart w:id="2473" w:name="_Toc23137"/>
      <w:r>
        <w:rPr>
          <w:rFonts w:hint="default" w:ascii="Times New Roman" w:hAnsi="Times New Roman" w:eastAsia="宋体" w:cs="Times New Roman"/>
          <w:color w:val="auto"/>
          <w:lang w:val="en-US" w:eastAsia="zh-CN"/>
        </w:rPr>
        <w:t>6.6.2危险废物</w:t>
      </w:r>
      <w:bookmarkEnd w:id="2473"/>
    </w:p>
    <w:p w14:paraId="4FE0D6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（1）医疗废物</w:t>
      </w:r>
    </w:p>
    <w:p w14:paraId="30D68A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按照《国家危险废物名录》，本项目主要产生“名录”所列的HW01类医疗危险废物，所有带菌医疗废物均列入危险废物进行管理及处置。根据工程分析，本项目运营期住院病房、门诊等产生的医疗废物均属于危险废物，总产生量为200.75t/a。门诊和住院病房医疗废物均由各科室专用医疗废物收集箱收集后，密封暂存于医疗废物暂存间，最终交由有资质单位进行处置；纱布、针管等医疗废物经科室收集后密封暂存于医废暂存间，最终交由有资质单位处理；项目污泥全部集中收集至污泥消毒池，消毒、脱水处理后委托有资质单位清运处置。</w:t>
      </w:r>
    </w:p>
    <w:p w14:paraId="0CC76A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各科室专用医疗废物收集箱必须符合国家相关质量标准和要求，包括包装袋、利器盒、周转箱，全部为黄色，并标有醒目的“医疗废物”标志。医院要制定相应的管理办法，要求相关科室及时将产生的医疗废物严格分类装入专用塑料袋或利器盒中，妥善密封处理（如用袋口的捆扎后再用胶条粘封）并放入专用周转箱中。在医疗废物收集、密封和移动过程中，一定小心操作，避免包装物损坏或割伤身体。</w:t>
      </w:r>
    </w:p>
    <w:p w14:paraId="2C1974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院应规范设置“医疗废物暂存间”，按照《医疗卫生机构医疗废物管理办法（试行）》规定，当气温低于20摄氏度时，医疗废物暂存间时间不能超过48h。医疗废物暂存间必须有可靠的防雨、防蛀咬、通风及消毒等手段，必须有醒目的医疗废物警告标志，要有专人管理，避免无关人员误入，要便于周转箱的回取和运输车辆的交通。本项目医疗废物暂存间按照《医疗卫生机构医疗废物管理办法》物暂存间应采取三防措施，墙面贴瓷砖等。符合《医疗卫生机构医疗废物管理办法（试行）》相关规定。运输交由有资质单位负责运输，在运输和清运过程中应做好转移联单和医疗废物管理台账等工作。</w:t>
      </w:r>
    </w:p>
    <w:p w14:paraId="41D538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综上，本项目医疗废物的处置、管理、分类收集、运送与暂时储存、人员培训和职业安全防护符合《医疗废物管理条例》、《医疗卫生机构医疗废物管理办法》相关规定。</w:t>
      </w:r>
    </w:p>
    <w:p w14:paraId="1DAD06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项目产生的废弃组织器官经收集后暂存于医院内设置的专用冰柜中，待收集一段时间后交由当地殡仪馆焚烧处置。</w:t>
      </w:r>
    </w:p>
    <w:p w14:paraId="1584A0F9">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200" w:right="0" w:rightChars="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74" w:name="_Toc25475"/>
      <w:bookmarkStart w:id="2475" w:name="_Toc7578"/>
      <w:bookmarkStart w:id="2476" w:name="_Toc17318"/>
      <w:bookmarkStart w:id="2477" w:name="_Toc2629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（2）污水站污泥</w:t>
      </w:r>
      <w:bookmarkEnd w:id="2474"/>
      <w:bookmarkEnd w:id="2475"/>
      <w:bookmarkEnd w:id="2476"/>
      <w:bookmarkEnd w:id="2477"/>
    </w:p>
    <w:p w14:paraId="1606864D">
      <w:pPr>
        <w:spacing w:line="360" w:lineRule="auto"/>
        <w:ind w:firstLine="480" w:firstLineChars="200"/>
        <w:rPr>
          <w:rFonts w:hint="default" w:ascii="Times New Roman" w:hAnsi="Times New Roman" w:eastAsia="宋体" w:cs="Times New Roman"/>
          <w:bCs/>
          <w:color w:val="auto"/>
          <w:sz w:val="24"/>
          <w:szCs w:val="24"/>
          <w:highlight w:val="yellow"/>
          <w:lang w:val="en-US" w:eastAsia="zh-CN"/>
        </w:rPr>
      </w:pPr>
      <w:r>
        <w:rPr>
          <w:rFonts w:hint="default" w:ascii="Times New Roman" w:hAnsi="Times New Roman" w:eastAsia="宋体" w:cs="Times New Roman"/>
          <w:color w:val="auto"/>
          <w:sz w:val="24"/>
          <w:szCs w:val="24"/>
          <w:highlight w:val="none"/>
        </w:rPr>
        <w:t>根据《医疗机构水污染物排放标准》（GB18466-2005）中表4医疗机构污泥控制标准的要求处置，其属于《国家危险废物名录》（2021版）废物类别为：HW01 医疗废物，感染性废物代号为：831-001-01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暂存于医废暂存间，定期交由中节能（攀枝花）清洁技术发展有限公司处</w:t>
      </w:r>
      <w:r>
        <w:rPr>
          <w:rFonts w:hint="default" w:ascii="Times New Roman" w:hAnsi="Times New Roman" w:eastAsia="宋体" w:cs="Times New Roman"/>
          <w:color w:val="auto"/>
          <w:sz w:val="24"/>
          <w:szCs w:val="24"/>
          <w:lang w:val="en-US" w:eastAsia="zh-CN"/>
        </w:rPr>
        <w:t>置。</w:t>
      </w:r>
    </w:p>
    <w:p w14:paraId="39667BCA">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（3）活性炭</w:t>
      </w:r>
    </w:p>
    <w:p w14:paraId="6D913CAF">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废活性炭主要来源于废水站和吸引设备对废气吸附处理过程。项目废水站密闭设置，臭气抽吸后经紫外线消毒系统+活性炭吸附系统处理后有组织排放。废水处理系统废气处理设施中活性炭半年更换一次；医疗废气处理系统中活性炭半年更换一次；项目废活性炭产生量约为4t/a，废活性炭作为危废集中收集后交有资质单位处置。</w:t>
      </w:r>
    </w:p>
    <w:p w14:paraId="2E521536">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（4）废弃紫外线灯管 </w:t>
      </w:r>
    </w:p>
    <w:p w14:paraId="71F9F7C9">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本项目废气治理过程采用的紫外消毒设备灯管定期更换所产生的废UV灯管，产生量约为0.</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t/a。</w:t>
      </w:r>
      <w:r>
        <w:rPr>
          <w:rFonts w:hint="default" w:ascii="Times New Roman" w:hAnsi="Times New Roman" w:eastAsia="宋体" w:cs="Times New Roman"/>
          <w:bCs/>
          <w:color w:val="auto"/>
          <w:sz w:val="24"/>
          <w:szCs w:val="24"/>
          <w:highlight w:val="none"/>
          <w:lang w:val="en-US" w:eastAsia="zh-CN"/>
        </w:rPr>
        <w:t>属于</w:t>
      </w:r>
      <w:r>
        <w:rPr>
          <w:rFonts w:hint="default" w:ascii="Times New Roman" w:hAnsi="Times New Roman" w:eastAsia="宋体" w:cs="Times New Roman"/>
          <w:bCs/>
          <w:color w:val="auto"/>
          <w:sz w:val="24"/>
          <w:szCs w:val="24"/>
          <w:highlight w:val="none"/>
          <w:lang w:eastAsia="zh-CN"/>
        </w:rPr>
        <w:t>《国家危险废物名录》（2021年）</w:t>
      </w:r>
      <w:r>
        <w:rPr>
          <w:rFonts w:hint="default" w:ascii="Times New Roman" w:hAnsi="Times New Roman" w:eastAsia="宋体" w:cs="Times New Roman"/>
          <w:bCs/>
          <w:color w:val="auto"/>
          <w:sz w:val="24"/>
          <w:szCs w:val="24"/>
          <w:highlight w:val="none"/>
          <w:lang w:val="en-US" w:eastAsia="zh-CN"/>
        </w:rPr>
        <w:t>中</w:t>
      </w:r>
      <w:r>
        <w:rPr>
          <w:rFonts w:hint="default" w:ascii="Times New Roman" w:hAnsi="Times New Roman" w:eastAsia="宋体" w:cs="Times New Roman"/>
          <w:bCs/>
          <w:color w:val="auto"/>
          <w:sz w:val="24"/>
          <w:szCs w:val="24"/>
          <w:highlight w:val="none"/>
          <w:lang w:eastAsia="zh-CN"/>
        </w:rPr>
        <w:t>“HW29含汞废物900-023-29生产、销售及使用过程中产生的废含汞荧光灯管及其他废含汞电光源，及废弃含汞电光源处理处置过程中产生的废荧光粉、废活性炭和废水处理污泥”，产生的废UV灯管</w:t>
      </w:r>
      <w:r>
        <w:rPr>
          <w:rFonts w:hint="default" w:ascii="Times New Roman" w:hAnsi="Times New Roman" w:eastAsia="宋体" w:cs="Times New Roman"/>
          <w:bCs/>
          <w:color w:val="auto"/>
          <w:sz w:val="24"/>
          <w:szCs w:val="24"/>
          <w:highlight w:val="none"/>
          <w:lang w:val="en-US" w:eastAsia="zh-CN"/>
        </w:rPr>
        <w:t>暂存于危废暂存间，</w:t>
      </w:r>
      <w:r>
        <w:rPr>
          <w:rFonts w:hint="default" w:ascii="Times New Roman" w:hAnsi="Times New Roman" w:eastAsia="宋体" w:cs="Times New Roman"/>
          <w:bCs/>
          <w:color w:val="auto"/>
          <w:sz w:val="24"/>
          <w:szCs w:val="24"/>
          <w:highlight w:val="none"/>
          <w:lang w:eastAsia="zh-CN"/>
        </w:rPr>
        <w:t>定期交由有资质单位处置。</w:t>
      </w:r>
    </w:p>
    <w:p w14:paraId="5F5EBFCE">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0"/>
          <w:sz w:val="24"/>
          <w:szCs w:val="24"/>
          <w:lang w:val="en-US" w:eastAsia="zh-CN" w:bidi="ar"/>
        </w:rPr>
        <w:t>（5）</w:t>
      </w:r>
      <w:r>
        <w:rPr>
          <w:rFonts w:hint="default" w:ascii="Times New Roman" w:hAnsi="Times New Roman" w:eastAsia="宋体" w:cs="Times New Roman"/>
          <w:b w:val="0"/>
          <w:bCs w:val="0"/>
          <w:color w:val="auto"/>
          <w:sz w:val="24"/>
          <w:szCs w:val="24"/>
          <w:highlight w:val="none"/>
          <w:lang w:val="en-US" w:eastAsia="zh-CN"/>
        </w:rPr>
        <w:t>排风系</w:t>
      </w:r>
      <w:r>
        <w:rPr>
          <w:rFonts w:hint="default" w:ascii="Times New Roman" w:hAnsi="Times New Roman" w:eastAsia="宋体" w:cs="Times New Roman"/>
          <w:color w:val="auto"/>
          <w:sz w:val="24"/>
          <w:szCs w:val="24"/>
          <w:highlight w:val="none"/>
          <w:lang w:val="en-US" w:eastAsia="zh-CN"/>
        </w:rPr>
        <w:t>统更换的滤芯</w:t>
      </w:r>
    </w:p>
    <w:p w14:paraId="38D21F4A">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sz w:val="24"/>
          <w:szCs w:val="24"/>
          <w:highlight w:val="none"/>
          <w:lang w:val="en-US" w:eastAsia="zh-CN"/>
        </w:rPr>
        <w:t>排风系统的滤芯主要功能为过滤器滤芯属于“HW49其他废物中的900-041-49含有或沾染毒性、感染性危险废物的废弃包装物、容器、过滤吸附介质”。滤芯全年更换量约为0.1t/a，产生的排风系统更换的滤芯</w:t>
      </w:r>
      <w:r>
        <w:rPr>
          <w:rFonts w:hint="default" w:ascii="Times New Roman" w:hAnsi="Times New Roman" w:eastAsia="宋体" w:cs="Times New Roman"/>
          <w:bCs/>
          <w:color w:val="auto"/>
          <w:sz w:val="24"/>
          <w:szCs w:val="24"/>
          <w:highlight w:val="none"/>
          <w:lang w:val="en-US" w:eastAsia="zh-CN"/>
        </w:rPr>
        <w:t>暂存于危废暂存间，</w:t>
      </w:r>
      <w:r>
        <w:rPr>
          <w:rFonts w:hint="default" w:ascii="Times New Roman" w:hAnsi="Times New Roman" w:eastAsia="宋体" w:cs="Times New Roman"/>
          <w:color w:val="auto"/>
          <w:sz w:val="24"/>
          <w:szCs w:val="24"/>
          <w:highlight w:val="none"/>
          <w:lang w:val="en-US" w:eastAsia="zh-CN"/>
        </w:rPr>
        <w:t>定期交由有资质单位处置。</w:t>
      </w:r>
    </w:p>
    <w:p w14:paraId="7E569023">
      <w:pPr>
        <w:pStyle w:val="6"/>
        <w:bidi w:val="0"/>
        <w:rPr>
          <w:rFonts w:hint="default" w:ascii="Times New Roman" w:hAnsi="Times New Roman" w:eastAsia="宋体" w:cs="Times New Roman"/>
          <w:color w:val="auto"/>
          <w:lang w:val="en-US" w:eastAsia="zh-CN"/>
        </w:rPr>
      </w:pPr>
      <w:bookmarkStart w:id="2478" w:name="_Toc31531"/>
      <w:r>
        <w:rPr>
          <w:rFonts w:hint="default" w:ascii="Times New Roman" w:hAnsi="Times New Roman" w:eastAsia="宋体" w:cs="Times New Roman"/>
          <w:color w:val="auto"/>
          <w:lang w:val="en-US" w:eastAsia="zh-CN"/>
        </w:rPr>
        <w:t>6.7土壤影响分析</w:t>
      </w:r>
      <w:bookmarkEnd w:id="2478"/>
    </w:p>
    <w:p w14:paraId="5F4A94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环境影响评价技术导则—土壤环境（试行）》（HJ964-2018）中附录A土壤环境影响评价项目类别，本项目为社会事业与服务业中的“其他”行业，属于Ⅳ类项目。根据导则要求：Ⅳ类建设项目可不开展土壤环境影响评价。</w:t>
      </w:r>
    </w:p>
    <w:p w14:paraId="36A8F0B2">
      <w:pPr>
        <w:pStyle w:val="6"/>
        <w:bidi w:val="0"/>
        <w:rPr>
          <w:rFonts w:hint="default" w:ascii="Times New Roman" w:hAnsi="Times New Roman" w:eastAsia="宋体" w:cs="Times New Roman"/>
          <w:color w:val="auto"/>
        </w:rPr>
      </w:pPr>
      <w:bookmarkStart w:id="2479" w:name="_Toc13480"/>
      <w:r>
        <w:rPr>
          <w:rFonts w:hint="default" w:ascii="Times New Roman" w:hAnsi="Times New Roman" w:eastAsia="宋体" w:cs="Times New Roman"/>
          <w:color w:val="auto"/>
          <w:lang w:val="en-US" w:eastAsia="zh-CN"/>
        </w:rPr>
        <w:t>6.8 外环境对本项目的影响分析</w:t>
      </w:r>
      <w:bookmarkEnd w:id="2479"/>
      <w:r>
        <w:rPr>
          <w:rFonts w:hint="default" w:ascii="Times New Roman" w:hAnsi="Times New Roman" w:eastAsia="宋体" w:cs="Times New Roman"/>
          <w:color w:val="auto"/>
          <w:lang w:val="en-US" w:eastAsia="zh-CN"/>
        </w:rPr>
        <w:t xml:space="preserve"> </w:t>
      </w:r>
    </w:p>
    <w:p w14:paraId="2859936A">
      <w:pPr>
        <w:pStyle w:val="7"/>
        <w:bidi w:val="0"/>
        <w:rPr>
          <w:rFonts w:hint="default" w:ascii="Times New Roman" w:hAnsi="Times New Roman" w:eastAsia="宋体" w:cs="Times New Roman"/>
          <w:color w:val="auto"/>
          <w:lang w:val="en-US" w:eastAsia="zh-CN"/>
        </w:rPr>
      </w:pPr>
      <w:bookmarkStart w:id="2480" w:name="_Toc31224"/>
      <w:r>
        <w:rPr>
          <w:rFonts w:hint="default" w:ascii="Times New Roman" w:hAnsi="Times New Roman" w:eastAsia="宋体" w:cs="Times New Roman"/>
          <w:color w:val="auto"/>
          <w:lang w:val="en-US" w:eastAsia="zh-CN"/>
        </w:rPr>
        <w:t>6.8.1 外环境对本项目的影响识别</w:t>
      </w:r>
      <w:bookmarkEnd w:id="2480"/>
      <w:r>
        <w:rPr>
          <w:rFonts w:hint="default" w:ascii="Times New Roman" w:hAnsi="Times New Roman" w:eastAsia="宋体" w:cs="Times New Roman"/>
          <w:color w:val="auto"/>
          <w:lang w:val="en-US" w:eastAsia="zh-CN"/>
        </w:rPr>
        <w:t xml:space="preserve"> </w:t>
      </w:r>
    </w:p>
    <w:p w14:paraId="352B0F4B">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根据调查，本周边分布的工况企业及建（构）筑对可能影响识别详见下表。</w:t>
      </w:r>
    </w:p>
    <w:p w14:paraId="479E23D7">
      <w:pPr>
        <w:keepNext w:val="0"/>
        <w:keepLines w:val="0"/>
        <w:widowControl/>
        <w:suppressLineNumbers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kern w:val="0"/>
          <w:sz w:val="20"/>
          <w:szCs w:val="20"/>
          <w:lang w:val="en-US" w:eastAsia="zh-CN" w:bidi="ar"/>
        </w:rPr>
        <w:t>表 6.8-1 外环境对本项目影响识别</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2325"/>
        <w:gridCol w:w="707"/>
        <w:gridCol w:w="1329"/>
        <w:gridCol w:w="1256"/>
        <w:gridCol w:w="2111"/>
      </w:tblGrid>
      <w:tr w14:paraId="194F72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shd w:val="clear" w:color="auto" w:fill="D7D7D7" w:themeFill="background1" w:themeFillShade="D8"/>
            <w:vAlign w:val="center"/>
          </w:tcPr>
          <w:p w14:paraId="2A24A20D">
            <w:pPr>
              <w:spacing w:line="240" w:lineRule="auto"/>
              <w:ind w:firstLine="0" w:firstLineChars="0"/>
              <w:jc w:val="center"/>
              <w:rPr>
                <w:rFonts w:hint="default" w:ascii="Times New Roman" w:hAnsi="Times New Roman" w:eastAsia="宋体" w:cs="Times New Roman"/>
                <w:b/>
                <w:bCs/>
                <w:color w:val="auto"/>
                <w:sz w:val="21"/>
                <w:szCs w:val="21"/>
                <w:highlight w:val="none"/>
              </w:rPr>
            </w:pPr>
            <w:bookmarkStart w:id="2481" w:name="_Toc11384"/>
            <w:bookmarkStart w:id="2482" w:name="_Toc13444"/>
            <w:bookmarkStart w:id="2483" w:name="_Toc5846"/>
            <w:bookmarkStart w:id="2484" w:name="_Toc7945"/>
            <w:r>
              <w:rPr>
                <w:rFonts w:hint="default" w:ascii="Times New Roman" w:hAnsi="Times New Roman" w:eastAsia="宋体" w:cs="Times New Roman"/>
                <w:b/>
                <w:bCs/>
                <w:color w:val="auto"/>
                <w:sz w:val="21"/>
                <w:szCs w:val="21"/>
                <w:highlight w:val="none"/>
              </w:rPr>
              <w:t>环境</w:t>
            </w:r>
          </w:p>
          <w:p w14:paraId="52C77312">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要素</w:t>
            </w:r>
          </w:p>
        </w:tc>
        <w:tc>
          <w:tcPr>
            <w:tcW w:w="2325" w:type="dxa"/>
            <w:shd w:val="clear" w:color="auto" w:fill="D7D7D7" w:themeFill="background1" w:themeFillShade="D8"/>
            <w:vAlign w:val="center"/>
          </w:tcPr>
          <w:p w14:paraId="0C8429E0">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保护目标</w:t>
            </w:r>
          </w:p>
        </w:tc>
        <w:tc>
          <w:tcPr>
            <w:tcW w:w="707" w:type="dxa"/>
            <w:shd w:val="clear" w:color="auto" w:fill="D7D7D7" w:themeFill="background1" w:themeFillShade="D8"/>
            <w:vAlign w:val="center"/>
          </w:tcPr>
          <w:p w14:paraId="7F1DE73A">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方位</w:t>
            </w:r>
          </w:p>
        </w:tc>
        <w:tc>
          <w:tcPr>
            <w:tcW w:w="1329" w:type="dxa"/>
            <w:shd w:val="clear" w:color="auto" w:fill="D7D7D7" w:themeFill="background1" w:themeFillShade="D8"/>
            <w:vAlign w:val="center"/>
          </w:tcPr>
          <w:p w14:paraId="45E0CB96">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距离/高差</w:t>
            </w:r>
          </w:p>
        </w:tc>
        <w:tc>
          <w:tcPr>
            <w:tcW w:w="1256" w:type="dxa"/>
            <w:shd w:val="clear" w:color="auto" w:fill="D7D7D7" w:themeFill="background1" w:themeFillShade="D8"/>
            <w:vAlign w:val="center"/>
          </w:tcPr>
          <w:p w14:paraId="34A2B3C8">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规模</w:t>
            </w:r>
          </w:p>
        </w:tc>
        <w:tc>
          <w:tcPr>
            <w:tcW w:w="2111" w:type="dxa"/>
            <w:shd w:val="clear" w:color="auto" w:fill="D7D7D7" w:themeFill="background1" w:themeFillShade="D8"/>
            <w:vAlign w:val="center"/>
          </w:tcPr>
          <w:p w14:paraId="51C2105E">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环境功能区划/保护级别</w:t>
            </w:r>
          </w:p>
        </w:tc>
      </w:tr>
      <w:tr w14:paraId="7D28C0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restart"/>
            <w:vAlign w:val="center"/>
          </w:tcPr>
          <w:p w14:paraId="07EE8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大气/风险</w:t>
            </w:r>
          </w:p>
        </w:tc>
        <w:tc>
          <w:tcPr>
            <w:tcW w:w="2325" w:type="dxa"/>
            <w:vAlign w:val="center"/>
          </w:tcPr>
          <w:p w14:paraId="27F91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和喜·公园里小区</w:t>
            </w:r>
            <w:r>
              <w:rPr>
                <w:rFonts w:hint="eastAsia" w:ascii="Times New Roman" w:hAnsi="Times New Roman" w:eastAsia="宋体" w:cs="Times New Roman"/>
                <w:b w:val="0"/>
                <w:bCs w:val="0"/>
                <w:color w:val="auto"/>
                <w:sz w:val="21"/>
                <w:szCs w:val="21"/>
                <w:lang w:val="en-US" w:eastAsia="zh-CN"/>
              </w:rPr>
              <w:t>（在建）</w:t>
            </w:r>
          </w:p>
        </w:tc>
        <w:tc>
          <w:tcPr>
            <w:tcW w:w="707" w:type="dxa"/>
            <w:vAlign w:val="center"/>
          </w:tcPr>
          <w:p w14:paraId="2CC957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692F9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m/-7m</w:t>
            </w:r>
          </w:p>
        </w:tc>
        <w:tc>
          <w:tcPr>
            <w:tcW w:w="1256" w:type="dxa"/>
            <w:vAlign w:val="center"/>
          </w:tcPr>
          <w:p w14:paraId="5F826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约900户</w:t>
            </w:r>
          </w:p>
        </w:tc>
        <w:tc>
          <w:tcPr>
            <w:tcW w:w="2111" w:type="dxa"/>
            <w:vMerge w:val="restart"/>
            <w:vAlign w:val="center"/>
          </w:tcPr>
          <w:p w14:paraId="67DBA7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rPr>
              <w:t>《环境空气质量标准》（GB3095-2012）</w:t>
            </w:r>
            <w:r>
              <w:rPr>
                <w:rFonts w:hint="default" w:ascii="Times New Roman" w:hAnsi="Times New Roman" w:eastAsia="宋体" w:cs="Times New Roman"/>
                <w:bCs/>
                <w:color w:val="auto"/>
                <w:sz w:val="21"/>
                <w:szCs w:val="21"/>
                <w:lang w:val="en-US" w:eastAsia="zh-CN"/>
              </w:rPr>
              <w:t>及其修改清单</w:t>
            </w:r>
            <w:r>
              <w:rPr>
                <w:rFonts w:hint="default" w:ascii="Times New Roman" w:hAnsi="Times New Roman" w:eastAsia="宋体" w:cs="Times New Roman"/>
                <w:bCs/>
                <w:color w:val="auto"/>
                <w:sz w:val="21"/>
                <w:szCs w:val="21"/>
              </w:rPr>
              <w:t>二类区</w:t>
            </w:r>
          </w:p>
        </w:tc>
      </w:tr>
      <w:tr w14:paraId="375C9D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2A9A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6FD7D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大英县蓬莱初级中学</w:t>
            </w:r>
          </w:p>
        </w:tc>
        <w:tc>
          <w:tcPr>
            <w:tcW w:w="707" w:type="dxa"/>
            <w:vAlign w:val="center"/>
          </w:tcPr>
          <w:p w14:paraId="64D81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0DA54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220m/15m</w:t>
            </w:r>
          </w:p>
        </w:tc>
        <w:tc>
          <w:tcPr>
            <w:tcW w:w="1256" w:type="dxa"/>
            <w:vAlign w:val="center"/>
          </w:tcPr>
          <w:p w14:paraId="0D41B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4000人</w:t>
            </w:r>
          </w:p>
        </w:tc>
        <w:tc>
          <w:tcPr>
            <w:tcW w:w="2111" w:type="dxa"/>
            <w:vMerge w:val="continue"/>
            <w:vAlign w:val="center"/>
          </w:tcPr>
          <w:p w14:paraId="5219D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27D49B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88" w:type="dxa"/>
            <w:vMerge w:val="continue"/>
            <w:vAlign w:val="center"/>
          </w:tcPr>
          <w:p w14:paraId="5338C8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52FE9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大英县郪江幼儿园</w:t>
            </w:r>
          </w:p>
        </w:tc>
        <w:tc>
          <w:tcPr>
            <w:tcW w:w="707" w:type="dxa"/>
            <w:vAlign w:val="center"/>
          </w:tcPr>
          <w:p w14:paraId="1D0BC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7F8EA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235m/16m</w:t>
            </w:r>
          </w:p>
        </w:tc>
        <w:tc>
          <w:tcPr>
            <w:tcW w:w="1256" w:type="dxa"/>
            <w:vAlign w:val="center"/>
          </w:tcPr>
          <w:p w14:paraId="736EF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约200人</w:t>
            </w:r>
          </w:p>
        </w:tc>
        <w:tc>
          <w:tcPr>
            <w:tcW w:w="2111" w:type="dxa"/>
            <w:vMerge w:val="continue"/>
            <w:vAlign w:val="center"/>
          </w:tcPr>
          <w:p w14:paraId="4451E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16162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406C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4ECEB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大英名门小区</w:t>
            </w:r>
          </w:p>
        </w:tc>
        <w:tc>
          <w:tcPr>
            <w:tcW w:w="707" w:type="dxa"/>
            <w:vAlign w:val="center"/>
          </w:tcPr>
          <w:p w14:paraId="69D111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02A8F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rPr>
              <w:t>84</w:t>
            </w:r>
            <w:r>
              <w:rPr>
                <w:rFonts w:hint="default" w:ascii="Times New Roman" w:hAnsi="Times New Roman" w:eastAsia="宋体" w:cs="Times New Roman"/>
                <w:b w:val="0"/>
                <w:bCs w:val="0"/>
                <w:color w:val="auto"/>
                <w:sz w:val="21"/>
                <w:szCs w:val="21"/>
                <w:lang w:val="en-US" w:eastAsia="zh-CN"/>
              </w:rPr>
              <w:t>m/-12m</w:t>
            </w:r>
          </w:p>
        </w:tc>
        <w:tc>
          <w:tcPr>
            <w:tcW w:w="1256" w:type="dxa"/>
            <w:vAlign w:val="center"/>
          </w:tcPr>
          <w:p w14:paraId="56F02211">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400户</w:t>
            </w:r>
          </w:p>
        </w:tc>
        <w:tc>
          <w:tcPr>
            <w:tcW w:w="2111" w:type="dxa"/>
            <w:vMerge w:val="continue"/>
            <w:vAlign w:val="center"/>
          </w:tcPr>
          <w:p w14:paraId="234C9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769D30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D997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10728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居民小区</w:t>
            </w:r>
          </w:p>
        </w:tc>
        <w:tc>
          <w:tcPr>
            <w:tcW w:w="707" w:type="dxa"/>
            <w:vAlign w:val="center"/>
          </w:tcPr>
          <w:p w14:paraId="2B871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1CB11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240m/-6m</w:t>
            </w:r>
          </w:p>
        </w:tc>
        <w:tc>
          <w:tcPr>
            <w:tcW w:w="1256" w:type="dxa"/>
            <w:vAlign w:val="center"/>
          </w:tcPr>
          <w:p w14:paraId="62A4B40C">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500户</w:t>
            </w:r>
          </w:p>
        </w:tc>
        <w:tc>
          <w:tcPr>
            <w:tcW w:w="2111" w:type="dxa"/>
            <w:vMerge w:val="continue"/>
            <w:vAlign w:val="center"/>
          </w:tcPr>
          <w:p w14:paraId="63924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744F1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8" w:type="dxa"/>
            <w:vMerge w:val="continue"/>
            <w:vAlign w:val="center"/>
          </w:tcPr>
          <w:p w14:paraId="5B22BE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25" w:type="dxa"/>
            <w:vAlign w:val="center"/>
          </w:tcPr>
          <w:p w14:paraId="55EB0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大英碧桂园小区</w:t>
            </w:r>
          </w:p>
        </w:tc>
        <w:tc>
          <w:tcPr>
            <w:tcW w:w="707" w:type="dxa"/>
            <w:vAlign w:val="center"/>
          </w:tcPr>
          <w:p w14:paraId="41F98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566C4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260m/-10m</w:t>
            </w:r>
          </w:p>
        </w:tc>
        <w:tc>
          <w:tcPr>
            <w:tcW w:w="1256" w:type="dxa"/>
            <w:vAlign w:val="center"/>
          </w:tcPr>
          <w:p w14:paraId="3C825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约500人</w:t>
            </w:r>
          </w:p>
        </w:tc>
        <w:tc>
          <w:tcPr>
            <w:tcW w:w="2111" w:type="dxa"/>
            <w:vMerge w:val="continue"/>
            <w:vAlign w:val="center"/>
          </w:tcPr>
          <w:p w14:paraId="6F0DA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r>
      <w:tr w14:paraId="66B221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520F1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D8D60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正安·上品尚城</w:t>
            </w:r>
          </w:p>
        </w:tc>
        <w:tc>
          <w:tcPr>
            <w:tcW w:w="707" w:type="dxa"/>
            <w:vAlign w:val="center"/>
          </w:tcPr>
          <w:p w14:paraId="2F8D9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15E0D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490m/-16m</w:t>
            </w:r>
          </w:p>
        </w:tc>
        <w:tc>
          <w:tcPr>
            <w:tcW w:w="1256" w:type="dxa"/>
            <w:vAlign w:val="center"/>
          </w:tcPr>
          <w:p w14:paraId="4EAAD2CA">
            <w:pPr>
              <w:keepNext w:val="0"/>
              <w:keepLines w:val="0"/>
              <w:pageBreakBefore w:val="0"/>
              <w:widowControl w:val="0"/>
              <w:kinsoku/>
              <w:wordWrap/>
              <w:overflowPunct/>
              <w:topLinePunct w:val="0"/>
              <w:autoSpaceDE/>
              <w:autoSpaceDN/>
              <w:bidi w:val="0"/>
              <w:adjustRightInd/>
              <w:snapToGrid/>
              <w:spacing w:line="240" w:lineRule="auto"/>
              <w:ind w:firstLine="253"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1146户</w:t>
            </w:r>
          </w:p>
        </w:tc>
        <w:tc>
          <w:tcPr>
            <w:tcW w:w="2111" w:type="dxa"/>
            <w:vMerge w:val="continue"/>
            <w:vAlign w:val="center"/>
          </w:tcPr>
          <w:p w14:paraId="1655E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41B1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722D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A90E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龙腾玺院小区</w:t>
            </w:r>
          </w:p>
        </w:tc>
        <w:tc>
          <w:tcPr>
            <w:tcW w:w="707" w:type="dxa"/>
            <w:vAlign w:val="center"/>
          </w:tcPr>
          <w:p w14:paraId="4A758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6D32A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325m/-6m</w:t>
            </w:r>
          </w:p>
        </w:tc>
        <w:tc>
          <w:tcPr>
            <w:tcW w:w="1256" w:type="dxa"/>
            <w:vAlign w:val="center"/>
          </w:tcPr>
          <w:p w14:paraId="61014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约300户</w:t>
            </w:r>
          </w:p>
        </w:tc>
        <w:tc>
          <w:tcPr>
            <w:tcW w:w="2111" w:type="dxa"/>
            <w:vMerge w:val="continue"/>
            <w:vAlign w:val="center"/>
          </w:tcPr>
          <w:p w14:paraId="6133B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913D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845ED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AA58C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中国死海旅游度假区</w:t>
            </w:r>
          </w:p>
        </w:tc>
        <w:tc>
          <w:tcPr>
            <w:tcW w:w="707" w:type="dxa"/>
            <w:vAlign w:val="center"/>
          </w:tcPr>
          <w:p w14:paraId="1721DD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52CEC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900m/-20m</w:t>
            </w:r>
          </w:p>
        </w:tc>
        <w:tc>
          <w:tcPr>
            <w:tcW w:w="1256" w:type="dxa"/>
            <w:vAlign w:val="center"/>
          </w:tcPr>
          <w:p w14:paraId="79012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4D744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836FE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B37A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818D0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人和佲都小区</w:t>
            </w:r>
          </w:p>
        </w:tc>
        <w:tc>
          <w:tcPr>
            <w:tcW w:w="707" w:type="dxa"/>
            <w:vAlign w:val="center"/>
          </w:tcPr>
          <w:p w14:paraId="12E76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40989D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230m/-6m</w:t>
            </w:r>
          </w:p>
        </w:tc>
        <w:tc>
          <w:tcPr>
            <w:tcW w:w="1256" w:type="dxa"/>
            <w:vAlign w:val="center"/>
          </w:tcPr>
          <w:p w14:paraId="41B4B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约399户</w:t>
            </w:r>
          </w:p>
        </w:tc>
        <w:tc>
          <w:tcPr>
            <w:tcW w:w="2111" w:type="dxa"/>
            <w:vMerge w:val="continue"/>
            <w:vAlign w:val="center"/>
          </w:tcPr>
          <w:p w14:paraId="5D897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458A5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1F2D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AFD1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龙腾玺院小区</w:t>
            </w:r>
          </w:p>
        </w:tc>
        <w:tc>
          <w:tcPr>
            <w:tcW w:w="707" w:type="dxa"/>
            <w:vAlign w:val="center"/>
          </w:tcPr>
          <w:p w14:paraId="7E5DC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25EDB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465m/-16m</w:t>
            </w:r>
          </w:p>
        </w:tc>
        <w:tc>
          <w:tcPr>
            <w:tcW w:w="1256" w:type="dxa"/>
            <w:vAlign w:val="center"/>
          </w:tcPr>
          <w:p w14:paraId="73FDE2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300户</w:t>
            </w:r>
          </w:p>
        </w:tc>
        <w:tc>
          <w:tcPr>
            <w:tcW w:w="2111" w:type="dxa"/>
            <w:vMerge w:val="continue"/>
            <w:vAlign w:val="center"/>
          </w:tcPr>
          <w:p w14:paraId="42324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14C0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E806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7D86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青龙湾·御府</w:t>
            </w:r>
          </w:p>
        </w:tc>
        <w:tc>
          <w:tcPr>
            <w:tcW w:w="707" w:type="dxa"/>
            <w:vAlign w:val="center"/>
          </w:tcPr>
          <w:p w14:paraId="156D6A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3F48E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675m/6m</w:t>
            </w:r>
          </w:p>
        </w:tc>
        <w:tc>
          <w:tcPr>
            <w:tcW w:w="1256" w:type="dxa"/>
            <w:vAlign w:val="center"/>
          </w:tcPr>
          <w:p w14:paraId="10206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835户</w:t>
            </w:r>
          </w:p>
        </w:tc>
        <w:tc>
          <w:tcPr>
            <w:tcW w:w="2111" w:type="dxa"/>
            <w:vMerge w:val="continue"/>
            <w:vAlign w:val="center"/>
          </w:tcPr>
          <w:p w14:paraId="31C05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FC613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273B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664D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青龙湾·贵府</w:t>
            </w:r>
          </w:p>
        </w:tc>
        <w:tc>
          <w:tcPr>
            <w:tcW w:w="707" w:type="dxa"/>
            <w:vAlign w:val="center"/>
          </w:tcPr>
          <w:p w14:paraId="17CE1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0C6B9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550m/-15m</w:t>
            </w:r>
          </w:p>
        </w:tc>
        <w:tc>
          <w:tcPr>
            <w:tcW w:w="1256" w:type="dxa"/>
            <w:vAlign w:val="center"/>
          </w:tcPr>
          <w:p w14:paraId="07324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550户</w:t>
            </w:r>
          </w:p>
        </w:tc>
        <w:tc>
          <w:tcPr>
            <w:tcW w:w="2111" w:type="dxa"/>
            <w:vMerge w:val="continue"/>
            <w:vAlign w:val="center"/>
          </w:tcPr>
          <w:p w14:paraId="031A6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A7A8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C6A86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0A6B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青龙坡安置房</w:t>
            </w:r>
          </w:p>
        </w:tc>
        <w:tc>
          <w:tcPr>
            <w:tcW w:w="707" w:type="dxa"/>
            <w:vAlign w:val="center"/>
          </w:tcPr>
          <w:p w14:paraId="010BE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03D658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223</w:t>
            </w:r>
            <w:r>
              <w:rPr>
                <w:rFonts w:hint="default" w:ascii="Times New Roman" w:hAnsi="Times New Roman" w:eastAsia="宋体" w:cs="Times New Roman"/>
                <w:b w:val="0"/>
                <w:bCs w:val="0"/>
                <w:color w:val="auto"/>
                <w:sz w:val="21"/>
                <w:szCs w:val="21"/>
                <w:highlight w:val="none"/>
                <w:vertAlign w:val="baseline"/>
                <w:lang w:val="en-US" w:eastAsia="zh-CN"/>
              </w:rPr>
              <w:t>m/14m</w:t>
            </w:r>
          </w:p>
        </w:tc>
        <w:tc>
          <w:tcPr>
            <w:tcW w:w="1256" w:type="dxa"/>
            <w:vAlign w:val="center"/>
          </w:tcPr>
          <w:p w14:paraId="1B6DD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50户</w:t>
            </w:r>
          </w:p>
        </w:tc>
        <w:tc>
          <w:tcPr>
            <w:tcW w:w="2111" w:type="dxa"/>
            <w:vMerge w:val="continue"/>
            <w:vAlign w:val="center"/>
          </w:tcPr>
          <w:p w14:paraId="4410F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72673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B1D1F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B271B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2CB7D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E</w:t>
            </w:r>
          </w:p>
        </w:tc>
        <w:tc>
          <w:tcPr>
            <w:tcW w:w="1329" w:type="dxa"/>
            <w:vAlign w:val="center"/>
          </w:tcPr>
          <w:p w14:paraId="087B7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400m/-14m</w:t>
            </w:r>
          </w:p>
        </w:tc>
        <w:tc>
          <w:tcPr>
            <w:tcW w:w="1256" w:type="dxa"/>
            <w:vAlign w:val="center"/>
          </w:tcPr>
          <w:p w14:paraId="27C8B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15户</w:t>
            </w:r>
          </w:p>
        </w:tc>
        <w:tc>
          <w:tcPr>
            <w:tcW w:w="2111" w:type="dxa"/>
            <w:vMerge w:val="continue"/>
            <w:vAlign w:val="center"/>
          </w:tcPr>
          <w:p w14:paraId="00B20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9C51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DE5D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513C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6D9414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NE</w:t>
            </w:r>
          </w:p>
        </w:tc>
        <w:tc>
          <w:tcPr>
            <w:tcW w:w="1329" w:type="dxa"/>
            <w:vAlign w:val="center"/>
          </w:tcPr>
          <w:p w14:paraId="72E8B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360m/12m</w:t>
            </w:r>
          </w:p>
        </w:tc>
        <w:tc>
          <w:tcPr>
            <w:tcW w:w="1256" w:type="dxa"/>
            <w:vAlign w:val="center"/>
          </w:tcPr>
          <w:p w14:paraId="77AD4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3户</w:t>
            </w:r>
          </w:p>
        </w:tc>
        <w:tc>
          <w:tcPr>
            <w:tcW w:w="2111" w:type="dxa"/>
            <w:vMerge w:val="continue"/>
            <w:vAlign w:val="center"/>
          </w:tcPr>
          <w:p w14:paraId="6865C2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6B8E29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E1601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1A18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66C2D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NE</w:t>
            </w:r>
          </w:p>
        </w:tc>
        <w:tc>
          <w:tcPr>
            <w:tcW w:w="1329" w:type="dxa"/>
            <w:vAlign w:val="center"/>
          </w:tcPr>
          <w:p w14:paraId="08A6C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320m/15m</w:t>
            </w:r>
          </w:p>
        </w:tc>
        <w:tc>
          <w:tcPr>
            <w:tcW w:w="1256" w:type="dxa"/>
            <w:vAlign w:val="center"/>
          </w:tcPr>
          <w:p w14:paraId="2178F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3户</w:t>
            </w:r>
          </w:p>
        </w:tc>
        <w:tc>
          <w:tcPr>
            <w:tcW w:w="2111" w:type="dxa"/>
            <w:vMerge w:val="continue"/>
            <w:vAlign w:val="center"/>
          </w:tcPr>
          <w:p w14:paraId="13C1E4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71F3A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CFBE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4C7C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1DF563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2F041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520m/-2m</w:t>
            </w:r>
          </w:p>
        </w:tc>
        <w:tc>
          <w:tcPr>
            <w:tcW w:w="1256" w:type="dxa"/>
            <w:vAlign w:val="center"/>
          </w:tcPr>
          <w:p w14:paraId="40374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16户</w:t>
            </w:r>
          </w:p>
        </w:tc>
        <w:tc>
          <w:tcPr>
            <w:tcW w:w="2111" w:type="dxa"/>
            <w:vMerge w:val="continue"/>
            <w:vAlign w:val="center"/>
          </w:tcPr>
          <w:p w14:paraId="58619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84CCC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E49E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682C7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234AE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792B6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530m/-1m</w:t>
            </w:r>
          </w:p>
        </w:tc>
        <w:tc>
          <w:tcPr>
            <w:tcW w:w="1256" w:type="dxa"/>
            <w:vAlign w:val="center"/>
          </w:tcPr>
          <w:p w14:paraId="549A9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20户</w:t>
            </w:r>
          </w:p>
        </w:tc>
        <w:tc>
          <w:tcPr>
            <w:tcW w:w="2111" w:type="dxa"/>
            <w:vMerge w:val="continue"/>
            <w:vAlign w:val="center"/>
          </w:tcPr>
          <w:p w14:paraId="0C6932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310C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8" w:type="dxa"/>
            <w:vMerge w:val="continue"/>
            <w:vAlign w:val="center"/>
          </w:tcPr>
          <w:p w14:paraId="312DED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70C97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住户</w:t>
            </w:r>
          </w:p>
        </w:tc>
        <w:tc>
          <w:tcPr>
            <w:tcW w:w="707" w:type="dxa"/>
            <w:vAlign w:val="center"/>
          </w:tcPr>
          <w:p w14:paraId="27AA12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49728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600m/1m</w:t>
            </w:r>
          </w:p>
        </w:tc>
        <w:tc>
          <w:tcPr>
            <w:tcW w:w="1256" w:type="dxa"/>
            <w:vAlign w:val="center"/>
          </w:tcPr>
          <w:p w14:paraId="03D8E7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22户</w:t>
            </w:r>
          </w:p>
        </w:tc>
        <w:tc>
          <w:tcPr>
            <w:tcW w:w="2111" w:type="dxa"/>
            <w:vMerge w:val="continue"/>
            <w:vAlign w:val="center"/>
          </w:tcPr>
          <w:p w14:paraId="39F5F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1C3C3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0542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83499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eastAsia="zh-CN"/>
              </w:rPr>
              <w:t>鑫河村</w:t>
            </w:r>
          </w:p>
        </w:tc>
        <w:tc>
          <w:tcPr>
            <w:tcW w:w="707" w:type="dxa"/>
            <w:vAlign w:val="center"/>
          </w:tcPr>
          <w:p w14:paraId="2CCB7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0CE6A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900m/-9m</w:t>
            </w:r>
          </w:p>
        </w:tc>
        <w:tc>
          <w:tcPr>
            <w:tcW w:w="1256" w:type="dxa"/>
            <w:vAlign w:val="center"/>
          </w:tcPr>
          <w:p w14:paraId="283E8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100户</w:t>
            </w:r>
          </w:p>
        </w:tc>
        <w:tc>
          <w:tcPr>
            <w:tcW w:w="2111" w:type="dxa"/>
            <w:vMerge w:val="continue"/>
            <w:vAlign w:val="center"/>
          </w:tcPr>
          <w:p w14:paraId="15F7DA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83307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C00AB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692F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虎泉村</w:t>
            </w:r>
          </w:p>
        </w:tc>
        <w:tc>
          <w:tcPr>
            <w:tcW w:w="707" w:type="dxa"/>
            <w:vAlign w:val="center"/>
          </w:tcPr>
          <w:p w14:paraId="02CC5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1329" w:type="dxa"/>
            <w:vAlign w:val="center"/>
          </w:tcPr>
          <w:p w14:paraId="4E256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1850m/-14m</w:t>
            </w:r>
          </w:p>
        </w:tc>
        <w:tc>
          <w:tcPr>
            <w:tcW w:w="1256" w:type="dxa"/>
            <w:vAlign w:val="center"/>
          </w:tcPr>
          <w:p w14:paraId="272806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150户</w:t>
            </w:r>
          </w:p>
        </w:tc>
        <w:tc>
          <w:tcPr>
            <w:tcW w:w="2111" w:type="dxa"/>
            <w:vMerge w:val="continue"/>
            <w:vAlign w:val="center"/>
          </w:tcPr>
          <w:p w14:paraId="3868B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E6250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4AE1D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471C24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朝阳社区</w:t>
            </w:r>
          </w:p>
        </w:tc>
        <w:tc>
          <w:tcPr>
            <w:tcW w:w="707" w:type="dxa"/>
            <w:vAlign w:val="center"/>
          </w:tcPr>
          <w:p w14:paraId="3EC60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29A30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lang w:val="en-US" w:eastAsia="zh-CN"/>
              </w:rPr>
              <w:t>1700m</w:t>
            </w:r>
            <w:r>
              <w:rPr>
                <w:rFonts w:hint="default" w:ascii="Times New Roman" w:hAnsi="Times New Roman" w:eastAsia="宋体" w:cs="Times New Roman"/>
                <w:b w:val="0"/>
                <w:bCs w:val="0"/>
                <w:color w:val="auto"/>
                <w:sz w:val="21"/>
                <w:szCs w:val="21"/>
                <w:highlight w:val="none"/>
                <w:vertAlign w:val="baseline"/>
                <w:lang w:val="en-US" w:eastAsia="zh-CN"/>
              </w:rPr>
              <w:t>/-14m</w:t>
            </w:r>
          </w:p>
        </w:tc>
        <w:tc>
          <w:tcPr>
            <w:tcW w:w="1256" w:type="dxa"/>
            <w:vAlign w:val="center"/>
          </w:tcPr>
          <w:p w14:paraId="73588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5000户</w:t>
            </w:r>
          </w:p>
        </w:tc>
        <w:tc>
          <w:tcPr>
            <w:tcW w:w="2111" w:type="dxa"/>
            <w:vMerge w:val="continue"/>
            <w:vAlign w:val="center"/>
          </w:tcPr>
          <w:p w14:paraId="3D5D1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B82AD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05FA6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6969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青龙坡村委会</w:t>
            </w:r>
          </w:p>
        </w:tc>
        <w:tc>
          <w:tcPr>
            <w:tcW w:w="707" w:type="dxa"/>
            <w:vAlign w:val="center"/>
          </w:tcPr>
          <w:p w14:paraId="64185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73163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900m/-18m</w:t>
            </w:r>
          </w:p>
        </w:tc>
        <w:tc>
          <w:tcPr>
            <w:tcW w:w="1256" w:type="dxa"/>
            <w:vAlign w:val="center"/>
          </w:tcPr>
          <w:p w14:paraId="52EB76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6000户</w:t>
            </w:r>
          </w:p>
        </w:tc>
        <w:tc>
          <w:tcPr>
            <w:tcW w:w="2111" w:type="dxa"/>
            <w:vMerge w:val="continue"/>
            <w:vAlign w:val="center"/>
          </w:tcPr>
          <w:p w14:paraId="3C5BD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27CCB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3DFE8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69FBE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水井村委会</w:t>
            </w:r>
          </w:p>
        </w:tc>
        <w:tc>
          <w:tcPr>
            <w:tcW w:w="707" w:type="dxa"/>
            <w:vAlign w:val="center"/>
          </w:tcPr>
          <w:p w14:paraId="52E2E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5C8ED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1430m/-17m</w:t>
            </w:r>
          </w:p>
        </w:tc>
        <w:tc>
          <w:tcPr>
            <w:tcW w:w="1256" w:type="dxa"/>
            <w:vAlign w:val="center"/>
          </w:tcPr>
          <w:p w14:paraId="7D6B2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3000户</w:t>
            </w:r>
          </w:p>
        </w:tc>
        <w:tc>
          <w:tcPr>
            <w:tcW w:w="2111" w:type="dxa"/>
            <w:vMerge w:val="continue"/>
            <w:vAlign w:val="center"/>
          </w:tcPr>
          <w:p w14:paraId="72E79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35E3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414F4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73144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火井村</w:t>
            </w:r>
          </w:p>
        </w:tc>
        <w:tc>
          <w:tcPr>
            <w:tcW w:w="707" w:type="dxa"/>
            <w:vAlign w:val="center"/>
          </w:tcPr>
          <w:p w14:paraId="79980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74702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1780m/-8m</w:t>
            </w:r>
          </w:p>
        </w:tc>
        <w:tc>
          <w:tcPr>
            <w:tcW w:w="1256" w:type="dxa"/>
            <w:vAlign w:val="center"/>
          </w:tcPr>
          <w:p w14:paraId="186650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1000户</w:t>
            </w:r>
          </w:p>
        </w:tc>
        <w:tc>
          <w:tcPr>
            <w:tcW w:w="2111" w:type="dxa"/>
            <w:vMerge w:val="continue"/>
            <w:vAlign w:val="center"/>
          </w:tcPr>
          <w:p w14:paraId="43BCC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18033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24AF5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0B644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天星社区</w:t>
            </w:r>
          </w:p>
        </w:tc>
        <w:tc>
          <w:tcPr>
            <w:tcW w:w="707" w:type="dxa"/>
            <w:vAlign w:val="center"/>
          </w:tcPr>
          <w:p w14:paraId="1B73AF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NW</w:t>
            </w:r>
          </w:p>
        </w:tc>
        <w:tc>
          <w:tcPr>
            <w:tcW w:w="1329" w:type="dxa"/>
            <w:vAlign w:val="center"/>
          </w:tcPr>
          <w:p w14:paraId="14BDC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lang w:val="en-US" w:eastAsia="zh-CN"/>
              </w:rPr>
              <w:t>2400m/-9m</w:t>
            </w:r>
          </w:p>
        </w:tc>
        <w:tc>
          <w:tcPr>
            <w:tcW w:w="1256" w:type="dxa"/>
            <w:vAlign w:val="center"/>
          </w:tcPr>
          <w:p w14:paraId="6725D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2000户</w:t>
            </w:r>
          </w:p>
        </w:tc>
        <w:tc>
          <w:tcPr>
            <w:tcW w:w="2111" w:type="dxa"/>
            <w:vMerge w:val="continue"/>
            <w:vAlign w:val="center"/>
          </w:tcPr>
          <w:p w14:paraId="71E1E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4C948A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8" w:type="dxa"/>
            <w:vMerge w:val="continue"/>
            <w:vAlign w:val="center"/>
          </w:tcPr>
          <w:p w14:paraId="1C7E4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3056C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大英中学</w:t>
            </w:r>
          </w:p>
        </w:tc>
        <w:tc>
          <w:tcPr>
            <w:tcW w:w="707" w:type="dxa"/>
            <w:vAlign w:val="center"/>
          </w:tcPr>
          <w:p w14:paraId="364A9C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5B2456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1730m/-11m</w:t>
            </w:r>
          </w:p>
        </w:tc>
        <w:tc>
          <w:tcPr>
            <w:tcW w:w="1256" w:type="dxa"/>
            <w:vAlign w:val="center"/>
          </w:tcPr>
          <w:p w14:paraId="6BB33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约7500人</w:t>
            </w:r>
          </w:p>
        </w:tc>
        <w:tc>
          <w:tcPr>
            <w:tcW w:w="2111" w:type="dxa"/>
            <w:vMerge w:val="continue"/>
            <w:vAlign w:val="center"/>
          </w:tcPr>
          <w:p w14:paraId="2C53D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044EE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D602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59882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大英县育才中学</w:t>
            </w:r>
          </w:p>
        </w:tc>
        <w:tc>
          <w:tcPr>
            <w:tcW w:w="707" w:type="dxa"/>
            <w:vAlign w:val="center"/>
          </w:tcPr>
          <w:p w14:paraId="7C775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200AC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1650m/-17m</w:t>
            </w:r>
          </w:p>
        </w:tc>
        <w:tc>
          <w:tcPr>
            <w:tcW w:w="1256" w:type="dxa"/>
            <w:vAlign w:val="center"/>
          </w:tcPr>
          <w:p w14:paraId="3DA610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约2250人</w:t>
            </w:r>
          </w:p>
        </w:tc>
        <w:tc>
          <w:tcPr>
            <w:tcW w:w="2111" w:type="dxa"/>
            <w:vMerge w:val="continue"/>
            <w:vAlign w:val="center"/>
          </w:tcPr>
          <w:p w14:paraId="61B07A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DE01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18760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27752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大英县实验学校</w:t>
            </w:r>
          </w:p>
        </w:tc>
        <w:tc>
          <w:tcPr>
            <w:tcW w:w="707" w:type="dxa"/>
            <w:vAlign w:val="center"/>
          </w:tcPr>
          <w:p w14:paraId="5F981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4F4A6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1810m/-16m</w:t>
            </w:r>
          </w:p>
        </w:tc>
        <w:tc>
          <w:tcPr>
            <w:tcW w:w="1256" w:type="dxa"/>
            <w:vAlign w:val="center"/>
          </w:tcPr>
          <w:p w14:paraId="4A11AB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约1650人</w:t>
            </w:r>
          </w:p>
        </w:tc>
        <w:tc>
          <w:tcPr>
            <w:tcW w:w="2111" w:type="dxa"/>
            <w:vMerge w:val="continue"/>
            <w:vAlign w:val="center"/>
          </w:tcPr>
          <w:p w14:paraId="26304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30D9BF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66D47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3368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蓬莱镇人民政府</w:t>
            </w:r>
          </w:p>
        </w:tc>
        <w:tc>
          <w:tcPr>
            <w:tcW w:w="707" w:type="dxa"/>
            <w:vAlign w:val="center"/>
          </w:tcPr>
          <w:p w14:paraId="72D8E8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0098E1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1720m/-13m</w:t>
            </w:r>
          </w:p>
        </w:tc>
        <w:tc>
          <w:tcPr>
            <w:tcW w:w="1256" w:type="dxa"/>
            <w:vAlign w:val="center"/>
          </w:tcPr>
          <w:p w14:paraId="7C8EA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1A8BAF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503D6B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741C71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2325" w:type="dxa"/>
            <w:vAlign w:val="center"/>
          </w:tcPr>
          <w:p w14:paraId="1F979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大英县工业集中发展区</w:t>
            </w:r>
          </w:p>
        </w:tc>
        <w:tc>
          <w:tcPr>
            <w:tcW w:w="707" w:type="dxa"/>
            <w:vAlign w:val="center"/>
          </w:tcPr>
          <w:p w14:paraId="5C79F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SE</w:t>
            </w:r>
          </w:p>
        </w:tc>
        <w:tc>
          <w:tcPr>
            <w:tcW w:w="1329" w:type="dxa"/>
            <w:vAlign w:val="center"/>
          </w:tcPr>
          <w:p w14:paraId="40777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1300m/-13m</w:t>
            </w:r>
          </w:p>
        </w:tc>
        <w:tc>
          <w:tcPr>
            <w:tcW w:w="1256" w:type="dxa"/>
            <w:vAlign w:val="center"/>
          </w:tcPr>
          <w:p w14:paraId="027A4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Merge w:val="continue"/>
            <w:vAlign w:val="center"/>
          </w:tcPr>
          <w:p w14:paraId="49C65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524E7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35F0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地表水</w:t>
            </w:r>
          </w:p>
        </w:tc>
        <w:tc>
          <w:tcPr>
            <w:tcW w:w="2325" w:type="dxa"/>
            <w:vAlign w:val="center"/>
          </w:tcPr>
          <w:p w14:paraId="16594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郪江</w:t>
            </w:r>
          </w:p>
        </w:tc>
        <w:tc>
          <w:tcPr>
            <w:tcW w:w="707" w:type="dxa"/>
            <w:vAlign w:val="center"/>
          </w:tcPr>
          <w:p w14:paraId="5FB74E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19609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370m/-31m</w:t>
            </w:r>
          </w:p>
        </w:tc>
        <w:tc>
          <w:tcPr>
            <w:tcW w:w="1256" w:type="dxa"/>
            <w:vAlign w:val="center"/>
          </w:tcPr>
          <w:p w14:paraId="0FC37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5C6CF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highlight w:val="none"/>
              </w:rPr>
              <w:t>《地表水环境质量标准》（GB3838-2002）Ⅲ类</w:t>
            </w:r>
          </w:p>
        </w:tc>
      </w:tr>
      <w:tr w14:paraId="363FA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restart"/>
            <w:vAlign w:val="center"/>
          </w:tcPr>
          <w:p w14:paraId="372CA0BC">
            <w:pPr>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声环境</w:t>
            </w:r>
          </w:p>
        </w:tc>
        <w:tc>
          <w:tcPr>
            <w:tcW w:w="2325" w:type="dxa"/>
            <w:vAlign w:val="center"/>
          </w:tcPr>
          <w:p w14:paraId="66294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和喜·公园里小区</w:t>
            </w:r>
          </w:p>
        </w:tc>
        <w:tc>
          <w:tcPr>
            <w:tcW w:w="707" w:type="dxa"/>
            <w:vAlign w:val="center"/>
          </w:tcPr>
          <w:p w14:paraId="5C153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w:t>
            </w:r>
          </w:p>
        </w:tc>
        <w:tc>
          <w:tcPr>
            <w:tcW w:w="1329" w:type="dxa"/>
            <w:vAlign w:val="center"/>
          </w:tcPr>
          <w:p w14:paraId="5486F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m/-7m</w:t>
            </w:r>
          </w:p>
        </w:tc>
        <w:tc>
          <w:tcPr>
            <w:tcW w:w="1256" w:type="dxa"/>
            <w:vAlign w:val="center"/>
          </w:tcPr>
          <w:p w14:paraId="141B4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约900户</w:t>
            </w:r>
          </w:p>
        </w:tc>
        <w:tc>
          <w:tcPr>
            <w:tcW w:w="2111" w:type="dxa"/>
            <w:vMerge w:val="restart"/>
            <w:vAlign w:val="center"/>
          </w:tcPr>
          <w:p w14:paraId="0FE388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Cs/>
                <w:color w:val="auto"/>
                <w:sz w:val="21"/>
                <w:szCs w:val="21"/>
                <w:highlight w:val="none"/>
              </w:rPr>
              <w:t>《声环境质量标准》(GB3096-2008)2类</w:t>
            </w:r>
          </w:p>
        </w:tc>
      </w:tr>
      <w:tr w14:paraId="01C2D6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Merge w:val="continue"/>
            <w:vAlign w:val="center"/>
          </w:tcPr>
          <w:p w14:paraId="3A3FDA1B">
            <w:pPr>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c>
          <w:tcPr>
            <w:tcW w:w="2325" w:type="dxa"/>
            <w:vAlign w:val="center"/>
          </w:tcPr>
          <w:p w14:paraId="01098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lang w:val="en-US" w:eastAsia="zh-CN"/>
              </w:rPr>
              <w:t>大英名门小区</w:t>
            </w:r>
          </w:p>
        </w:tc>
        <w:tc>
          <w:tcPr>
            <w:tcW w:w="707" w:type="dxa"/>
            <w:vAlign w:val="center"/>
          </w:tcPr>
          <w:p w14:paraId="6ECC42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w:t>
            </w:r>
          </w:p>
        </w:tc>
        <w:tc>
          <w:tcPr>
            <w:tcW w:w="1329" w:type="dxa"/>
            <w:vAlign w:val="center"/>
          </w:tcPr>
          <w:p w14:paraId="19A71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lang w:val="en-US" w:eastAsia="zh-CN"/>
              </w:rPr>
              <w:t>84</w:t>
            </w:r>
            <w:r>
              <w:rPr>
                <w:rFonts w:hint="default" w:ascii="Times New Roman" w:hAnsi="Times New Roman" w:eastAsia="宋体" w:cs="Times New Roman"/>
                <w:b w:val="0"/>
                <w:bCs w:val="0"/>
                <w:color w:val="auto"/>
                <w:sz w:val="21"/>
                <w:szCs w:val="21"/>
                <w:lang w:val="en-US" w:eastAsia="zh-CN"/>
              </w:rPr>
              <w:t>m/-12m</w:t>
            </w:r>
          </w:p>
        </w:tc>
        <w:tc>
          <w:tcPr>
            <w:tcW w:w="1256" w:type="dxa"/>
            <w:vAlign w:val="center"/>
          </w:tcPr>
          <w:p w14:paraId="06CAD491">
            <w:pPr>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Cs w:val="21"/>
                <w:highlight w:val="none"/>
                <w:lang w:val="en-US" w:eastAsia="zh-CN"/>
              </w:rPr>
              <w:t>400户</w:t>
            </w:r>
          </w:p>
        </w:tc>
        <w:tc>
          <w:tcPr>
            <w:tcW w:w="2111" w:type="dxa"/>
            <w:vMerge w:val="continue"/>
            <w:vAlign w:val="center"/>
          </w:tcPr>
          <w:p w14:paraId="7E40B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65E6A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8" w:type="dxa"/>
            <w:vMerge w:val="continue"/>
            <w:vAlign w:val="center"/>
          </w:tcPr>
          <w:p w14:paraId="79281129">
            <w:pPr>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c>
          <w:tcPr>
            <w:tcW w:w="2325" w:type="dxa"/>
            <w:vAlign w:val="center"/>
          </w:tcPr>
          <w:p w14:paraId="2623A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lang w:val="en-US" w:eastAsia="zh-CN"/>
              </w:rPr>
              <w:t>青龙坡安置房</w:t>
            </w:r>
          </w:p>
        </w:tc>
        <w:tc>
          <w:tcPr>
            <w:tcW w:w="707" w:type="dxa"/>
            <w:vAlign w:val="center"/>
          </w:tcPr>
          <w:p w14:paraId="000D4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w:t>
            </w:r>
          </w:p>
        </w:tc>
        <w:tc>
          <w:tcPr>
            <w:tcW w:w="1329" w:type="dxa"/>
            <w:vAlign w:val="center"/>
          </w:tcPr>
          <w:p w14:paraId="000CE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eastAsia" w:ascii="Times New Roman" w:hAnsi="Times New Roman" w:eastAsia="宋体" w:cs="Times New Roman"/>
                <w:b w:val="0"/>
                <w:bCs w:val="0"/>
                <w:color w:val="auto"/>
                <w:sz w:val="21"/>
                <w:szCs w:val="21"/>
                <w:highlight w:val="none"/>
                <w:vertAlign w:val="baseline"/>
                <w:lang w:val="en-US" w:eastAsia="zh-CN"/>
              </w:rPr>
              <w:t>223</w:t>
            </w:r>
            <w:r>
              <w:rPr>
                <w:rFonts w:hint="default" w:ascii="Times New Roman" w:hAnsi="Times New Roman" w:eastAsia="宋体" w:cs="Times New Roman"/>
                <w:b w:val="0"/>
                <w:bCs w:val="0"/>
                <w:color w:val="auto"/>
                <w:sz w:val="21"/>
                <w:szCs w:val="21"/>
                <w:highlight w:val="none"/>
                <w:vertAlign w:val="baseline"/>
                <w:lang w:val="en-US" w:eastAsia="zh-CN"/>
              </w:rPr>
              <w:t>m/14m</w:t>
            </w:r>
          </w:p>
        </w:tc>
        <w:tc>
          <w:tcPr>
            <w:tcW w:w="1256" w:type="dxa"/>
            <w:vAlign w:val="center"/>
          </w:tcPr>
          <w:p w14:paraId="6C0D14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50户</w:t>
            </w:r>
          </w:p>
        </w:tc>
        <w:tc>
          <w:tcPr>
            <w:tcW w:w="2111" w:type="dxa"/>
            <w:vMerge w:val="continue"/>
            <w:vAlign w:val="center"/>
          </w:tcPr>
          <w:p w14:paraId="1C785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4D99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A00599C">
            <w:pPr>
              <w:pStyle w:val="19"/>
              <w:ind w:left="137" w:leftChars="0"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地下水环境</w:t>
            </w:r>
          </w:p>
        </w:tc>
        <w:tc>
          <w:tcPr>
            <w:tcW w:w="2325" w:type="dxa"/>
            <w:vAlign w:val="center"/>
          </w:tcPr>
          <w:p w14:paraId="6C8A2376">
            <w:pPr>
              <w:autoSpaceDE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区域地下水</w:t>
            </w:r>
          </w:p>
        </w:tc>
        <w:tc>
          <w:tcPr>
            <w:tcW w:w="707" w:type="dxa"/>
            <w:vAlign w:val="center"/>
          </w:tcPr>
          <w:p w14:paraId="29CBA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329" w:type="dxa"/>
            <w:vAlign w:val="center"/>
          </w:tcPr>
          <w:p w14:paraId="57B359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56" w:type="dxa"/>
            <w:vAlign w:val="center"/>
          </w:tcPr>
          <w:p w14:paraId="3847BB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34820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rPr>
              <w:t>《地下水质量标准》（GB14848/T-2017）Ⅲ类</w:t>
            </w:r>
          </w:p>
        </w:tc>
      </w:tr>
      <w:tr w14:paraId="100F9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D62CEBC">
            <w:pPr>
              <w:pStyle w:val="19"/>
              <w:ind w:left="137" w:leftChars="0" w:firstLine="0" w:firstLineChars="0"/>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土壤</w:t>
            </w:r>
          </w:p>
        </w:tc>
        <w:tc>
          <w:tcPr>
            <w:tcW w:w="2325" w:type="dxa"/>
            <w:vAlign w:val="center"/>
          </w:tcPr>
          <w:p w14:paraId="257A054A">
            <w:pPr>
              <w:autoSpaceDE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区域土壤</w:t>
            </w:r>
          </w:p>
        </w:tc>
        <w:tc>
          <w:tcPr>
            <w:tcW w:w="707" w:type="dxa"/>
            <w:vAlign w:val="center"/>
          </w:tcPr>
          <w:p w14:paraId="3703C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329" w:type="dxa"/>
            <w:vAlign w:val="center"/>
          </w:tcPr>
          <w:p w14:paraId="7D289E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56" w:type="dxa"/>
            <w:vAlign w:val="center"/>
          </w:tcPr>
          <w:p w14:paraId="01E18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111" w:type="dxa"/>
            <w:vAlign w:val="center"/>
          </w:tcPr>
          <w:p w14:paraId="2DFF0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rPr>
              <w:t>《土壤环境质量 建设用地土壤风险值管控标准》（GB36600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-2018）表1、表2第二类用地筛选值标准</w:t>
            </w:r>
          </w:p>
        </w:tc>
      </w:tr>
    </w:tbl>
    <w:p w14:paraId="20F2E8A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根据上表，项目周边可能对本项目噪声影响的主要为周边生产企业产生的废气、噪声及道路交通噪声</w:t>
      </w:r>
      <w:bookmarkEnd w:id="2481"/>
      <w:bookmarkEnd w:id="2482"/>
      <w:bookmarkEnd w:id="2483"/>
      <w:bookmarkEnd w:id="2484"/>
    </w:p>
    <w:p w14:paraId="59D88B8F">
      <w:pPr>
        <w:pStyle w:val="7"/>
        <w:bidi w:val="0"/>
        <w:rPr>
          <w:rFonts w:hint="default" w:ascii="Times New Roman" w:hAnsi="Times New Roman" w:eastAsia="宋体" w:cs="Times New Roman"/>
          <w:color w:val="auto"/>
        </w:rPr>
      </w:pPr>
      <w:bookmarkStart w:id="2485" w:name="_Toc7322"/>
      <w:r>
        <w:rPr>
          <w:rFonts w:hint="default" w:ascii="Times New Roman" w:hAnsi="Times New Roman" w:eastAsia="宋体" w:cs="Times New Roman"/>
          <w:color w:val="auto"/>
          <w:lang w:val="en-US" w:eastAsia="zh-CN"/>
        </w:rPr>
        <w:t>6.8.2 外环境对本项目的影响分析</w:t>
      </w:r>
      <w:bookmarkEnd w:id="2485"/>
      <w:r>
        <w:rPr>
          <w:rFonts w:hint="default" w:ascii="Times New Roman" w:hAnsi="Times New Roman" w:eastAsia="宋体" w:cs="Times New Roman"/>
          <w:color w:val="auto"/>
          <w:lang w:val="en-US" w:eastAsia="zh-CN"/>
        </w:rPr>
        <w:t xml:space="preserve"> </w:t>
      </w:r>
    </w:p>
    <w:p w14:paraId="25CF96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（1）外环境对本项目大气环境影响分析</w:t>
      </w:r>
    </w:p>
    <w:p w14:paraId="095A072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bookmarkStart w:id="2486" w:name="_Toc2495"/>
      <w:bookmarkStart w:id="2487" w:name="_Toc26631"/>
      <w:bookmarkStart w:id="2488" w:name="_Toc11468"/>
      <w:bookmarkStart w:id="2489" w:name="_Toc13194"/>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项目周边主要为居民小区，外环境对项目大气环境影响较小。</w:t>
      </w:r>
      <w:bookmarkEnd w:id="2486"/>
      <w:bookmarkEnd w:id="2487"/>
      <w:bookmarkEnd w:id="2488"/>
      <w:bookmarkEnd w:id="2489"/>
    </w:p>
    <w:p w14:paraId="217305AF">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kern w:val="0"/>
          <w:sz w:val="24"/>
          <w:szCs w:val="24"/>
          <w:lang w:val="en-US" w:eastAsia="zh-CN" w:bidi="ar"/>
        </w:rPr>
        <w:t>（2）噪声对本项目影响分析</w:t>
      </w:r>
    </w:p>
    <w:p w14:paraId="0B60317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90" w:name="_Toc18084"/>
      <w:bookmarkStart w:id="2491" w:name="_Toc13373"/>
      <w:bookmarkStart w:id="2492" w:name="_Toc11938"/>
      <w:bookmarkStart w:id="2493" w:name="_Toc17525"/>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项目周边主要为居民小区</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，噪声对项目环境影响较小。</w:t>
      </w:r>
      <w:bookmarkEnd w:id="2490"/>
      <w:bookmarkEnd w:id="2491"/>
      <w:bookmarkEnd w:id="2492"/>
      <w:bookmarkEnd w:id="2493"/>
    </w:p>
    <w:p w14:paraId="3709E1BC">
      <w:pPr>
        <w:rPr>
          <w:rFonts w:hint="default" w:ascii="Times New Roman" w:hAnsi="Times New Roman" w:eastAsia="宋体" w:cs="Times New Roman"/>
          <w:b/>
          <w:bCs/>
          <w:i w:val="0"/>
          <w:iCs w:val="0"/>
          <w:caps w:val="0"/>
          <w:color w:val="auto"/>
          <w:spacing w:val="0"/>
          <w:kern w:val="0"/>
          <w:sz w:val="28"/>
          <w:szCs w:val="28"/>
          <w:shd w:val="clear" w:fill="FFFFFF"/>
          <w:lang w:val="en-US" w:eastAsia="zh-CN" w:bidi="ar"/>
        </w:rPr>
      </w:pPr>
      <w:r>
        <w:rPr>
          <w:rFonts w:hint="default" w:ascii="Times New Roman" w:hAnsi="Times New Roman" w:eastAsia="宋体" w:cs="Times New Roman"/>
          <w:b/>
          <w:bCs/>
          <w:i w:val="0"/>
          <w:iCs w:val="0"/>
          <w:caps w:val="0"/>
          <w:color w:val="auto"/>
          <w:spacing w:val="0"/>
          <w:kern w:val="0"/>
          <w:sz w:val="28"/>
          <w:szCs w:val="28"/>
          <w:shd w:val="clear" w:fill="FFFFFF"/>
          <w:lang w:val="en-US" w:eastAsia="zh-CN" w:bidi="ar"/>
        </w:rPr>
        <w:br w:type="page"/>
      </w:r>
    </w:p>
    <w:p w14:paraId="66D58C6C">
      <w:pPr>
        <w:pStyle w:val="5"/>
        <w:bidi w:val="0"/>
        <w:rPr>
          <w:rFonts w:hint="default" w:ascii="Times New Roman" w:hAnsi="Times New Roman" w:eastAsia="宋体" w:cs="Times New Roman"/>
          <w:color w:val="auto"/>
          <w:lang w:val="en-US" w:eastAsia="zh-CN"/>
        </w:rPr>
      </w:pPr>
      <w:bookmarkStart w:id="2494" w:name="_Toc23899"/>
      <w:r>
        <w:rPr>
          <w:rFonts w:hint="default" w:ascii="Times New Roman" w:hAnsi="Times New Roman" w:eastAsia="宋体" w:cs="Times New Roman"/>
          <w:color w:val="auto"/>
          <w:lang w:val="en-US" w:eastAsia="zh-CN"/>
        </w:rPr>
        <w:t>7环境风险分析</w:t>
      </w:r>
      <w:bookmarkEnd w:id="2494"/>
    </w:p>
    <w:p w14:paraId="4A64D415">
      <w:pPr>
        <w:pStyle w:val="6"/>
        <w:bidi w:val="0"/>
        <w:rPr>
          <w:rFonts w:hint="default" w:ascii="Times New Roman" w:hAnsi="Times New Roman" w:eastAsia="宋体" w:cs="Times New Roman"/>
          <w:color w:val="auto"/>
          <w:lang w:val="en-US" w:eastAsia="zh-CN"/>
        </w:rPr>
      </w:pPr>
      <w:bookmarkStart w:id="2495" w:name="_Toc18755"/>
      <w:r>
        <w:rPr>
          <w:rFonts w:hint="default" w:ascii="Times New Roman" w:hAnsi="Times New Roman" w:eastAsia="宋体" w:cs="Times New Roman"/>
          <w:color w:val="auto"/>
          <w:lang w:val="en-US" w:eastAsia="zh-CN"/>
        </w:rPr>
        <w:t>7.1风险评价目的</w:t>
      </w:r>
      <w:bookmarkEnd w:id="2495"/>
    </w:p>
    <w:p w14:paraId="733B061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496" w:name="_Toc30712"/>
      <w:bookmarkStart w:id="2497" w:name="_Toc2487"/>
      <w:bookmarkStart w:id="2498" w:name="_Toc10820"/>
      <w:bookmarkStart w:id="2499" w:name="_Toc763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所谓环境风险是指突发性灾难事故造成重大环境污染的事件，它具有危害性大、影响范围广等特点，同时风险发生的概率又有很大的不确定性。</w:t>
      </w:r>
      <w:bookmarkEnd w:id="2496"/>
      <w:bookmarkEnd w:id="2497"/>
      <w:bookmarkEnd w:id="2498"/>
      <w:bookmarkEnd w:id="2499"/>
    </w:p>
    <w:p w14:paraId="19EAB1EB">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500" w:name="_Toc1840"/>
      <w:bookmarkStart w:id="2501" w:name="_Toc24415"/>
      <w:bookmarkStart w:id="2502" w:name="_Toc144"/>
      <w:bookmarkStart w:id="2503" w:name="_Toc4446"/>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环境风险评价的目的是分析和预测建设项目存在的潜在危险、有害因素，建设项目建设和运行期间可能发生的突发性事件或事故（一般不包括人为破坏及自然灾害），引起有毒有害和易燃易爆等物质的泄漏，所造成的人身安全与环境影响和损害程度，提出合理可行的防范、应急与减缓措施，以使建设项目事故率、损失和环境影响达到可接受的水平。</w:t>
      </w:r>
      <w:bookmarkEnd w:id="2500"/>
      <w:bookmarkEnd w:id="2501"/>
      <w:bookmarkEnd w:id="2502"/>
      <w:bookmarkEnd w:id="2503"/>
    </w:p>
    <w:p w14:paraId="5B0AD2D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504" w:name="_Toc29899"/>
      <w:bookmarkStart w:id="2505" w:name="_Toc1138"/>
      <w:bookmarkStart w:id="2506" w:name="_Toc17955"/>
      <w:bookmarkStart w:id="2507" w:name="_Toc222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国家环境保护总局环发[2012]77号文《关于进一步加强环境影响评价管理防范环境风险的通知》的精神，以《建设项目环境风险评价技术导则》（HJ169-2018）为指导，通过对本项目进行风险识别，进行风险分析，提出减缓风险的措施和应急预案，为环境管理提供资料和依据，以便达到降低风险性、减少危害程度的目的。</w:t>
      </w:r>
      <w:bookmarkEnd w:id="2504"/>
      <w:bookmarkEnd w:id="2505"/>
      <w:bookmarkEnd w:id="2506"/>
      <w:bookmarkEnd w:id="2507"/>
    </w:p>
    <w:p w14:paraId="4F6193C8">
      <w:pPr>
        <w:pStyle w:val="6"/>
        <w:bidi w:val="0"/>
        <w:rPr>
          <w:rFonts w:hint="default" w:ascii="Times New Roman" w:hAnsi="Times New Roman" w:eastAsia="宋体" w:cs="Times New Roman"/>
          <w:color w:val="auto"/>
          <w:lang w:val="en-US" w:eastAsia="zh-CN"/>
        </w:rPr>
      </w:pPr>
      <w:bookmarkStart w:id="2508" w:name="_Toc18347"/>
      <w:r>
        <w:rPr>
          <w:rFonts w:hint="default" w:ascii="Times New Roman" w:hAnsi="Times New Roman" w:eastAsia="宋体" w:cs="Times New Roman"/>
          <w:color w:val="auto"/>
          <w:lang w:val="en-US" w:eastAsia="zh-CN"/>
        </w:rPr>
        <w:t>7.2评价目的</w:t>
      </w:r>
      <w:bookmarkEnd w:id="2508"/>
      <w:r>
        <w:rPr>
          <w:rFonts w:hint="default" w:ascii="Times New Roman" w:hAnsi="Times New Roman" w:eastAsia="宋体" w:cs="Times New Roman"/>
          <w:color w:val="auto"/>
          <w:lang w:val="en-US" w:eastAsia="zh-CN"/>
        </w:rPr>
        <w:t xml:space="preserve"> </w:t>
      </w:r>
    </w:p>
    <w:p w14:paraId="08DF10DC">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509" w:name="_Toc14753"/>
      <w:bookmarkStart w:id="2510" w:name="_Toc14364"/>
      <w:bookmarkStart w:id="2511" w:name="_Toc4933"/>
      <w:bookmarkStart w:id="2512" w:name="_Toc559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环境风险评价的目的是分析和预测本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项目事故率、损失和环境影响达到可接受水平。</w:t>
      </w:r>
      <w:bookmarkEnd w:id="2509"/>
      <w:bookmarkEnd w:id="2510"/>
      <w:bookmarkEnd w:id="2511"/>
      <w:bookmarkEnd w:id="2512"/>
    </w:p>
    <w:p w14:paraId="70E7F65B">
      <w:pPr>
        <w:pStyle w:val="6"/>
        <w:bidi w:val="0"/>
        <w:ind w:left="0"/>
        <w:rPr>
          <w:rFonts w:hint="default" w:ascii="Times New Roman" w:hAnsi="Times New Roman" w:eastAsia="宋体" w:cs="Times New Roman"/>
          <w:color w:val="auto"/>
          <w:lang w:val="en-US" w:eastAsia="zh-CN"/>
        </w:rPr>
      </w:pPr>
      <w:bookmarkStart w:id="2513" w:name="_Toc11012"/>
      <w:r>
        <w:rPr>
          <w:rFonts w:hint="default" w:ascii="Times New Roman" w:hAnsi="Times New Roman" w:eastAsia="宋体" w:cs="Times New Roman"/>
          <w:color w:val="auto"/>
          <w:lang w:val="en-US" w:eastAsia="zh-CN"/>
        </w:rPr>
        <w:t>7.3风险物质识别</w:t>
      </w:r>
      <w:bookmarkEnd w:id="2513"/>
    </w:p>
    <w:p w14:paraId="48C4D88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514" w:name="_Toc16936"/>
      <w:bookmarkStart w:id="2515" w:name="_Toc32172"/>
      <w:bookmarkStart w:id="2516" w:name="_Toc16238"/>
      <w:bookmarkStart w:id="2517" w:name="_Toc16439"/>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（1）环境风险源识别</w:t>
      </w:r>
      <w:bookmarkEnd w:id="2514"/>
      <w:bookmarkEnd w:id="2515"/>
      <w:bookmarkEnd w:id="2516"/>
      <w:bookmarkEnd w:id="2517"/>
    </w:p>
    <w:p w14:paraId="2750A4C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outlineLvl w:val="1"/>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518" w:name="_Toc7573"/>
      <w:bookmarkStart w:id="2519" w:name="_Toc7788"/>
      <w:bookmarkStart w:id="2520" w:name="_Toc18165"/>
      <w:bookmarkStart w:id="2521" w:name="_Toc984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根据《建设项目环境风险评价技术导则》 （HJ169-2018）附录B，医院的主要环境风险源为危废暂存间、污水处理站等，风险物质为二氧化氯和柴油。识别结果如下表。</w:t>
      </w:r>
      <w:bookmarkEnd w:id="2518"/>
      <w:bookmarkEnd w:id="2519"/>
      <w:bookmarkEnd w:id="2520"/>
      <w:bookmarkEnd w:id="2521"/>
    </w:p>
    <w:p w14:paraId="7A1037A4">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 xml:space="preserve">表7.3-1 </w:t>
      </w:r>
      <w:r>
        <w:rPr>
          <w:rFonts w:hint="default" w:ascii="Times New Roman" w:hAnsi="Times New Roman" w:eastAsia="宋体" w:cs="Times New Roman"/>
          <w:b/>
          <w:bCs/>
          <w:color w:val="auto"/>
          <w:kern w:val="0"/>
          <w:sz w:val="21"/>
          <w:szCs w:val="21"/>
          <w:lang w:val="en-US" w:eastAsia="zh-CN" w:bidi="ar"/>
        </w:rPr>
        <w:t>环境风险源辨识结果</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6"/>
        <w:gridCol w:w="1217"/>
        <w:gridCol w:w="1217"/>
        <w:gridCol w:w="1217"/>
        <w:gridCol w:w="1217"/>
      </w:tblGrid>
      <w:tr w14:paraId="54404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32" w:type="dxa"/>
            <w:gridSpan w:val="2"/>
            <w:shd w:val="clear" w:color="auto" w:fill="D7D7D7" w:themeFill="background1" w:themeFillShade="D8"/>
          </w:tcPr>
          <w:p w14:paraId="715B3CF6">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风险类型</w:t>
            </w:r>
          </w:p>
        </w:tc>
        <w:tc>
          <w:tcPr>
            <w:tcW w:w="1216" w:type="dxa"/>
            <w:shd w:val="clear" w:color="auto" w:fill="D7D7D7" w:themeFill="background1" w:themeFillShade="D8"/>
          </w:tcPr>
          <w:p w14:paraId="306FDD6E">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风险源</w:t>
            </w:r>
          </w:p>
        </w:tc>
        <w:tc>
          <w:tcPr>
            <w:tcW w:w="1217" w:type="dxa"/>
            <w:shd w:val="clear" w:color="auto" w:fill="D7D7D7" w:themeFill="background1" w:themeFillShade="D8"/>
          </w:tcPr>
          <w:p w14:paraId="77ED54B2">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风险工序</w:t>
            </w:r>
          </w:p>
        </w:tc>
        <w:tc>
          <w:tcPr>
            <w:tcW w:w="1217" w:type="dxa"/>
            <w:shd w:val="clear" w:color="auto" w:fill="D7D7D7" w:themeFill="background1" w:themeFillShade="D8"/>
          </w:tcPr>
          <w:p w14:paraId="40ABD9CC">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风险因子</w:t>
            </w:r>
          </w:p>
        </w:tc>
        <w:tc>
          <w:tcPr>
            <w:tcW w:w="1217" w:type="dxa"/>
            <w:shd w:val="clear" w:color="auto" w:fill="D7D7D7" w:themeFill="background1" w:themeFillShade="D8"/>
          </w:tcPr>
          <w:p w14:paraId="561E6AED">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事件种类</w:t>
            </w:r>
          </w:p>
        </w:tc>
        <w:tc>
          <w:tcPr>
            <w:tcW w:w="1217" w:type="dxa"/>
            <w:shd w:val="clear" w:color="auto" w:fill="D7D7D7" w:themeFill="background1" w:themeFillShade="D8"/>
          </w:tcPr>
          <w:p w14:paraId="4E560917">
            <w:pPr>
              <w:keepNext w:val="0"/>
              <w:keepLines w:val="0"/>
              <w:widowControl/>
              <w:suppressLineNumbers w:val="0"/>
              <w:jc w:val="cente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主要危险</w:t>
            </w:r>
          </w:p>
        </w:tc>
      </w:tr>
      <w:tr w14:paraId="748B9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restart"/>
          </w:tcPr>
          <w:p w14:paraId="4561CDE2">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废水泄漏</w:t>
            </w:r>
          </w:p>
        </w:tc>
        <w:tc>
          <w:tcPr>
            <w:tcW w:w="1216" w:type="dxa"/>
            <w:vMerge w:val="restart"/>
          </w:tcPr>
          <w:p w14:paraId="2B0221BC">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医疗废水泄漏风险</w:t>
            </w:r>
          </w:p>
        </w:tc>
        <w:tc>
          <w:tcPr>
            <w:tcW w:w="1216" w:type="dxa"/>
          </w:tcPr>
          <w:p w14:paraId="4005DB1C">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预处理池</w:t>
            </w:r>
          </w:p>
        </w:tc>
        <w:tc>
          <w:tcPr>
            <w:tcW w:w="1217" w:type="dxa"/>
            <w:vMerge w:val="restart"/>
          </w:tcPr>
          <w:p w14:paraId="339B61CB">
            <w:pPr>
              <w:keepNext w:val="0"/>
              <w:keepLines w:val="0"/>
              <w:widowControl/>
              <w:suppressLineNumbers w:val="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
              </w:rPr>
              <w:t>遇自然灾害、强暴雨等泄漏、火</w:t>
            </w:r>
          </w:p>
          <w:p w14:paraId="006E3FC0">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灾及爆炸衍生的废水泄漏，污水处理系统故障</w:t>
            </w:r>
          </w:p>
        </w:tc>
        <w:tc>
          <w:tcPr>
            <w:tcW w:w="1217" w:type="dxa"/>
            <w:vMerge w:val="restart"/>
          </w:tcPr>
          <w:p w14:paraId="06040B0A">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rPr>
              <w:t>COD</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rPr>
              <w:t>SS</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w:t>
            </w:r>
          </w:p>
        </w:tc>
        <w:tc>
          <w:tcPr>
            <w:tcW w:w="1217" w:type="dxa"/>
            <w:vMerge w:val="restart"/>
          </w:tcPr>
          <w:p w14:paraId="3DBAA884">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医疗废水泄漏</w:t>
            </w:r>
          </w:p>
        </w:tc>
        <w:tc>
          <w:tcPr>
            <w:tcW w:w="1217" w:type="dxa"/>
            <w:vMerge w:val="restart"/>
          </w:tcPr>
          <w:p w14:paraId="2097A3C5">
            <w:pPr>
              <w:keepNext w:val="0"/>
              <w:keepLines w:val="0"/>
              <w:widowControl/>
              <w:suppressLineNumbers w:val="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财产损失、污染地表水、地下水及地表植被等</w:t>
            </w:r>
          </w:p>
        </w:tc>
      </w:tr>
      <w:tr w14:paraId="1C700E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continue"/>
          </w:tcPr>
          <w:p w14:paraId="47B6CC71">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vMerge w:val="continue"/>
          </w:tcPr>
          <w:p w14:paraId="4CB072E0">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tcPr>
          <w:p w14:paraId="6142C730">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污水管道</w:t>
            </w:r>
          </w:p>
        </w:tc>
        <w:tc>
          <w:tcPr>
            <w:tcW w:w="1217" w:type="dxa"/>
            <w:vMerge w:val="continue"/>
          </w:tcPr>
          <w:p w14:paraId="5BF01384">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7CF4945E">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5EB54F22">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2381506B">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r>
      <w:tr w14:paraId="3D5D5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continue"/>
          </w:tcPr>
          <w:p w14:paraId="5AA6CD40">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vMerge w:val="continue"/>
          </w:tcPr>
          <w:p w14:paraId="4A21053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tcPr>
          <w:p w14:paraId="730F89D3">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污水处理站</w:t>
            </w:r>
          </w:p>
        </w:tc>
        <w:tc>
          <w:tcPr>
            <w:tcW w:w="1217" w:type="dxa"/>
            <w:vMerge w:val="continue"/>
          </w:tcPr>
          <w:p w14:paraId="78F288A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5E94EBD6">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6A50F0CA">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Merge w:val="continue"/>
          </w:tcPr>
          <w:p w14:paraId="2AFDA7C2">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r>
      <w:tr w14:paraId="4B447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tcPr>
          <w:p w14:paraId="47AA2827">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废气泄漏</w:t>
            </w:r>
          </w:p>
        </w:tc>
        <w:tc>
          <w:tcPr>
            <w:tcW w:w="1216" w:type="dxa"/>
          </w:tcPr>
          <w:p w14:paraId="60CE17D0">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废气泄漏风险</w:t>
            </w:r>
          </w:p>
        </w:tc>
        <w:tc>
          <w:tcPr>
            <w:tcW w:w="1216" w:type="dxa"/>
          </w:tcPr>
          <w:p w14:paraId="019CBF1B">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通风系统、医疗废物间消毒点</w:t>
            </w:r>
          </w:p>
        </w:tc>
        <w:tc>
          <w:tcPr>
            <w:tcW w:w="1217" w:type="dxa"/>
          </w:tcPr>
          <w:p w14:paraId="0CDDA44A">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通风系统故障，医疗废物及污水处理站臭味消毒不到位</w:t>
            </w:r>
          </w:p>
        </w:tc>
        <w:tc>
          <w:tcPr>
            <w:tcW w:w="1217" w:type="dxa"/>
          </w:tcPr>
          <w:p w14:paraId="49E4E4B5">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CO、CO2，臭味</w:t>
            </w:r>
          </w:p>
        </w:tc>
        <w:tc>
          <w:tcPr>
            <w:tcW w:w="1217" w:type="dxa"/>
          </w:tcPr>
          <w:p w14:paraId="7A836F63">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油烟，CO、CO2，臭味泄漏</w:t>
            </w:r>
          </w:p>
        </w:tc>
        <w:tc>
          <w:tcPr>
            <w:tcW w:w="1217" w:type="dxa"/>
          </w:tcPr>
          <w:p w14:paraId="66A989EB">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财产损失、火灾及爆炸风险、污染地表水、地下水及地表植被、危害人体健康等</w:t>
            </w:r>
          </w:p>
        </w:tc>
      </w:tr>
      <w:tr w14:paraId="008F37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restart"/>
          </w:tcPr>
          <w:p w14:paraId="3AA6C026">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固废泄漏</w:t>
            </w:r>
          </w:p>
        </w:tc>
        <w:tc>
          <w:tcPr>
            <w:tcW w:w="1216" w:type="dxa"/>
            <w:vMerge w:val="restart"/>
          </w:tcPr>
          <w:p w14:paraId="0B432AB7">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固废泄漏风险</w:t>
            </w:r>
          </w:p>
        </w:tc>
        <w:tc>
          <w:tcPr>
            <w:tcW w:w="1216" w:type="dxa"/>
          </w:tcPr>
          <w:p w14:paraId="5F3A6C5D">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污泥堆放点</w:t>
            </w:r>
          </w:p>
        </w:tc>
        <w:tc>
          <w:tcPr>
            <w:tcW w:w="1217" w:type="dxa"/>
            <w:vMerge w:val="restart"/>
          </w:tcPr>
          <w:p w14:paraId="67EFC4F4">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sz w:val="21"/>
                <w:szCs w:val="21"/>
              </w:rPr>
              <w:t>贮存暴露在露天，长期雨淋受潮、阳光照射、风吹</w:t>
            </w:r>
          </w:p>
        </w:tc>
        <w:tc>
          <w:tcPr>
            <w:tcW w:w="1217" w:type="dxa"/>
          </w:tcPr>
          <w:p w14:paraId="59A76DD9">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污水处理站及化粪池污泥</w:t>
            </w:r>
          </w:p>
        </w:tc>
        <w:tc>
          <w:tcPr>
            <w:tcW w:w="1217" w:type="dxa"/>
          </w:tcPr>
          <w:p w14:paraId="3BE5E54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污泥泄漏</w:t>
            </w:r>
          </w:p>
        </w:tc>
        <w:tc>
          <w:tcPr>
            <w:tcW w:w="1217" w:type="dxa"/>
            <w:vMerge w:val="restart"/>
          </w:tcPr>
          <w:p w14:paraId="5BC70C53">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财产损失、火灾及爆炸风险、污染地表水、地下水及地表植被</w:t>
            </w:r>
          </w:p>
        </w:tc>
      </w:tr>
      <w:tr w14:paraId="1963D7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continue"/>
          </w:tcPr>
          <w:p w14:paraId="481DA4BB">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vMerge w:val="continue"/>
          </w:tcPr>
          <w:p w14:paraId="44307D3F">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tcPr>
          <w:p w14:paraId="3671367C">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医废暂存间</w:t>
            </w:r>
          </w:p>
        </w:tc>
        <w:tc>
          <w:tcPr>
            <w:tcW w:w="1217" w:type="dxa"/>
            <w:vMerge w:val="continue"/>
          </w:tcPr>
          <w:p w14:paraId="1245AE1D">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Align w:val="top"/>
          </w:tcPr>
          <w:p w14:paraId="3979B292">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医疗废物</w:t>
            </w:r>
          </w:p>
        </w:tc>
        <w:tc>
          <w:tcPr>
            <w:tcW w:w="1217" w:type="dxa"/>
          </w:tcPr>
          <w:p w14:paraId="444CC70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医废泄漏</w:t>
            </w:r>
          </w:p>
        </w:tc>
        <w:tc>
          <w:tcPr>
            <w:tcW w:w="1217" w:type="dxa"/>
            <w:vMerge w:val="continue"/>
          </w:tcPr>
          <w:p w14:paraId="4B7607F0">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r>
      <w:tr w14:paraId="48411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continue"/>
          </w:tcPr>
          <w:p w14:paraId="76D19E5E">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vMerge w:val="continue"/>
          </w:tcPr>
          <w:p w14:paraId="7A01195E">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6" w:type="dxa"/>
          </w:tcPr>
          <w:p w14:paraId="50A785BF">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危废暂存间</w:t>
            </w:r>
          </w:p>
        </w:tc>
        <w:tc>
          <w:tcPr>
            <w:tcW w:w="1217" w:type="dxa"/>
            <w:vMerge w:val="continue"/>
          </w:tcPr>
          <w:p w14:paraId="55107A5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c>
          <w:tcPr>
            <w:tcW w:w="1217" w:type="dxa"/>
            <w:vAlign w:val="top"/>
          </w:tcPr>
          <w:p w14:paraId="64723006">
            <w:pPr>
              <w:keepNext w:val="0"/>
              <w:keepLines w:val="0"/>
              <w:widowControl/>
              <w:suppressLineNumbers w:val="0"/>
              <w:jc w:val="left"/>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危险废物</w:t>
            </w:r>
          </w:p>
        </w:tc>
        <w:tc>
          <w:tcPr>
            <w:tcW w:w="1217" w:type="dxa"/>
          </w:tcPr>
          <w:p w14:paraId="7B5BA5C4">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危废泄漏</w:t>
            </w:r>
          </w:p>
        </w:tc>
        <w:tc>
          <w:tcPr>
            <w:tcW w:w="1217" w:type="dxa"/>
            <w:vMerge w:val="continue"/>
          </w:tcPr>
          <w:p w14:paraId="15BBEBD5">
            <w:pPr>
              <w:keepNext w:val="0"/>
              <w:keepLines w:val="0"/>
              <w:widowControl/>
              <w:suppressLineNumbers w:val="0"/>
              <w:jc w:val="cente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p>
        </w:tc>
      </w:tr>
      <w:tr w14:paraId="79934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restart"/>
          </w:tcPr>
          <w:p w14:paraId="18646AA9">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危险化学品泄漏</w:t>
            </w:r>
          </w:p>
        </w:tc>
        <w:tc>
          <w:tcPr>
            <w:tcW w:w="1216" w:type="dxa"/>
            <w:vMerge w:val="restart"/>
          </w:tcPr>
          <w:p w14:paraId="7D116E32">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危险化学品泄漏风险</w:t>
            </w:r>
          </w:p>
        </w:tc>
        <w:tc>
          <w:tcPr>
            <w:tcW w:w="1216" w:type="dxa"/>
          </w:tcPr>
          <w:p w14:paraId="3819ABF8">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污水处理站</w:t>
            </w:r>
          </w:p>
        </w:tc>
        <w:tc>
          <w:tcPr>
            <w:tcW w:w="1217" w:type="dxa"/>
            <w:vMerge w:val="restart"/>
          </w:tcPr>
          <w:p w14:paraId="6CA58363">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火灾及爆炸衍生的成品泄漏，收纳容器故障，或存储不当泄漏</w:t>
            </w:r>
          </w:p>
        </w:tc>
        <w:tc>
          <w:tcPr>
            <w:tcW w:w="1217" w:type="dxa"/>
          </w:tcPr>
          <w:p w14:paraId="639BA958">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二氧化氯</w:t>
            </w:r>
          </w:p>
        </w:tc>
        <w:tc>
          <w:tcPr>
            <w:tcW w:w="1217" w:type="dxa"/>
          </w:tcPr>
          <w:p w14:paraId="77C73A51">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二氧化氯泄漏</w:t>
            </w:r>
          </w:p>
        </w:tc>
        <w:tc>
          <w:tcPr>
            <w:tcW w:w="1217" w:type="dxa"/>
            <w:vMerge w:val="restart"/>
          </w:tcPr>
          <w:p w14:paraId="782403C7">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财产损失、污染地表水、地下水及地表植被</w:t>
            </w:r>
          </w:p>
        </w:tc>
      </w:tr>
      <w:tr w14:paraId="2734E4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vMerge w:val="continue"/>
          </w:tcPr>
          <w:p w14:paraId="18D97DD3">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p>
        </w:tc>
        <w:tc>
          <w:tcPr>
            <w:tcW w:w="1216" w:type="dxa"/>
            <w:vMerge w:val="continue"/>
          </w:tcPr>
          <w:p w14:paraId="798A2D49">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p>
        </w:tc>
        <w:tc>
          <w:tcPr>
            <w:tcW w:w="1216" w:type="dxa"/>
          </w:tcPr>
          <w:p w14:paraId="7D197BA9">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备用发电机</w:t>
            </w:r>
          </w:p>
        </w:tc>
        <w:tc>
          <w:tcPr>
            <w:tcW w:w="1217" w:type="dxa"/>
            <w:vMerge w:val="continue"/>
          </w:tcPr>
          <w:p w14:paraId="64DD85A6">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p>
        </w:tc>
        <w:tc>
          <w:tcPr>
            <w:tcW w:w="1217" w:type="dxa"/>
          </w:tcPr>
          <w:p w14:paraId="5E9F9372">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柴油</w:t>
            </w:r>
          </w:p>
        </w:tc>
        <w:tc>
          <w:tcPr>
            <w:tcW w:w="1217" w:type="dxa"/>
          </w:tcPr>
          <w:p w14:paraId="27ACF1ED">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柴油泄漏</w:t>
            </w:r>
          </w:p>
        </w:tc>
        <w:tc>
          <w:tcPr>
            <w:tcW w:w="1217" w:type="dxa"/>
            <w:vMerge w:val="continue"/>
          </w:tcPr>
          <w:p w14:paraId="02FE29B0">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p>
        </w:tc>
      </w:tr>
      <w:tr w14:paraId="1E0508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16" w:type="dxa"/>
            <w:vMerge w:val="continue"/>
          </w:tcPr>
          <w:p w14:paraId="5737F19F">
            <w:pPr>
              <w:keepNext w:val="0"/>
              <w:keepLines w:val="0"/>
              <w:widowControl/>
              <w:suppressLineNumbers w:val="0"/>
              <w:jc w:val="left"/>
              <w:rPr>
                <w:rFonts w:hint="default" w:ascii="Times New Roman" w:hAnsi="Times New Roman" w:eastAsia="宋体" w:cs="Times New Roman"/>
                <w:b w:val="0"/>
                <w:bCs w:val="0"/>
                <w:color w:val="auto"/>
                <w:sz w:val="21"/>
                <w:szCs w:val="21"/>
              </w:rPr>
            </w:pPr>
          </w:p>
        </w:tc>
        <w:tc>
          <w:tcPr>
            <w:tcW w:w="1216" w:type="dxa"/>
            <w:vMerge w:val="continue"/>
          </w:tcPr>
          <w:p w14:paraId="308AFF2B">
            <w:pPr>
              <w:keepNext w:val="0"/>
              <w:keepLines w:val="0"/>
              <w:widowControl/>
              <w:suppressLineNumbers w:val="0"/>
              <w:jc w:val="left"/>
              <w:rPr>
                <w:rFonts w:hint="default" w:ascii="Times New Roman" w:hAnsi="Times New Roman" w:eastAsia="宋体" w:cs="Times New Roman"/>
                <w:b w:val="0"/>
                <w:bCs w:val="0"/>
                <w:color w:val="auto"/>
                <w:sz w:val="21"/>
                <w:szCs w:val="21"/>
              </w:rPr>
            </w:pPr>
          </w:p>
        </w:tc>
        <w:tc>
          <w:tcPr>
            <w:tcW w:w="1216" w:type="dxa"/>
          </w:tcPr>
          <w:p w14:paraId="6D662221">
            <w:pPr>
              <w:keepNext w:val="0"/>
              <w:keepLines w:val="0"/>
              <w:widowControl/>
              <w:suppressLineNumbers w:val="0"/>
              <w:jc w:val="left"/>
              <w:rPr>
                <w:rFonts w:hint="default" w:ascii="Times New Roman" w:hAnsi="Times New Roman" w:eastAsia="宋体" w:cs="Times New Roman"/>
                <w:b w:val="0"/>
                <w:bCs w:val="0"/>
                <w:color w:val="auto"/>
                <w:sz w:val="21"/>
                <w:szCs w:val="21"/>
              </w:rPr>
            </w:pPr>
          </w:p>
        </w:tc>
        <w:tc>
          <w:tcPr>
            <w:tcW w:w="1217" w:type="dxa"/>
            <w:vMerge w:val="continue"/>
          </w:tcPr>
          <w:p w14:paraId="3CA7E491">
            <w:pPr>
              <w:keepNext w:val="0"/>
              <w:keepLines w:val="0"/>
              <w:widowControl/>
              <w:suppressLineNumbers w:val="0"/>
              <w:jc w:val="left"/>
              <w:rPr>
                <w:rFonts w:hint="default" w:ascii="Times New Roman" w:hAnsi="Times New Roman" w:eastAsia="宋体" w:cs="Times New Roman"/>
                <w:b w:val="0"/>
                <w:bCs w:val="0"/>
                <w:color w:val="auto"/>
                <w:sz w:val="21"/>
                <w:szCs w:val="21"/>
              </w:rPr>
            </w:pPr>
          </w:p>
        </w:tc>
        <w:tc>
          <w:tcPr>
            <w:tcW w:w="1217" w:type="dxa"/>
          </w:tcPr>
          <w:p w14:paraId="1AE5F47B">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乙醇</w:t>
            </w:r>
          </w:p>
        </w:tc>
        <w:tc>
          <w:tcPr>
            <w:tcW w:w="1217" w:type="dxa"/>
          </w:tcPr>
          <w:p w14:paraId="2F4B0C36">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乙醇泄漏</w:t>
            </w:r>
          </w:p>
        </w:tc>
        <w:tc>
          <w:tcPr>
            <w:tcW w:w="1217" w:type="dxa"/>
            <w:vMerge w:val="continue"/>
          </w:tcPr>
          <w:p w14:paraId="214C829F">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p>
        </w:tc>
      </w:tr>
      <w:tr w14:paraId="3644A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tcPr>
          <w:p w14:paraId="12DC7704">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运输泄漏</w:t>
            </w:r>
          </w:p>
        </w:tc>
        <w:tc>
          <w:tcPr>
            <w:tcW w:w="1216" w:type="dxa"/>
          </w:tcPr>
          <w:p w14:paraId="3BAE60E0">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运输泄漏风险</w:t>
            </w:r>
          </w:p>
        </w:tc>
        <w:tc>
          <w:tcPr>
            <w:tcW w:w="1216" w:type="dxa"/>
          </w:tcPr>
          <w:p w14:paraId="200B65BA">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危化品、医废运输车</w:t>
            </w:r>
          </w:p>
        </w:tc>
        <w:tc>
          <w:tcPr>
            <w:tcW w:w="1217" w:type="dxa"/>
          </w:tcPr>
          <w:p w14:paraId="3208E0FD">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侧翻</w:t>
            </w:r>
          </w:p>
        </w:tc>
        <w:tc>
          <w:tcPr>
            <w:tcW w:w="1217" w:type="dxa"/>
          </w:tcPr>
          <w:p w14:paraId="707E3632">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危化品、医废</w:t>
            </w:r>
          </w:p>
        </w:tc>
        <w:tc>
          <w:tcPr>
            <w:tcW w:w="1217" w:type="dxa"/>
          </w:tcPr>
          <w:p w14:paraId="092DF42E">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危化品、医废泄漏</w:t>
            </w:r>
          </w:p>
        </w:tc>
        <w:tc>
          <w:tcPr>
            <w:tcW w:w="1217" w:type="dxa"/>
          </w:tcPr>
          <w:p w14:paraId="104A5A08">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财产损失、火灾及爆炸风险、污染地表水、地下水及地表植被</w:t>
            </w:r>
          </w:p>
        </w:tc>
      </w:tr>
      <w:tr w14:paraId="66FD8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6" w:type="dxa"/>
          </w:tcPr>
          <w:p w14:paraId="2AEB738D">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火灾及爆炸</w:t>
            </w:r>
          </w:p>
        </w:tc>
        <w:tc>
          <w:tcPr>
            <w:tcW w:w="1216" w:type="dxa"/>
          </w:tcPr>
          <w:p w14:paraId="531FDD37">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火灾及爆炸风险</w:t>
            </w:r>
          </w:p>
        </w:tc>
        <w:tc>
          <w:tcPr>
            <w:tcW w:w="1216" w:type="dxa"/>
          </w:tcPr>
          <w:p w14:paraId="50BBA664">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液氧使用区、配电室、备用柴油发电机、高压灭菌器、配电室、配电线路</w:t>
            </w:r>
          </w:p>
        </w:tc>
        <w:tc>
          <w:tcPr>
            <w:tcW w:w="1217" w:type="dxa"/>
          </w:tcPr>
          <w:p w14:paraId="1B39E611">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运行</w:t>
            </w:r>
          </w:p>
        </w:tc>
        <w:tc>
          <w:tcPr>
            <w:tcW w:w="1217" w:type="dxa"/>
          </w:tcPr>
          <w:p w14:paraId="32F6A285">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火灾及爆炸衍生医疗废水、医疗固废泄漏突发环境事件</w:t>
            </w:r>
          </w:p>
        </w:tc>
        <w:tc>
          <w:tcPr>
            <w:tcW w:w="1217" w:type="dxa"/>
          </w:tcPr>
          <w:p w14:paraId="74E107DC">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爆炸、火灾</w:t>
            </w:r>
          </w:p>
        </w:tc>
        <w:tc>
          <w:tcPr>
            <w:tcW w:w="1217" w:type="dxa"/>
          </w:tcPr>
          <w:p w14:paraId="21750407">
            <w:pPr>
              <w:keepNext w:val="0"/>
              <w:keepLines w:val="0"/>
              <w:widowControl/>
              <w:suppressLineNumbers w:val="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损害人体健康、人员伤亡、财产损失、环境污染等</w:t>
            </w:r>
          </w:p>
        </w:tc>
      </w:tr>
    </w:tbl>
    <w:p w14:paraId="427B43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通过现场踏勘、收集资料整理，项目涉及的危险物质主要为二氧化氯和柴油。其理化性质见下表。</w:t>
      </w:r>
    </w:p>
    <w:p w14:paraId="11E954C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522" w:name="_Toc25883"/>
      <w:bookmarkStart w:id="2523" w:name="_Toc2295"/>
      <w:bookmarkStart w:id="2524" w:name="_Toc13526"/>
      <w:bookmarkStart w:id="2525" w:name="_Toc24970"/>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表7.3-2 二氧化氯理化性质一览表</w:t>
      </w:r>
      <w:bookmarkEnd w:id="2522"/>
      <w:bookmarkEnd w:id="2523"/>
      <w:bookmarkEnd w:id="2524"/>
      <w:bookmarkEnd w:id="2525"/>
    </w:p>
    <w:tbl>
      <w:tblPr>
        <w:tblStyle w:val="21"/>
        <w:tblW w:w="845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951"/>
        <w:gridCol w:w="891"/>
        <w:gridCol w:w="13"/>
        <w:gridCol w:w="1100"/>
        <w:gridCol w:w="1187"/>
        <w:gridCol w:w="1250"/>
        <w:gridCol w:w="975"/>
      </w:tblGrid>
      <w:tr w14:paraId="5E28F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restart"/>
            <w:vAlign w:val="center"/>
          </w:tcPr>
          <w:p w14:paraId="29486401">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标识</w:t>
            </w:r>
          </w:p>
        </w:tc>
        <w:tc>
          <w:tcPr>
            <w:tcW w:w="2855" w:type="dxa"/>
            <w:gridSpan w:val="3"/>
            <w:vAlign w:val="center"/>
          </w:tcPr>
          <w:p w14:paraId="15E1D8D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中文名：二氧化氯</w:t>
            </w:r>
          </w:p>
        </w:tc>
        <w:tc>
          <w:tcPr>
            <w:tcW w:w="4512" w:type="dxa"/>
            <w:gridSpan w:val="4"/>
            <w:vAlign w:val="center"/>
          </w:tcPr>
          <w:p w14:paraId="3E2EC16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危险化学品目录序号：640</w:t>
            </w:r>
          </w:p>
        </w:tc>
      </w:tr>
      <w:tr w14:paraId="63171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083C97A0">
            <w:pPr>
              <w:jc w:val="center"/>
              <w:rPr>
                <w:rFonts w:hint="default" w:ascii="Times New Roman" w:hAnsi="Times New Roman" w:eastAsia="宋体" w:cs="Times New Roman"/>
                <w:b/>
                <w:bCs/>
                <w:color w:val="auto"/>
                <w:sz w:val="21"/>
                <w:szCs w:val="24"/>
                <w:vertAlign w:val="baseline"/>
                <w:lang w:val="en-US" w:eastAsia="zh-CN"/>
              </w:rPr>
            </w:pPr>
          </w:p>
        </w:tc>
        <w:tc>
          <w:tcPr>
            <w:tcW w:w="2855" w:type="dxa"/>
            <w:gridSpan w:val="3"/>
            <w:vAlign w:val="center"/>
          </w:tcPr>
          <w:p w14:paraId="41D3F2C4">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英文名：Chlorine  Dioxid</w:t>
            </w:r>
          </w:p>
        </w:tc>
        <w:tc>
          <w:tcPr>
            <w:tcW w:w="4512" w:type="dxa"/>
            <w:gridSpan w:val="4"/>
            <w:vAlign w:val="center"/>
          </w:tcPr>
          <w:p w14:paraId="644E769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UN编号：9191</w:t>
            </w:r>
          </w:p>
        </w:tc>
      </w:tr>
      <w:tr w14:paraId="57980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2BE99FA7">
            <w:pPr>
              <w:jc w:val="center"/>
              <w:rPr>
                <w:rFonts w:hint="default" w:ascii="Times New Roman" w:hAnsi="Times New Roman" w:eastAsia="宋体" w:cs="Times New Roman"/>
                <w:b/>
                <w:bCs/>
                <w:color w:val="auto"/>
                <w:sz w:val="21"/>
                <w:szCs w:val="24"/>
                <w:vertAlign w:val="baseline"/>
                <w:lang w:val="en-US" w:eastAsia="zh-CN"/>
              </w:rPr>
            </w:pPr>
          </w:p>
        </w:tc>
        <w:tc>
          <w:tcPr>
            <w:tcW w:w="2842" w:type="dxa"/>
            <w:gridSpan w:val="2"/>
            <w:vAlign w:val="center"/>
          </w:tcPr>
          <w:p w14:paraId="0F2E03ED">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分子式：ClO</w:t>
            </w:r>
            <w:r>
              <w:rPr>
                <w:rFonts w:hint="default" w:ascii="Times New Roman" w:hAnsi="Times New Roman" w:eastAsia="宋体" w:cs="Times New Roman"/>
                <w:b w:val="0"/>
                <w:bCs w:val="0"/>
                <w:color w:val="auto"/>
                <w:sz w:val="21"/>
                <w:szCs w:val="24"/>
                <w:vertAlign w:val="subscript"/>
                <w:lang w:val="en-US" w:eastAsia="zh-CN"/>
              </w:rPr>
              <w:t>2</w:t>
            </w:r>
          </w:p>
        </w:tc>
        <w:tc>
          <w:tcPr>
            <w:tcW w:w="2300" w:type="dxa"/>
            <w:gridSpan w:val="3"/>
            <w:vAlign w:val="center"/>
          </w:tcPr>
          <w:p w14:paraId="3C8C6194">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分子量：67.45</w:t>
            </w:r>
          </w:p>
        </w:tc>
        <w:tc>
          <w:tcPr>
            <w:tcW w:w="2225" w:type="dxa"/>
            <w:gridSpan w:val="2"/>
            <w:vAlign w:val="center"/>
          </w:tcPr>
          <w:p w14:paraId="00026DA0">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CAS号：10049-04-4</w:t>
            </w:r>
          </w:p>
        </w:tc>
      </w:tr>
      <w:tr w14:paraId="06086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restart"/>
            <w:vAlign w:val="center"/>
          </w:tcPr>
          <w:p w14:paraId="51686567">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理化性质</w:t>
            </w:r>
          </w:p>
        </w:tc>
        <w:tc>
          <w:tcPr>
            <w:tcW w:w="1951" w:type="dxa"/>
            <w:vAlign w:val="center"/>
          </w:tcPr>
          <w:p w14:paraId="6188DD04">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外观与性状</w:t>
            </w:r>
          </w:p>
        </w:tc>
        <w:tc>
          <w:tcPr>
            <w:tcW w:w="5416" w:type="dxa"/>
            <w:gridSpan w:val="6"/>
            <w:vAlign w:val="center"/>
          </w:tcPr>
          <w:p w14:paraId="63D8D667">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黄绿色气体，有刺激性气味。</w:t>
            </w:r>
          </w:p>
        </w:tc>
      </w:tr>
      <w:tr w14:paraId="062985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6D0765A7">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5D816DF1">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熔点（℃）</w:t>
            </w:r>
          </w:p>
        </w:tc>
        <w:tc>
          <w:tcPr>
            <w:tcW w:w="891" w:type="dxa"/>
            <w:vAlign w:val="center"/>
          </w:tcPr>
          <w:p w14:paraId="03BE8C7A">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-59</w:t>
            </w:r>
          </w:p>
        </w:tc>
        <w:tc>
          <w:tcPr>
            <w:tcW w:w="1113" w:type="dxa"/>
            <w:gridSpan w:val="2"/>
            <w:vAlign w:val="center"/>
          </w:tcPr>
          <w:p w14:paraId="04CCB7BC">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相对密度（水=1）</w:t>
            </w:r>
          </w:p>
        </w:tc>
        <w:tc>
          <w:tcPr>
            <w:tcW w:w="1187" w:type="dxa"/>
            <w:vAlign w:val="center"/>
          </w:tcPr>
          <w:p w14:paraId="148EEDF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3.09</w:t>
            </w:r>
          </w:p>
        </w:tc>
        <w:tc>
          <w:tcPr>
            <w:tcW w:w="1250" w:type="dxa"/>
            <w:vAlign w:val="center"/>
          </w:tcPr>
          <w:p w14:paraId="64B63A25">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相对密度（空气=1）</w:t>
            </w:r>
          </w:p>
        </w:tc>
        <w:tc>
          <w:tcPr>
            <w:tcW w:w="975" w:type="dxa"/>
            <w:vAlign w:val="center"/>
          </w:tcPr>
          <w:p w14:paraId="30485E0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2.3</w:t>
            </w:r>
          </w:p>
        </w:tc>
      </w:tr>
      <w:tr w14:paraId="55AC8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527ECCE0">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361EF292">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沸点（℃）</w:t>
            </w:r>
          </w:p>
        </w:tc>
        <w:tc>
          <w:tcPr>
            <w:tcW w:w="891" w:type="dxa"/>
            <w:vAlign w:val="center"/>
          </w:tcPr>
          <w:p w14:paraId="035BCABB">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9.9</w:t>
            </w:r>
          </w:p>
        </w:tc>
        <w:tc>
          <w:tcPr>
            <w:tcW w:w="2300" w:type="dxa"/>
            <w:gridSpan w:val="3"/>
            <w:vAlign w:val="center"/>
          </w:tcPr>
          <w:p w14:paraId="616344DD">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饱和蒸汽压（kPa）</w:t>
            </w:r>
          </w:p>
        </w:tc>
        <w:tc>
          <w:tcPr>
            <w:tcW w:w="2225" w:type="dxa"/>
            <w:gridSpan w:val="2"/>
            <w:vAlign w:val="center"/>
          </w:tcPr>
          <w:p w14:paraId="7F1D5B91">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r>
      <w:tr w14:paraId="47D47C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4B68EAA1">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7CC4C547">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溶解性</w:t>
            </w:r>
          </w:p>
        </w:tc>
        <w:tc>
          <w:tcPr>
            <w:tcW w:w="5416" w:type="dxa"/>
            <w:gridSpan w:val="6"/>
            <w:vAlign w:val="center"/>
          </w:tcPr>
          <w:p w14:paraId="2AC95DD2">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极易溶于水。</w:t>
            </w:r>
          </w:p>
        </w:tc>
      </w:tr>
      <w:tr w14:paraId="4E446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vMerge w:val="restart"/>
            <w:vAlign w:val="center"/>
          </w:tcPr>
          <w:p w14:paraId="5093584E">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毒性及健康危害</w:t>
            </w:r>
          </w:p>
        </w:tc>
        <w:tc>
          <w:tcPr>
            <w:tcW w:w="1951" w:type="dxa"/>
            <w:vAlign w:val="center"/>
          </w:tcPr>
          <w:p w14:paraId="12370AD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侵入途径</w:t>
            </w:r>
          </w:p>
        </w:tc>
        <w:tc>
          <w:tcPr>
            <w:tcW w:w="5416" w:type="dxa"/>
            <w:gridSpan w:val="6"/>
            <w:vAlign w:val="center"/>
          </w:tcPr>
          <w:p w14:paraId="59AE36F0">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吸入、食入、经皮吸收。</w:t>
            </w:r>
          </w:p>
        </w:tc>
      </w:tr>
      <w:tr w14:paraId="34F162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5BD104A4">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286C690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毒性</w:t>
            </w:r>
          </w:p>
        </w:tc>
        <w:tc>
          <w:tcPr>
            <w:tcW w:w="5416" w:type="dxa"/>
            <w:gridSpan w:val="6"/>
            <w:vAlign w:val="center"/>
          </w:tcPr>
          <w:p w14:paraId="5FB3985C">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r>
      <w:tr w14:paraId="1B006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20BBCD2A">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5CD270F7">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健康危害</w:t>
            </w:r>
          </w:p>
        </w:tc>
        <w:tc>
          <w:tcPr>
            <w:tcW w:w="5416" w:type="dxa"/>
            <w:gridSpan w:val="6"/>
            <w:vAlign w:val="center"/>
          </w:tcPr>
          <w:p w14:paraId="0C46EC30">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本品具有强烈刺激性。接触后主要引起眼和呼吸道刺激。吸入高浓度可发生肺水肿，能致死。对呼吸道产生严重损伤浓度的本品气体，可能对皮肤有刺激性。皮肤接触或摄入本品的高浓度溶液，可引起强烈刺激和腐蚀。长期接触可导致慢性支气管炎。</w:t>
            </w:r>
          </w:p>
        </w:tc>
      </w:tr>
      <w:tr w14:paraId="43EC1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restart"/>
            <w:vAlign w:val="center"/>
          </w:tcPr>
          <w:p w14:paraId="332B5ACF">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燃烧爆炸危险性</w:t>
            </w:r>
          </w:p>
        </w:tc>
        <w:tc>
          <w:tcPr>
            <w:tcW w:w="1951" w:type="dxa"/>
            <w:vAlign w:val="center"/>
          </w:tcPr>
          <w:p w14:paraId="5957410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燃烧性</w:t>
            </w:r>
          </w:p>
        </w:tc>
        <w:tc>
          <w:tcPr>
            <w:tcW w:w="904" w:type="dxa"/>
            <w:gridSpan w:val="2"/>
            <w:vAlign w:val="center"/>
          </w:tcPr>
          <w:p w14:paraId="5A3F531A">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助燃</w:t>
            </w:r>
          </w:p>
        </w:tc>
        <w:tc>
          <w:tcPr>
            <w:tcW w:w="2287" w:type="dxa"/>
            <w:gridSpan w:val="2"/>
            <w:vAlign w:val="center"/>
          </w:tcPr>
          <w:p w14:paraId="7D37CBBA">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燃烧分解物</w:t>
            </w:r>
          </w:p>
        </w:tc>
        <w:tc>
          <w:tcPr>
            <w:tcW w:w="2225" w:type="dxa"/>
            <w:gridSpan w:val="2"/>
            <w:vAlign w:val="center"/>
          </w:tcPr>
          <w:p w14:paraId="4D897A30">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氯化氢</w:t>
            </w:r>
          </w:p>
        </w:tc>
      </w:tr>
      <w:tr w14:paraId="3195A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2583795D">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2F8AEEC3">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闪点（℃）</w:t>
            </w:r>
          </w:p>
        </w:tc>
        <w:tc>
          <w:tcPr>
            <w:tcW w:w="904" w:type="dxa"/>
            <w:gridSpan w:val="2"/>
            <w:vAlign w:val="center"/>
          </w:tcPr>
          <w:p w14:paraId="2ED19A1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c>
          <w:tcPr>
            <w:tcW w:w="2287" w:type="dxa"/>
            <w:gridSpan w:val="2"/>
            <w:vAlign w:val="center"/>
          </w:tcPr>
          <w:p w14:paraId="0B864E36">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爆炸上限（%）</w:t>
            </w:r>
          </w:p>
        </w:tc>
        <w:tc>
          <w:tcPr>
            <w:tcW w:w="2225" w:type="dxa"/>
            <w:gridSpan w:val="2"/>
            <w:vAlign w:val="center"/>
          </w:tcPr>
          <w:p w14:paraId="1C700FD7">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r>
      <w:tr w14:paraId="622E02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5D8E9C2B">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5D70BB3E">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引燃温度（℃）</w:t>
            </w:r>
          </w:p>
        </w:tc>
        <w:tc>
          <w:tcPr>
            <w:tcW w:w="904" w:type="dxa"/>
            <w:gridSpan w:val="2"/>
            <w:vAlign w:val="center"/>
          </w:tcPr>
          <w:p w14:paraId="65DEF6E1">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c>
          <w:tcPr>
            <w:tcW w:w="2287" w:type="dxa"/>
            <w:gridSpan w:val="2"/>
            <w:vAlign w:val="center"/>
          </w:tcPr>
          <w:p w14:paraId="496CD30F">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爆炸下限（%）</w:t>
            </w:r>
          </w:p>
        </w:tc>
        <w:tc>
          <w:tcPr>
            <w:tcW w:w="2225" w:type="dxa"/>
            <w:gridSpan w:val="2"/>
            <w:vAlign w:val="center"/>
          </w:tcPr>
          <w:p w14:paraId="21321A82">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无资料</w:t>
            </w:r>
          </w:p>
        </w:tc>
      </w:tr>
      <w:tr w14:paraId="07B816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1CB5FFA2">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3DFB4D5B">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危险特性</w:t>
            </w:r>
          </w:p>
        </w:tc>
        <w:tc>
          <w:tcPr>
            <w:tcW w:w="5416" w:type="dxa"/>
            <w:gridSpan w:val="6"/>
            <w:vAlign w:val="center"/>
          </w:tcPr>
          <w:p w14:paraId="1AA886FA">
            <w:pPr>
              <w:jc w:val="both"/>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具有强氧化性。能与许多化学物质发生爆炸性反应。对热、震动、撞击和摩擦相当敏感，极易分解发生爆炸。</w:t>
            </w:r>
          </w:p>
        </w:tc>
      </w:tr>
      <w:tr w14:paraId="05B449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Merge w:val="continue"/>
            <w:vAlign w:val="center"/>
          </w:tcPr>
          <w:p w14:paraId="3C8D5AC6">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44D6EB5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禁忌物</w:t>
            </w:r>
          </w:p>
        </w:tc>
        <w:tc>
          <w:tcPr>
            <w:tcW w:w="5416" w:type="dxa"/>
            <w:gridSpan w:val="6"/>
            <w:vAlign w:val="center"/>
          </w:tcPr>
          <w:p w14:paraId="58D20CF8">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还原剂、易燃或可燃物、活性金属粉末。</w:t>
            </w:r>
          </w:p>
        </w:tc>
      </w:tr>
      <w:tr w14:paraId="25AF4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vMerge w:val="continue"/>
            <w:vAlign w:val="center"/>
          </w:tcPr>
          <w:p w14:paraId="72840560">
            <w:pPr>
              <w:jc w:val="center"/>
              <w:rPr>
                <w:rFonts w:hint="default" w:ascii="Times New Roman" w:hAnsi="Times New Roman" w:eastAsia="宋体" w:cs="Times New Roman"/>
                <w:b/>
                <w:bCs/>
                <w:color w:val="auto"/>
                <w:sz w:val="21"/>
                <w:szCs w:val="24"/>
                <w:vertAlign w:val="baseline"/>
                <w:lang w:val="en-US" w:eastAsia="zh-CN"/>
              </w:rPr>
            </w:pPr>
          </w:p>
        </w:tc>
        <w:tc>
          <w:tcPr>
            <w:tcW w:w="1951" w:type="dxa"/>
            <w:vAlign w:val="center"/>
          </w:tcPr>
          <w:p w14:paraId="098666AB">
            <w:pPr>
              <w:jc w:val="center"/>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灭火方法</w:t>
            </w:r>
          </w:p>
        </w:tc>
        <w:tc>
          <w:tcPr>
            <w:tcW w:w="5416" w:type="dxa"/>
            <w:gridSpan w:val="6"/>
            <w:vAlign w:val="center"/>
          </w:tcPr>
          <w:p w14:paraId="342B929D">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消防人员必须佩戴过滤式防毒面具（全面罩）或隔离式呼吸器、穿全身防火防毒服，在上风向灭火。迅速切断气源，用水喷淋保护切断气源的人员，然后根据着火原因选择适当灭火剂灭火。尽可能将容器从火场移至空旷处。喷水保持火场容器冷却，直至灭火结束。</w:t>
            </w:r>
          </w:p>
        </w:tc>
      </w:tr>
      <w:tr w14:paraId="4798B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Align w:val="center"/>
          </w:tcPr>
          <w:p w14:paraId="08ED0AAE">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急救防范</w:t>
            </w:r>
          </w:p>
        </w:tc>
        <w:tc>
          <w:tcPr>
            <w:tcW w:w="7367" w:type="dxa"/>
            <w:gridSpan w:val="7"/>
            <w:vAlign w:val="center"/>
          </w:tcPr>
          <w:p w14:paraId="5D21559C">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皮肤接触：</w:t>
            </w:r>
            <w:r>
              <w:rPr>
                <w:rFonts w:hint="default" w:ascii="Times New Roman" w:hAnsi="Times New Roman" w:eastAsia="宋体" w:cs="Times New Roman"/>
                <w:b w:val="0"/>
                <w:bCs w:val="0"/>
                <w:color w:val="auto"/>
                <w:sz w:val="21"/>
                <w:szCs w:val="24"/>
                <w:vertAlign w:val="baseline"/>
                <w:lang w:val="en-US" w:eastAsia="zh-CN"/>
              </w:rPr>
              <w:t>立即脱去污染的衣着，用大量流动清水冲洗至少15分钟。就医。</w:t>
            </w:r>
          </w:p>
          <w:p w14:paraId="3CAD44DE">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眼睛接触：</w:t>
            </w:r>
            <w:r>
              <w:rPr>
                <w:rFonts w:hint="default" w:ascii="Times New Roman" w:hAnsi="Times New Roman" w:eastAsia="宋体" w:cs="Times New Roman"/>
                <w:b w:val="0"/>
                <w:bCs w:val="0"/>
                <w:color w:val="auto"/>
                <w:sz w:val="21"/>
                <w:szCs w:val="24"/>
                <w:vertAlign w:val="baseline"/>
                <w:lang w:val="en-US" w:eastAsia="zh-CN"/>
              </w:rPr>
              <w:t>立即提起眼睑，用大量流动清水或生理盐水彻底冲洗至少15分钟。就医。</w:t>
            </w:r>
          </w:p>
          <w:p w14:paraId="59B4D970">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吸入：</w:t>
            </w:r>
            <w:r>
              <w:rPr>
                <w:rFonts w:hint="default" w:ascii="Times New Roman" w:hAnsi="Times New Roman" w:eastAsia="宋体" w:cs="Times New Roman"/>
                <w:b w:val="0"/>
                <w:bCs w:val="0"/>
                <w:color w:val="auto"/>
                <w:sz w:val="21"/>
                <w:szCs w:val="24"/>
                <w:vertAlign w:val="baseline"/>
                <w:lang w:val="en-US" w:eastAsia="zh-CN"/>
              </w:rPr>
              <w:t>迅速脱离现场至空气新鲜处。保持呼吸道通畅。如呼吸困难，给输氧。如呼吸停止，立即进行人工呼吸。就医。</w:t>
            </w:r>
          </w:p>
          <w:p w14:paraId="1863D3A7">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食入：</w:t>
            </w:r>
            <w:r>
              <w:rPr>
                <w:rFonts w:hint="default" w:ascii="Times New Roman" w:hAnsi="Times New Roman" w:eastAsia="宋体" w:cs="Times New Roman"/>
                <w:b w:val="0"/>
                <w:bCs w:val="0"/>
                <w:color w:val="auto"/>
                <w:sz w:val="21"/>
                <w:szCs w:val="24"/>
                <w:vertAlign w:val="baseline"/>
                <w:lang w:val="en-US" w:eastAsia="zh-CN"/>
              </w:rPr>
              <w:t>用水漱口，给饮牛奶或蛋清。就医。</w:t>
            </w:r>
          </w:p>
        </w:tc>
      </w:tr>
      <w:tr w14:paraId="09F51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92" w:type="dxa"/>
            <w:vAlign w:val="center"/>
          </w:tcPr>
          <w:p w14:paraId="7B7CCD1E">
            <w:pPr>
              <w:jc w:val="center"/>
              <w:rPr>
                <w:rFonts w:hint="default" w:ascii="Times New Roman" w:hAnsi="Times New Roman" w:eastAsia="宋体" w:cs="Times New Roman"/>
                <w:b/>
                <w:bCs/>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储运条件</w:t>
            </w:r>
          </w:p>
        </w:tc>
        <w:tc>
          <w:tcPr>
            <w:tcW w:w="7367" w:type="dxa"/>
            <w:gridSpan w:val="7"/>
            <w:vAlign w:val="center"/>
          </w:tcPr>
          <w:p w14:paraId="48A8AFE3">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储存注意事项：</w:t>
            </w:r>
            <w:r>
              <w:rPr>
                <w:rFonts w:hint="default" w:ascii="Times New Roman" w:hAnsi="Times New Roman" w:eastAsia="宋体" w:cs="Times New Roman"/>
                <w:b w:val="0"/>
                <w:bCs w:val="0"/>
                <w:color w:val="auto"/>
                <w:sz w:val="21"/>
                <w:szCs w:val="24"/>
                <w:vertAlign w:val="baseline"/>
                <w:lang w:val="en-US" w:eastAsia="zh-CN"/>
              </w:rPr>
              <w:t>储存于阴凉、通风的库房。远离火种、热源。保持容器密封。应与易（可）燃物、还原剂等分开存放，切忌混储。储区应备有泄漏应急处理设备。</w:t>
            </w:r>
          </w:p>
          <w:p w14:paraId="28B59102">
            <w:pPr>
              <w:jc w:val="left"/>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bCs/>
                <w:color w:val="auto"/>
                <w:sz w:val="21"/>
                <w:szCs w:val="24"/>
                <w:vertAlign w:val="baseline"/>
                <w:lang w:val="en-US" w:eastAsia="zh-CN"/>
              </w:rPr>
              <w:t>运输注意事项：</w:t>
            </w:r>
            <w:r>
              <w:rPr>
                <w:rFonts w:hint="default" w:ascii="Times New Roman" w:hAnsi="Times New Roman" w:eastAsia="宋体" w:cs="Times New Roman"/>
                <w:b w:val="0"/>
                <w:bCs w:val="0"/>
                <w:color w:val="auto"/>
                <w:sz w:val="21"/>
                <w:szCs w:val="24"/>
                <w:vertAlign w:val="baseline"/>
                <w:lang w:val="en-US" w:eastAsia="zh-CN"/>
              </w:rPr>
              <w:t>铁路运输时应严格按照《危险货物运输规则》中的危险货物配装表进行配装。采用钢瓶运输时必须戴好钢瓶上的安全帽。钢瓶一般平放，并应将瓶口朝同一方向，不可交叉；高度不得超过车辆的防护栏板，并用三角木垫卡牢，防止滚动。严禁与易燃物或可燃物、还原剂、食用化学品等混装混运。夏季应早晚运输，防止日光暴晒。公路运输时要按规定路线行驶，禁止在居民区和人口稠密区停留。铁路运输时要禁止溜放。</w:t>
            </w:r>
          </w:p>
        </w:tc>
      </w:tr>
    </w:tbl>
    <w:p w14:paraId="388CE9F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bookmarkStart w:id="2526" w:name="_Toc12775"/>
      <w:bookmarkStart w:id="2527" w:name="_Toc1726"/>
      <w:bookmarkStart w:id="2528" w:name="_Toc16902"/>
      <w:bookmarkStart w:id="2529" w:name="_Toc23028"/>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表7.3-3 柴油理化性质一览表</w:t>
      </w:r>
      <w:bookmarkEnd w:id="2526"/>
      <w:bookmarkEnd w:id="2527"/>
      <w:bookmarkEnd w:id="2528"/>
      <w:bookmarkEnd w:id="2529"/>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506"/>
        <w:gridCol w:w="197"/>
        <w:gridCol w:w="1703"/>
        <w:gridCol w:w="1703"/>
        <w:gridCol w:w="1704"/>
      </w:tblGrid>
      <w:tr w14:paraId="5AFC9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03" w:type="dxa"/>
            <w:vAlign w:val="center"/>
          </w:tcPr>
          <w:p w14:paraId="02FEC59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530" w:name="_Toc1294"/>
            <w:bookmarkStart w:id="2531" w:name="_Toc25730"/>
            <w:bookmarkStart w:id="2532" w:name="_Toc29672"/>
            <w:bookmarkStart w:id="2533" w:name="_Toc5436"/>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品名</w:t>
            </w:r>
            <w:bookmarkEnd w:id="2530"/>
            <w:bookmarkEnd w:id="2531"/>
            <w:bookmarkEnd w:id="2532"/>
            <w:bookmarkEnd w:id="2533"/>
          </w:p>
        </w:tc>
        <w:tc>
          <w:tcPr>
            <w:tcW w:w="3406" w:type="dxa"/>
            <w:gridSpan w:val="3"/>
            <w:vAlign w:val="center"/>
          </w:tcPr>
          <w:p w14:paraId="389AE7C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34" w:name="_Toc9992"/>
            <w:bookmarkStart w:id="2535" w:name="_Toc13725"/>
            <w:bookmarkStart w:id="2536" w:name="_Toc15678"/>
            <w:bookmarkStart w:id="2537" w:name="_Toc21058"/>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柴油</w:t>
            </w:r>
            <w:bookmarkEnd w:id="2534"/>
            <w:bookmarkEnd w:id="2535"/>
            <w:bookmarkEnd w:id="2536"/>
            <w:bookmarkEnd w:id="2537"/>
          </w:p>
        </w:tc>
        <w:tc>
          <w:tcPr>
            <w:tcW w:w="1703" w:type="dxa"/>
            <w:vAlign w:val="center"/>
          </w:tcPr>
          <w:p w14:paraId="4CBD566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38" w:name="_Toc16988"/>
            <w:bookmarkStart w:id="2539" w:name="_Toc31947"/>
            <w:bookmarkStart w:id="2540" w:name="_Toc29701"/>
            <w:bookmarkStart w:id="2541" w:name="_Toc2126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英文名</w:t>
            </w:r>
            <w:bookmarkEnd w:id="2538"/>
            <w:bookmarkEnd w:id="2539"/>
            <w:bookmarkEnd w:id="2540"/>
            <w:bookmarkEnd w:id="2541"/>
          </w:p>
        </w:tc>
        <w:tc>
          <w:tcPr>
            <w:tcW w:w="1704" w:type="dxa"/>
            <w:vAlign w:val="center"/>
          </w:tcPr>
          <w:p w14:paraId="711BDE5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42" w:name="_Toc24501"/>
            <w:bookmarkStart w:id="2543" w:name="_Toc3505"/>
            <w:bookmarkStart w:id="2544" w:name="_Toc8718"/>
            <w:bookmarkStart w:id="2545" w:name="_Toc4304"/>
            <w:r>
              <w:rPr>
                <w:rFonts w:hint="default" w:ascii="Times New Roman" w:hAnsi="Times New Roman" w:eastAsia="宋体" w:cs="Times New Roman"/>
                <w:b w:val="0"/>
                <w:bCs w:val="0"/>
                <w:i w:val="0"/>
                <w:iCs w:val="0"/>
                <w:color w:val="auto"/>
                <w:spacing w:val="0"/>
                <w:kern w:val="0"/>
                <w:sz w:val="21"/>
                <w:szCs w:val="21"/>
                <w:shd w:val="clear" w:fill="FFFFFF"/>
                <w:vertAlign w:val="baseline"/>
                <w:lang w:val="en-US" w:eastAsia="zh-CN" w:bidi="ar"/>
              </w:rPr>
              <w:t>D</w:t>
            </w:r>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iesel oil</w:t>
            </w:r>
            <w:bookmarkEnd w:id="2542"/>
            <w:bookmarkEnd w:id="2543"/>
            <w:bookmarkEnd w:id="2544"/>
            <w:bookmarkEnd w:id="2545"/>
          </w:p>
        </w:tc>
      </w:tr>
      <w:tr w14:paraId="0AFC2E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5A0C6D0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546" w:name="_Toc10965"/>
            <w:bookmarkStart w:id="2547" w:name="_Toc10440"/>
            <w:bookmarkStart w:id="2548" w:name="_Toc5293"/>
            <w:bookmarkStart w:id="2549" w:name="_Toc16009"/>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理化性质</w:t>
            </w:r>
            <w:bookmarkEnd w:id="2546"/>
            <w:bookmarkEnd w:id="2547"/>
            <w:bookmarkEnd w:id="2548"/>
            <w:bookmarkEnd w:id="2549"/>
          </w:p>
        </w:tc>
        <w:tc>
          <w:tcPr>
            <w:tcW w:w="1703" w:type="dxa"/>
            <w:gridSpan w:val="2"/>
            <w:vAlign w:val="center"/>
          </w:tcPr>
          <w:p w14:paraId="26616F0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50" w:name="_Toc23769"/>
            <w:bookmarkStart w:id="2551" w:name="_Toc20769"/>
            <w:bookmarkStart w:id="2552" w:name="_Toc23637"/>
            <w:bookmarkStart w:id="2553" w:name="_Toc25158"/>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闪点</w:t>
            </w:r>
            <w:bookmarkEnd w:id="2550"/>
            <w:bookmarkEnd w:id="2551"/>
            <w:bookmarkEnd w:id="2552"/>
            <w:bookmarkEnd w:id="2553"/>
          </w:p>
        </w:tc>
        <w:tc>
          <w:tcPr>
            <w:tcW w:w="1703" w:type="dxa"/>
            <w:vAlign w:val="center"/>
          </w:tcPr>
          <w:p w14:paraId="7E054F8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54" w:name="_Toc27706"/>
            <w:bookmarkStart w:id="2555" w:name="_Toc15736"/>
            <w:bookmarkStart w:id="2556" w:name="_Toc26472"/>
            <w:bookmarkStart w:id="2557" w:name="_Toc3056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38℃</w:t>
            </w:r>
            <w:bookmarkEnd w:id="2554"/>
            <w:bookmarkEnd w:id="2555"/>
            <w:bookmarkEnd w:id="2556"/>
            <w:bookmarkEnd w:id="2557"/>
          </w:p>
        </w:tc>
        <w:tc>
          <w:tcPr>
            <w:tcW w:w="1703" w:type="dxa"/>
            <w:vAlign w:val="center"/>
          </w:tcPr>
          <w:p w14:paraId="534EE40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58" w:name="_Toc25885"/>
            <w:bookmarkStart w:id="2559" w:name="_Toc7044"/>
            <w:bookmarkStart w:id="2560" w:name="_Toc7741"/>
            <w:bookmarkStart w:id="2561" w:name="_Toc2504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沸点</w:t>
            </w:r>
            <w:bookmarkEnd w:id="2558"/>
            <w:bookmarkEnd w:id="2559"/>
            <w:bookmarkEnd w:id="2560"/>
            <w:bookmarkEnd w:id="2561"/>
          </w:p>
        </w:tc>
        <w:tc>
          <w:tcPr>
            <w:tcW w:w="1704" w:type="dxa"/>
            <w:vAlign w:val="center"/>
          </w:tcPr>
          <w:p w14:paraId="30D028F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62" w:name="_Toc28824"/>
            <w:bookmarkStart w:id="2563" w:name="_Toc30230"/>
            <w:bookmarkStart w:id="2564" w:name="_Toc4566"/>
            <w:bookmarkStart w:id="2565" w:name="_Toc21106"/>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170-390℃</w:t>
            </w:r>
            <w:bookmarkEnd w:id="2562"/>
            <w:bookmarkEnd w:id="2563"/>
            <w:bookmarkEnd w:id="2564"/>
            <w:bookmarkEnd w:id="2565"/>
          </w:p>
        </w:tc>
      </w:tr>
      <w:tr w14:paraId="1C0913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1898581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703" w:type="dxa"/>
            <w:gridSpan w:val="2"/>
            <w:vAlign w:val="center"/>
          </w:tcPr>
          <w:p w14:paraId="35D84E7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66" w:name="_Toc11583"/>
            <w:bookmarkStart w:id="2567" w:name="_Toc14324"/>
            <w:bookmarkStart w:id="2568" w:name="_Toc11901"/>
            <w:bookmarkStart w:id="2569" w:name="_Toc2460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相对密度（水=1）</w:t>
            </w:r>
            <w:bookmarkEnd w:id="2566"/>
            <w:bookmarkEnd w:id="2567"/>
            <w:bookmarkEnd w:id="2568"/>
            <w:bookmarkEnd w:id="2569"/>
          </w:p>
        </w:tc>
        <w:tc>
          <w:tcPr>
            <w:tcW w:w="1703" w:type="dxa"/>
            <w:vAlign w:val="center"/>
          </w:tcPr>
          <w:p w14:paraId="3AFBE74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70" w:name="_Toc32188"/>
            <w:bookmarkStart w:id="2571" w:name="_Toc26788"/>
            <w:bookmarkStart w:id="2572" w:name="_Toc14962"/>
            <w:bookmarkStart w:id="2573" w:name="_Toc3112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0.854-0.86</w:t>
            </w:r>
            <w:bookmarkEnd w:id="2570"/>
            <w:bookmarkEnd w:id="2571"/>
            <w:bookmarkEnd w:id="2572"/>
            <w:bookmarkEnd w:id="2573"/>
          </w:p>
        </w:tc>
        <w:tc>
          <w:tcPr>
            <w:tcW w:w="1703" w:type="dxa"/>
            <w:vAlign w:val="center"/>
          </w:tcPr>
          <w:p w14:paraId="2650BA4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74" w:name="_Toc24762"/>
            <w:bookmarkStart w:id="2575" w:name="_Toc23336"/>
            <w:bookmarkStart w:id="2576" w:name="_Toc13309"/>
            <w:bookmarkStart w:id="2577" w:name="_Toc7429"/>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CAS号</w:t>
            </w:r>
            <w:bookmarkEnd w:id="2574"/>
            <w:bookmarkEnd w:id="2575"/>
            <w:bookmarkEnd w:id="2576"/>
            <w:bookmarkEnd w:id="2577"/>
          </w:p>
        </w:tc>
        <w:tc>
          <w:tcPr>
            <w:tcW w:w="1704" w:type="dxa"/>
            <w:vAlign w:val="center"/>
          </w:tcPr>
          <w:p w14:paraId="5B036A8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78" w:name="_Toc15286"/>
            <w:bookmarkStart w:id="2579" w:name="_Toc10463"/>
            <w:bookmarkStart w:id="2580" w:name="_Toc20522"/>
            <w:bookmarkStart w:id="2581" w:name="_Toc2882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68334-30-5</w:t>
            </w:r>
            <w:bookmarkEnd w:id="2578"/>
            <w:bookmarkEnd w:id="2579"/>
            <w:bookmarkEnd w:id="2580"/>
            <w:bookmarkEnd w:id="2581"/>
          </w:p>
        </w:tc>
      </w:tr>
      <w:tr w14:paraId="6546B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4B23228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6813" w:type="dxa"/>
            <w:gridSpan w:val="5"/>
            <w:vAlign w:val="center"/>
          </w:tcPr>
          <w:p w14:paraId="7FA8F29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82" w:name="_Toc14127"/>
            <w:bookmarkStart w:id="2583" w:name="_Toc6203"/>
            <w:bookmarkStart w:id="2584" w:name="_Toc7351"/>
            <w:bookmarkStart w:id="2585" w:name="_Toc1432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外观形状：有色透明液体。</w:t>
            </w:r>
            <w:bookmarkEnd w:id="2582"/>
            <w:bookmarkEnd w:id="2583"/>
            <w:bookmarkEnd w:id="2584"/>
            <w:bookmarkEnd w:id="2585"/>
          </w:p>
        </w:tc>
      </w:tr>
      <w:tr w14:paraId="690CC0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C5577E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6813" w:type="dxa"/>
            <w:gridSpan w:val="5"/>
            <w:vAlign w:val="center"/>
          </w:tcPr>
          <w:p w14:paraId="295D778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86" w:name="_Toc25440"/>
            <w:bookmarkStart w:id="2587" w:name="_Toc31334"/>
            <w:bookmarkStart w:id="2588" w:name="_Toc3475"/>
            <w:bookmarkStart w:id="2589" w:name="_Toc740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溶解性：难溶于水，易溶于醇和其他有机溶剂。</w:t>
            </w:r>
            <w:bookmarkEnd w:id="2586"/>
            <w:bookmarkEnd w:id="2587"/>
            <w:bookmarkEnd w:id="2588"/>
            <w:bookmarkEnd w:id="2589"/>
          </w:p>
        </w:tc>
      </w:tr>
      <w:tr w14:paraId="1E6713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0860F38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590" w:name="_Toc9659"/>
            <w:bookmarkStart w:id="2591" w:name="_Toc12611"/>
            <w:bookmarkStart w:id="2592" w:name="_Toc13268"/>
            <w:bookmarkStart w:id="2593" w:name="_Toc1335"/>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稳定性和危险性</w:t>
            </w:r>
            <w:bookmarkEnd w:id="2590"/>
            <w:bookmarkEnd w:id="2591"/>
            <w:bookmarkEnd w:id="2592"/>
            <w:bookmarkEnd w:id="2593"/>
          </w:p>
        </w:tc>
        <w:tc>
          <w:tcPr>
            <w:tcW w:w="6813" w:type="dxa"/>
            <w:gridSpan w:val="5"/>
            <w:vAlign w:val="center"/>
          </w:tcPr>
          <w:p w14:paraId="232B782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94" w:name="_Toc30805"/>
            <w:bookmarkStart w:id="2595" w:name="_Toc18266"/>
            <w:bookmarkStart w:id="2596" w:name="_Toc4661"/>
            <w:bookmarkStart w:id="2597" w:name="_Toc2225"/>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稳定性：化学性质很稳定。</w:t>
            </w:r>
            <w:bookmarkEnd w:id="2594"/>
            <w:bookmarkEnd w:id="2595"/>
            <w:bookmarkEnd w:id="2596"/>
            <w:bookmarkEnd w:id="2597"/>
          </w:p>
          <w:p w14:paraId="7564D3C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598" w:name="_Toc11933"/>
            <w:bookmarkStart w:id="2599" w:name="_Toc22819"/>
            <w:bookmarkStart w:id="2600" w:name="_Toc27346"/>
            <w:bookmarkStart w:id="2601" w:name="_Toc2629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危险性：柴油属于易燃物，其蒸气在60°C时遇明火会燃烧，燃烧放出大量热；柴油是电的不良导体，在运输、灌装过程中，油分子之间、柴油与其他物质之间的摩擦会产生静电，产生电火花。</w:t>
            </w:r>
            <w:bookmarkEnd w:id="2598"/>
            <w:bookmarkEnd w:id="2599"/>
            <w:bookmarkEnd w:id="2600"/>
            <w:bookmarkEnd w:id="2601"/>
          </w:p>
          <w:p w14:paraId="2A91E9F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02" w:name="_Toc12161"/>
            <w:bookmarkStart w:id="2603" w:name="_Toc8601"/>
            <w:bookmarkStart w:id="2604" w:name="_Toc18463"/>
            <w:bookmarkStart w:id="2605" w:name="_Toc7603"/>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燃烧产物：内燃机燃烧柴油所产生的废气含有氮氧化物、一氧化碳、二氧化碳、醛类和不完全燃烧时的大量黑烟。黑烟中有未经燃烧的油雾、碳粒，一些高沸点的杂环和芳烃物质，并有些致癌物如3.4-苯并芘，可造成污染。</w:t>
            </w:r>
            <w:bookmarkEnd w:id="2602"/>
            <w:bookmarkEnd w:id="2603"/>
            <w:bookmarkEnd w:id="2604"/>
            <w:bookmarkEnd w:id="2605"/>
          </w:p>
        </w:tc>
      </w:tr>
      <w:tr w14:paraId="1BE597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5EF219A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606" w:name="_Toc11863"/>
            <w:bookmarkStart w:id="2607" w:name="_Toc2215"/>
            <w:bookmarkStart w:id="2608" w:name="_Toc29127"/>
            <w:bookmarkStart w:id="2609" w:name="_Toc2497"/>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毒理学资料</w:t>
            </w:r>
            <w:bookmarkEnd w:id="2606"/>
            <w:bookmarkEnd w:id="2607"/>
            <w:bookmarkEnd w:id="2608"/>
            <w:bookmarkEnd w:id="2609"/>
          </w:p>
        </w:tc>
        <w:tc>
          <w:tcPr>
            <w:tcW w:w="6813" w:type="dxa"/>
            <w:gridSpan w:val="5"/>
            <w:vAlign w:val="center"/>
          </w:tcPr>
          <w:p w14:paraId="404F3A4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10" w:name="_Toc9669"/>
            <w:bookmarkStart w:id="2611" w:name="_Toc1509"/>
            <w:bookmarkStart w:id="2612" w:name="_Toc3190"/>
            <w:bookmarkStart w:id="2613" w:name="_Toc855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侵入途径：皮肤吸收、呼吸道吸入。</w:t>
            </w:r>
            <w:bookmarkEnd w:id="2610"/>
            <w:bookmarkEnd w:id="2611"/>
            <w:bookmarkEnd w:id="2612"/>
            <w:bookmarkEnd w:id="2613"/>
          </w:p>
          <w:p w14:paraId="00E4337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14" w:name="_Toc26116"/>
            <w:bookmarkStart w:id="2615" w:name="_Toc5101"/>
            <w:bookmarkStart w:id="2616" w:name="_Toc24978"/>
            <w:bookmarkStart w:id="2617" w:name="_Toc2859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健康：柴油有麻醉和刺激作用，柴油的雾滴吸入后可致吸入性肺炎，皮肤接触柴油可致接触性皮炎，可引起眼、鼻刺激症状、头晕和头痛。</w:t>
            </w:r>
            <w:bookmarkEnd w:id="2614"/>
            <w:bookmarkEnd w:id="2615"/>
            <w:bookmarkEnd w:id="2616"/>
            <w:bookmarkEnd w:id="2617"/>
          </w:p>
        </w:tc>
      </w:tr>
      <w:tr w14:paraId="64F13C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5C56E42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618" w:name="_Toc27612"/>
            <w:bookmarkStart w:id="2619" w:name="_Toc12528"/>
            <w:bookmarkStart w:id="2620" w:name="_Toc15564"/>
            <w:bookmarkStart w:id="2621" w:name="_Toc5136"/>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安全防护措施</w:t>
            </w:r>
            <w:bookmarkEnd w:id="2618"/>
            <w:bookmarkEnd w:id="2619"/>
            <w:bookmarkEnd w:id="2620"/>
            <w:bookmarkEnd w:id="2621"/>
          </w:p>
        </w:tc>
        <w:tc>
          <w:tcPr>
            <w:tcW w:w="1506" w:type="dxa"/>
            <w:vAlign w:val="center"/>
          </w:tcPr>
          <w:p w14:paraId="0E595AF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22" w:name="_Toc26721"/>
            <w:bookmarkStart w:id="2623" w:name="_Toc3645"/>
            <w:bookmarkStart w:id="2624" w:name="_Toc7171"/>
            <w:bookmarkStart w:id="2625" w:name="_Toc314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呼吸系统防护</w:t>
            </w:r>
            <w:bookmarkEnd w:id="2622"/>
            <w:bookmarkEnd w:id="2623"/>
            <w:bookmarkEnd w:id="2624"/>
            <w:bookmarkEnd w:id="2625"/>
          </w:p>
        </w:tc>
        <w:tc>
          <w:tcPr>
            <w:tcW w:w="5307" w:type="dxa"/>
            <w:gridSpan w:val="4"/>
            <w:vAlign w:val="center"/>
          </w:tcPr>
          <w:p w14:paraId="14C6BFA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26" w:name="_Toc16012"/>
            <w:bookmarkStart w:id="2627" w:name="_Toc17530"/>
            <w:bookmarkStart w:id="2628" w:name="_Toc29321"/>
            <w:bookmarkStart w:id="2629" w:name="_Toc179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空气中浓度超标时建议佩戴自吸过滤式防毒面具，紧急事态抢救时应佩戴空气呼吸器;避免口腔和皮肤与柴油接触；维修柴油机场所应保持通风，操作者在上风口位置，尽量减少柴油蒸气吸入。</w:t>
            </w:r>
            <w:bookmarkEnd w:id="2626"/>
            <w:bookmarkEnd w:id="2627"/>
            <w:bookmarkEnd w:id="2628"/>
            <w:bookmarkEnd w:id="2629"/>
          </w:p>
        </w:tc>
      </w:tr>
      <w:tr w14:paraId="4C669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65C3B63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0A02273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30" w:name="_Toc27521"/>
            <w:bookmarkStart w:id="2631" w:name="_Toc31586"/>
            <w:bookmarkStart w:id="2632" w:name="_Toc19850"/>
            <w:bookmarkStart w:id="2633" w:name="_Toc478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眼睛防护</w:t>
            </w:r>
            <w:bookmarkEnd w:id="2630"/>
            <w:bookmarkEnd w:id="2631"/>
            <w:bookmarkEnd w:id="2632"/>
            <w:bookmarkEnd w:id="2633"/>
          </w:p>
        </w:tc>
        <w:tc>
          <w:tcPr>
            <w:tcW w:w="5307" w:type="dxa"/>
            <w:gridSpan w:val="4"/>
            <w:vAlign w:val="center"/>
          </w:tcPr>
          <w:p w14:paraId="0E9C117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34" w:name="_Toc20511"/>
            <w:bookmarkStart w:id="2635" w:name="_Toc25530"/>
            <w:bookmarkStart w:id="2636" w:name="_Toc9396"/>
            <w:bookmarkStart w:id="2637" w:name="_Toc2431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戴化学安全防护眼镜。</w:t>
            </w:r>
            <w:bookmarkEnd w:id="2634"/>
            <w:bookmarkEnd w:id="2635"/>
            <w:bookmarkEnd w:id="2636"/>
            <w:bookmarkEnd w:id="2637"/>
          </w:p>
        </w:tc>
      </w:tr>
      <w:tr w14:paraId="65217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653F6C2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2E5EB72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38" w:name="_Toc5210"/>
            <w:bookmarkStart w:id="2639" w:name="_Toc19011"/>
            <w:bookmarkStart w:id="2640" w:name="_Toc31"/>
            <w:bookmarkStart w:id="2641" w:name="_Toc844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身体防护</w:t>
            </w:r>
            <w:bookmarkEnd w:id="2638"/>
            <w:bookmarkEnd w:id="2639"/>
            <w:bookmarkEnd w:id="2640"/>
            <w:bookmarkEnd w:id="2641"/>
          </w:p>
        </w:tc>
        <w:tc>
          <w:tcPr>
            <w:tcW w:w="5307" w:type="dxa"/>
            <w:gridSpan w:val="4"/>
            <w:vAlign w:val="center"/>
          </w:tcPr>
          <w:p w14:paraId="74B2488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42" w:name="_Toc7295"/>
            <w:bookmarkStart w:id="2643" w:name="_Toc14472"/>
            <w:bookmarkStart w:id="2644" w:name="_Toc29203"/>
            <w:bookmarkStart w:id="2645" w:name="_Toc19058"/>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穿工作服(防腐材料制作)。</w:t>
            </w:r>
            <w:bookmarkEnd w:id="2642"/>
            <w:bookmarkEnd w:id="2643"/>
            <w:bookmarkEnd w:id="2644"/>
            <w:bookmarkEnd w:id="2645"/>
          </w:p>
        </w:tc>
      </w:tr>
      <w:tr w14:paraId="5FB63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1EDC59B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374FC36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46" w:name="_Toc4305"/>
            <w:bookmarkStart w:id="2647" w:name="_Toc28572"/>
            <w:bookmarkStart w:id="2648" w:name="_Toc16594"/>
            <w:bookmarkStart w:id="2649" w:name="_Toc238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手防护</w:t>
            </w:r>
            <w:bookmarkEnd w:id="2646"/>
            <w:bookmarkEnd w:id="2647"/>
            <w:bookmarkEnd w:id="2648"/>
            <w:bookmarkEnd w:id="2649"/>
          </w:p>
        </w:tc>
        <w:tc>
          <w:tcPr>
            <w:tcW w:w="5307" w:type="dxa"/>
            <w:gridSpan w:val="4"/>
            <w:vAlign w:val="center"/>
          </w:tcPr>
          <w:p w14:paraId="58D8F85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50" w:name="_Toc409"/>
            <w:bookmarkStart w:id="2651" w:name="_Toc28433"/>
            <w:bookmarkStart w:id="2652" w:name="_Toc7365"/>
            <w:bookmarkStart w:id="2653" w:name="_Toc1310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戴橡胶耐油手套。</w:t>
            </w:r>
            <w:bookmarkEnd w:id="2650"/>
            <w:bookmarkEnd w:id="2651"/>
            <w:bookmarkEnd w:id="2652"/>
            <w:bookmarkEnd w:id="2653"/>
          </w:p>
        </w:tc>
      </w:tr>
      <w:tr w14:paraId="2182CB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0A8BA5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7F4DF8D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54" w:name="_Toc7519"/>
            <w:bookmarkStart w:id="2655" w:name="_Toc21998"/>
            <w:bookmarkStart w:id="2656" w:name="_Toc16941"/>
            <w:bookmarkStart w:id="2657" w:name="_Toc16203"/>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其他</w:t>
            </w:r>
            <w:bookmarkEnd w:id="2654"/>
            <w:bookmarkEnd w:id="2655"/>
            <w:bookmarkEnd w:id="2656"/>
            <w:bookmarkEnd w:id="2657"/>
          </w:p>
        </w:tc>
        <w:tc>
          <w:tcPr>
            <w:tcW w:w="5307" w:type="dxa"/>
            <w:gridSpan w:val="4"/>
            <w:vAlign w:val="center"/>
          </w:tcPr>
          <w:p w14:paraId="44F60A2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58" w:name="_Toc20564"/>
            <w:bookmarkStart w:id="2659" w:name="_Toc12834"/>
            <w:bookmarkStart w:id="2660" w:name="_Toc4790"/>
            <w:bookmarkStart w:id="2661" w:name="_Toc342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工作后，淋浴更衣，保持良好的卫生习惯。</w:t>
            </w:r>
            <w:bookmarkEnd w:id="2658"/>
            <w:bookmarkEnd w:id="2659"/>
            <w:bookmarkEnd w:id="2660"/>
            <w:bookmarkEnd w:id="2661"/>
          </w:p>
        </w:tc>
      </w:tr>
      <w:tr w14:paraId="6C0223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67AC25B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662" w:name="_Toc25667"/>
            <w:bookmarkStart w:id="2663" w:name="_Toc25865"/>
            <w:bookmarkStart w:id="2664" w:name="_Toc29994"/>
            <w:bookmarkStart w:id="2665" w:name="_Toc15575"/>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应急措施</w:t>
            </w:r>
            <w:bookmarkEnd w:id="2662"/>
            <w:bookmarkEnd w:id="2663"/>
            <w:bookmarkEnd w:id="2664"/>
            <w:bookmarkEnd w:id="2665"/>
          </w:p>
        </w:tc>
        <w:tc>
          <w:tcPr>
            <w:tcW w:w="1506" w:type="dxa"/>
            <w:vAlign w:val="center"/>
          </w:tcPr>
          <w:p w14:paraId="76194E6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66" w:name="_Toc20414"/>
            <w:bookmarkStart w:id="2667" w:name="_Toc32085"/>
            <w:bookmarkStart w:id="2668" w:name="_Toc25343"/>
            <w:bookmarkStart w:id="2669" w:name="_Toc871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急救措施</w:t>
            </w:r>
            <w:bookmarkEnd w:id="2666"/>
            <w:bookmarkEnd w:id="2667"/>
            <w:bookmarkEnd w:id="2668"/>
            <w:bookmarkEnd w:id="2669"/>
          </w:p>
        </w:tc>
        <w:tc>
          <w:tcPr>
            <w:tcW w:w="5307" w:type="dxa"/>
            <w:gridSpan w:val="4"/>
            <w:vAlign w:val="center"/>
          </w:tcPr>
          <w:p w14:paraId="7BE77F3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70" w:name="_Toc14212"/>
            <w:bookmarkStart w:id="2671" w:name="_Toc25003"/>
            <w:bookmarkStart w:id="2672" w:name="_Toc5934"/>
            <w:bookmarkStart w:id="2673" w:name="_Toc811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皮肤接触：立即脱掉污染的衣服，用肥皂和清水冲洗皮肤，出现皮炎要就医；</w:t>
            </w:r>
            <w:bookmarkEnd w:id="2670"/>
            <w:bookmarkEnd w:id="2671"/>
            <w:bookmarkEnd w:id="2672"/>
            <w:bookmarkEnd w:id="2673"/>
          </w:p>
          <w:p w14:paraId="2C14D09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74" w:name="_Toc11318"/>
            <w:bookmarkStart w:id="2675" w:name="_Toc22163"/>
            <w:bookmarkStart w:id="2676" w:name="_Toc31264"/>
            <w:bookmarkStart w:id="2677" w:name="_Toc2501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眼睛接触：立即翻开上下眼睑,用流动水或生理盐水冲洗，就医；</w:t>
            </w:r>
            <w:bookmarkEnd w:id="2674"/>
            <w:bookmarkEnd w:id="2675"/>
            <w:bookmarkEnd w:id="2676"/>
            <w:bookmarkEnd w:id="2677"/>
          </w:p>
          <w:p w14:paraId="0019EFB7">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78" w:name="_Toc29455"/>
            <w:bookmarkStart w:id="2679" w:name="_Toc4959"/>
            <w:bookmarkStart w:id="2680" w:name="_Toc11347"/>
            <w:bookmarkStart w:id="2681" w:name="_Toc1446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吸入：迅速撤离现场至空气清新处，保持呼吸道顺畅，如呼吸困难，给输氧，如呼吸停止，立即进行人工呼吸，就医；</w:t>
            </w:r>
            <w:bookmarkEnd w:id="2678"/>
            <w:bookmarkEnd w:id="2679"/>
            <w:bookmarkEnd w:id="2680"/>
            <w:bookmarkEnd w:id="2681"/>
          </w:p>
          <w:p w14:paraId="367A136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82" w:name="_Toc12786"/>
            <w:bookmarkStart w:id="2683" w:name="_Toc22185"/>
            <w:bookmarkStart w:id="2684" w:name="_Toc16693"/>
            <w:bookmarkStart w:id="2685" w:name="_Toc24089"/>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食入：误服柴油者可饮牛奶，尽快彻底洗胃，要送医院就医。</w:t>
            </w:r>
            <w:bookmarkEnd w:id="2682"/>
            <w:bookmarkEnd w:id="2683"/>
            <w:bookmarkEnd w:id="2684"/>
            <w:bookmarkEnd w:id="2685"/>
          </w:p>
        </w:tc>
      </w:tr>
      <w:tr w14:paraId="51BA8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3059C6E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5D561C2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86" w:name="_Toc2336"/>
            <w:bookmarkStart w:id="2687" w:name="_Toc9904"/>
            <w:bookmarkStart w:id="2688" w:name="_Toc894"/>
            <w:bookmarkStart w:id="2689" w:name="_Toc29785"/>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泄漏措施</w:t>
            </w:r>
            <w:bookmarkEnd w:id="2686"/>
            <w:bookmarkEnd w:id="2687"/>
            <w:bookmarkEnd w:id="2688"/>
            <w:bookmarkEnd w:id="2689"/>
          </w:p>
        </w:tc>
        <w:tc>
          <w:tcPr>
            <w:tcW w:w="5307" w:type="dxa"/>
            <w:gridSpan w:val="4"/>
            <w:vAlign w:val="center"/>
          </w:tcPr>
          <w:p w14:paraId="39C1789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90" w:name="_Toc29496"/>
            <w:bookmarkStart w:id="2691" w:name="_Toc31408"/>
            <w:bookmarkStart w:id="2692" w:name="_Toc7886"/>
            <w:bookmarkStart w:id="2693" w:name="_Toc28033"/>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首先切断泄漏油罐附近的所有电源，熄灭油附近的所有明火，隔离泄漏污染区，严禁携带火种靠近漏油区；在回收油品时，严禁使用铁制工具，以免发生撞击摩擦起火；待油迹清除后，确认无火灾隐患，方可开始继续进行；漏油处必须进行维修，确认无漏油方可开始继续使用。</w:t>
            </w:r>
            <w:bookmarkEnd w:id="2690"/>
            <w:bookmarkEnd w:id="2691"/>
            <w:bookmarkEnd w:id="2692"/>
            <w:bookmarkEnd w:id="2693"/>
          </w:p>
        </w:tc>
      </w:tr>
      <w:tr w14:paraId="36406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6127324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577B594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94" w:name="_Toc2719"/>
            <w:bookmarkStart w:id="2695" w:name="_Toc1378"/>
            <w:bookmarkStart w:id="2696" w:name="_Toc6224"/>
            <w:bookmarkStart w:id="2697" w:name="_Toc29444"/>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消防方法</w:t>
            </w:r>
            <w:bookmarkEnd w:id="2694"/>
            <w:bookmarkEnd w:id="2695"/>
            <w:bookmarkEnd w:id="2696"/>
            <w:bookmarkEnd w:id="2697"/>
          </w:p>
        </w:tc>
        <w:tc>
          <w:tcPr>
            <w:tcW w:w="5307" w:type="dxa"/>
            <w:gridSpan w:val="4"/>
            <w:vAlign w:val="center"/>
          </w:tcPr>
          <w:p w14:paraId="5CB7CBF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698" w:name="_Toc23493"/>
            <w:bookmarkStart w:id="2699" w:name="_Toc10480"/>
            <w:bookmarkStart w:id="2700" w:name="_Toc32509"/>
            <w:bookmarkStart w:id="2701" w:name="_Toc32420"/>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雾状水、泡沫、干粉、二氧化碳、砂土</w:t>
            </w:r>
            <w:bookmarkEnd w:id="2698"/>
            <w:bookmarkEnd w:id="2699"/>
            <w:bookmarkEnd w:id="2700"/>
            <w:bookmarkEnd w:id="2701"/>
          </w:p>
        </w:tc>
      </w:tr>
      <w:tr w14:paraId="67CE2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652B10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9"/>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p>
        </w:tc>
        <w:tc>
          <w:tcPr>
            <w:tcW w:w="1506" w:type="dxa"/>
            <w:vAlign w:val="center"/>
          </w:tcPr>
          <w:p w14:paraId="42A5C80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02" w:name="_Toc4113"/>
            <w:bookmarkStart w:id="2703" w:name="_Toc7765"/>
            <w:bookmarkStart w:id="2704" w:name="_Toc262"/>
            <w:bookmarkStart w:id="2705" w:name="_Toc1600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储运</w:t>
            </w:r>
            <w:bookmarkEnd w:id="2702"/>
            <w:bookmarkEnd w:id="2703"/>
            <w:bookmarkEnd w:id="2704"/>
            <w:bookmarkEnd w:id="2705"/>
          </w:p>
        </w:tc>
        <w:tc>
          <w:tcPr>
            <w:tcW w:w="5307" w:type="dxa"/>
            <w:gridSpan w:val="4"/>
            <w:vAlign w:val="center"/>
          </w:tcPr>
          <w:p w14:paraId="293611D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06" w:name="_Toc20631"/>
            <w:bookmarkStart w:id="2707" w:name="_Toc31066"/>
            <w:bookmarkStart w:id="2708" w:name="_Toc7999"/>
            <w:bookmarkStart w:id="2709" w:name="_Toc4555"/>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存储要保持容器密封，要有防火、防爆技术措施，禁止使用易产生火花的机械设备和工具。灌装时应注意流速。且有接地装置，防止静电积聚。</w:t>
            </w:r>
            <w:bookmarkEnd w:id="2706"/>
            <w:bookmarkEnd w:id="2707"/>
            <w:bookmarkEnd w:id="2708"/>
            <w:bookmarkEnd w:id="2709"/>
          </w:p>
        </w:tc>
      </w:tr>
    </w:tbl>
    <w:p w14:paraId="3F49515B">
      <w:pPr>
        <w:pStyle w:val="6"/>
        <w:bidi w:val="0"/>
        <w:ind w:left="0"/>
        <w:rPr>
          <w:rFonts w:hint="default" w:ascii="Times New Roman" w:hAnsi="Times New Roman" w:eastAsia="宋体" w:cs="Times New Roman"/>
          <w:color w:val="auto"/>
          <w:lang w:val="en-US" w:eastAsia="zh-CN"/>
        </w:rPr>
      </w:pPr>
      <w:bookmarkStart w:id="2710" w:name="_Toc18326"/>
      <w:r>
        <w:rPr>
          <w:rFonts w:hint="default" w:ascii="Times New Roman" w:hAnsi="Times New Roman" w:eastAsia="宋体" w:cs="Times New Roman"/>
          <w:color w:val="auto"/>
          <w:lang w:val="en-US" w:eastAsia="zh-CN"/>
        </w:rPr>
        <w:t>7.4风险潜势初判及评价等级</w:t>
      </w:r>
      <w:bookmarkEnd w:id="2710"/>
    </w:p>
    <w:bookmarkEnd w:id="1719"/>
    <w:bookmarkEnd w:id="1720"/>
    <w:p w14:paraId="1199F3DC">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711" w:name="_Toc29348"/>
      <w:bookmarkStart w:id="2712" w:name="_Toc18277"/>
      <w:bookmarkStart w:id="2713" w:name="_Toc1654"/>
      <w:bookmarkStart w:id="2714" w:name="_Toc27363"/>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1）危险物质及工艺系统危险性（P）分级</w:t>
      </w:r>
      <w:bookmarkEnd w:id="2711"/>
      <w:bookmarkEnd w:id="2712"/>
      <w:bookmarkEnd w:id="2713"/>
      <w:bookmarkEnd w:id="2714"/>
    </w:p>
    <w:p w14:paraId="25F82D9E">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1）危险物质数量与临界比值（Q）</w:t>
      </w:r>
    </w:p>
    <w:p w14:paraId="00C72034">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根据《危险化学品重大危险源辨识》（GB18218-2018），危险化学品重大危险源是指长期地或临时地生产、加工、使用或储存危险化学品，且危险化学品的数量等于或超过临界量的单元。</w:t>
      </w:r>
    </w:p>
    <w:p w14:paraId="091260C6">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单元是指一个（套）生产装置、设施或场所，或同属一个生产经营单位的且边缘距离小于500m的几个（套）生产装置、设施或场所。本项目所有生产单元距离均小于500m，可作为一个生产单元进行评价。</w:t>
      </w:r>
    </w:p>
    <w:p w14:paraId="13F2DFEA">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当只涉及一种危险物质时，计算该物质的总量与其临界量比值，即为 Q；</w:t>
      </w:r>
    </w:p>
    <w:p w14:paraId="6DE7403A">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当存在多种危险物质时，则按式下式计算物质总量与其临界量比值（Q）</w:t>
      </w:r>
    </w:p>
    <w:p w14:paraId="3F565E5F">
      <w:pPr>
        <w:keepNext w:val="0"/>
        <w:keepLines w:val="0"/>
        <w:pageBreakBefore w:val="0"/>
        <w:widowControl/>
        <w:suppressLineNumbers w:val="0"/>
        <w:kinsoku/>
        <w:overflowPunct/>
        <w:topLinePunct w:val="0"/>
        <w:autoSpaceDE/>
        <w:autoSpaceDN/>
        <w:bidi w:val="0"/>
        <w:adjustRightInd/>
        <w:snapToGrid/>
        <w:spacing w:line="360" w:lineRule="auto"/>
        <w:ind w:firstLine="482" w:firstLineChars="200"/>
        <w:jc w:val="center"/>
        <w:textAlignment w:val="auto"/>
        <w:outlineLvl w:val="1"/>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pPr>
      <w:bookmarkStart w:id="2715" w:name="_Toc8279"/>
      <w:bookmarkStart w:id="2716" w:name="_Toc30556"/>
      <w:bookmarkStart w:id="2717" w:name="_Toc8042"/>
      <w:bookmarkStart w:id="2718" w:name="_Toc27726"/>
      <w:r>
        <w:rPr>
          <w:rFonts w:hint="default" w:ascii="Times New Roman" w:hAnsi="Times New Roman" w:eastAsia="宋体" w:cs="Times New Roman"/>
          <w:b/>
          <w:bCs/>
          <w:i w:val="0"/>
          <w:iCs w:val="0"/>
          <w:caps w:val="0"/>
          <w:color w:val="auto"/>
          <w:spacing w:val="0"/>
          <w:kern w:val="0"/>
          <w:sz w:val="24"/>
          <w:szCs w:val="24"/>
          <w:shd w:val="clear" w:fill="FFFFFF"/>
          <w:lang w:val="en-US" w:eastAsia="zh-CN" w:bidi="ar"/>
        </w:rPr>
        <w:t>q1/Q1+ q2/Q2+········+ qn/Qn≥1 （a）</w:t>
      </w:r>
      <w:bookmarkEnd w:id="2715"/>
      <w:bookmarkEnd w:id="2716"/>
      <w:bookmarkEnd w:id="2717"/>
      <w:bookmarkEnd w:id="2718"/>
    </w:p>
    <w:p w14:paraId="3DA76FE3">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式中：q1，q2……qn ——每种危险化学品实际存在量，单位为吨（t）；</w:t>
      </w:r>
    </w:p>
    <w:p w14:paraId="2B57A6A6">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Q1，Q2……Qn——与各危险化学品相对应的临界量，单位为吨（t）。</w:t>
      </w:r>
    </w:p>
    <w:p w14:paraId="3980D293">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当Q＜1时，该项目环境风险潜势为I；</w:t>
      </w:r>
    </w:p>
    <w:p w14:paraId="350B00CE">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当Q≥1时，将Q值划分为：（1）1≤Q≤10；（2）10≤Q≤100；（3）Q≥100。</w:t>
      </w:r>
    </w:p>
    <w:p w14:paraId="07067552">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本项目主要危险物质 Q 值估算见下表。</w:t>
      </w:r>
    </w:p>
    <w:p w14:paraId="3AF0223D">
      <w:pPr>
        <w:keepNext w:val="0"/>
        <w:keepLines w:val="0"/>
        <w:pageBreakBefore w:val="0"/>
        <w:widowControl/>
        <w:suppressLineNumbers w:val="0"/>
        <w:kinsoku/>
        <w:overflowPunct/>
        <w:topLinePunct w:val="0"/>
        <w:autoSpaceDE/>
        <w:autoSpaceDN/>
        <w:bidi w:val="0"/>
        <w:adjustRightInd/>
        <w:snapToGrid/>
        <w:spacing w:line="360" w:lineRule="auto"/>
        <w:ind w:firstLine="402" w:firstLineChars="200"/>
        <w:jc w:val="center"/>
        <w:textAlignment w:val="auto"/>
        <w:rPr>
          <w:rFonts w:hint="default" w:ascii="Times New Roman" w:hAnsi="Times New Roman" w:eastAsia="宋体" w:cs="Times New Roman"/>
          <w:b/>
          <w:bCs/>
          <w:i w:val="0"/>
          <w:iCs w:val="0"/>
          <w:caps w:val="0"/>
          <w:color w:val="auto"/>
          <w:spacing w:val="0"/>
          <w:kern w:val="0"/>
          <w:sz w:val="20"/>
          <w:szCs w:val="20"/>
          <w:shd w:val="clear" w:fill="FFFFFF"/>
          <w:lang w:val="en-US" w:eastAsia="zh-CN" w:bidi="ar"/>
        </w:rPr>
      </w:pPr>
      <w:r>
        <w:rPr>
          <w:rFonts w:hint="default" w:ascii="Times New Roman" w:hAnsi="Times New Roman" w:eastAsia="宋体" w:cs="Times New Roman"/>
          <w:b/>
          <w:bCs/>
          <w:i w:val="0"/>
          <w:iCs w:val="0"/>
          <w:caps w:val="0"/>
          <w:color w:val="auto"/>
          <w:spacing w:val="0"/>
          <w:kern w:val="0"/>
          <w:sz w:val="20"/>
          <w:szCs w:val="20"/>
          <w:shd w:val="clear" w:fill="FFFFFF"/>
          <w:lang w:val="en-US" w:eastAsia="zh-CN" w:bidi="ar"/>
        </w:rPr>
        <w:t>表7.4-1 危险物质数量与临界量比值（Q）判定结果表</w:t>
      </w:r>
    </w:p>
    <w:tbl>
      <w:tblPr>
        <w:tblStyle w:val="21"/>
        <w:tblpPr w:leftFromText="180" w:rightFromText="180" w:vertAnchor="text" w:horzAnchor="page" w:tblpX="1758" w:tblpY="487"/>
        <w:tblOverlap w:val="never"/>
        <w:tblW w:w="856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00"/>
        <w:gridCol w:w="1284"/>
        <w:gridCol w:w="2106"/>
        <w:gridCol w:w="1134"/>
        <w:gridCol w:w="1134"/>
        <w:gridCol w:w="1134"/>
      </w:tblGrid>
      <w:tr w14:paraId="60F87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D7D7D7" w:themeFill="background1" w:themeFillShade="D8"/>
            <w:vAlign w:val="center"/>
          </w:tcPr>
          <w:p w14:paraId="2A0FD60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19" w:name="_Toc20546"/>
            <w:bookmarkStart w:id="2720" w:name="_Toc1474"/>
            <w:bookmarkStart w:id="2721" w:name="_Toc19375"/>
            <w:bookmarkStart w:id="2722" w:name="_Toc4544"/>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序号</w:t>
            </w:r>
            <w:bookmarkEnd w:id="2719"/>
            <w:bookmarkEnd w:id="2720"/>
            <w:bookmarkEnd w:id="2721"/>
            <w:bookmarkEnd w:id="2722"/>
          </w:p>
        </w:tc>
        <w:tc>
          <w:tcPr>
            <w:tcW w:w="1100" w:type="dxa"/>
            <w:shd w:val="clear" w:color="auto" w:fill="D7D7D7" w:themeFill="background1" w:themeFillShade="D8"/>
            <w:vAlign w:val="center"/>
          </w:tcPr>
          <w:p w14:paraId="7F91E92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23" w:name="_Toc7873"/>
            <w:bookmarkStart w:id="2724" w:name="_Toc5457"/>
            <w:bookmarkStart w:id="2725" w:name="_Toc774"/>
            <w:bookmarkStart w:id="2726" w:name="_Toc861"/>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物质名称</w:t>
            </w:r>
            <w:bookmarkEnd w:id="2723"/>
            <w:bookmarkEnd w:id="2724"/>
            <w:bookmarkEnd w:id="2725"/>
            <w:bookmarkEnd w:id="2726"/>
          </w:p>
        </w:tc>
        <w:tc>
          <w:tcPr>
            <w:tcW w:w="1284" w:type="dxa"/>
            <w:shd w:val="clear" w:color="auto" w:fill="D7D7D7" w:themeFill="background1" w:themeFillShade="D8"/>
            <w:vAlign w:val="center"/>
          </w:tcPr>
          <w:p w14:paraId="7471A45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27" w:name="_Toc32606"/>
            <w:bookmarkStart w:id="2728" w:name="_Toc8015"/>
            <w:bookmarkStart w:id="2729" w:name="_Toc32657"/>
            <w:bookmarkStart w:id="2730" w:name="_Toc4704"/>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危险类别</w:t>
            </w:r>
            <w:bookmarkEnd w:id="2727"/>
            <w:bookmarkEnd w:id="2728"/>
            <w:bookmarkEnd w:id="2729"/>
            <w:bookmarkEnd w:id="2730"/>
          </w:p>
        </w:tc>
        <w:tc>
          <w:tcPr>
            <w:tcW w:w="2106" w:type="dxa"/>
            <w:shd w:val="clear" w:color="auto" w:fill="D7D7D7" w:themeFill="background1" w:themeFillShade="D8"/>
            <w:vAlign w:val="center"/>
          </w:tcPr>
          <w:p w14:paraId="2E3D34F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31" w:name="_Toc31050"/>
            <w:bookmarkStart w:id="2732" w:name="_Toc28914"/>
            <w:bookmarkStart w:id="2733" w:name="_Toc5638"/>
            <w:bookmarkStart w:id="2734" w:name="_Toc1286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贮存形式</w:t>
            </w:r>
            <w:bookmarkEnd w:id="2731"/>
            <w:bookmarkEnd w:id="2732"/>
            <w:bookmarkEnd w:id="2733"/>
            <w:bookmarkEnd w:id="2734"/>
          </w:p>
        </w:tc>
        <w:tc>
          <w:tcPr>
            <w:tcW w:w="1134" w:type="dxa"/>
            <w:shd w:val="clear" w:color="auto" w:fill="D7D7D7" w:themeFill="background1" w:themeFillShade="D8"/>
            <w:vAlign w:val="center"/>
          </w:tcPr>
          <w:p w14:paraId="456EFAC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35" w:name="_Toc31918"/>
            <w:bookmarkStart w:id="2736" w:name="_Toc21309"/>
            <w:bookmarkStart w:id="2737" w:name="_Toc13543"/>
            <w:bookmarkStart w:id="2738" w:name="_Toc23750"/>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最大储存量（t）</w:t>
            </w:r>
            <w:bookmarkEnd w:id="2735"/>
            <w:bookmarkEnd w:id="2736"/>
            <w:bookmarkEnd w:id="2737"/>
            <w:bookmarkEnd w:id="2738"/>
          </w:p>
        </w:tc>
        <w:tc>
          <w:tcPr>
            <w:tcW w:w="1134" w:type="dxa"/>
            <w:shd w:val="clear" w:color="auto" w:fill="D7D7D7" w:themeFill="background1" w:themeFillShade="D8"/>
            <w:vAlign w:val="center"/>
          </w:tcPr>
          <w:p w14:paraId="37807DE0">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39" w:name="_Toc22836"/>
            <w:bookmarkStart w:id="2740" w:name="_Toc9288"/>
            <w:bookmarkStart w:id="2741" w:name="_Toc20160"/>
            <w:bookmarkStart w:id="2742" w:name="_Toc22962"/>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临界量（t）</w:t>
            </w:r>
            <w:bookmarkEnd w:id="2739"/>
            <w:bookmarkEnd w:id="2740"/>
            <w:bookmarkEnd w:id="2741"/>
            <w:bookmarkEnd w:id="2742"/>
          </w:p>
        </w:tc>
        <w:tc>
          <w:tcPr>
            <w:tcW w:w="1134" w:type="dxa"/>
            <w:shd w:val="clear" w:color="auto" w:fill="D7D7D7" w:themeFill="background1" w:themeFillShade="D8"/>
            <w:vAlign w:val="center"/>
          </w:tcPr>
          <w:p w14:paraId="6AC162E5">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bookmarkStart w:id="2743" w:name="_Toc12075"/>
            <w:bookmarkStart w:id="2744" w:name="_Toc167"/>
            <w:bookmarkStart w:id="2745" w:name="_Toc26992"/>
            <w:bookmarkStart w:id="2746" w:name="_Toc3086"/>
            <w:r>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t>Q值</w:t>
            </w:r>
            <w:bookmarkEnd w:id="2743"/>
            <w:bookmarkEnd w:id="2744"/>
            <w:bookmarkEnd w:id="2745"/>
            <w:bookmarkEnd w:id="2746"/>
          </w:p>
        </w:tc>
      </w:tr>
      <w:tr w14:paraId="0AD7A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0EBCE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47" w:name="_Toc32203"/>
            <w:bookmarkStart w:id="2748" w:name="_Toc24996"/>
            <w:bookmarkStart w:id="2749" w:name="_Toc388"/>
            <w:bookmarkStart w:id="2750" w:name="_Toc7502"/>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1</w:t>
            </w:r>
            <w:bookmarkEnd w:id="2747"/>
            <w:bookmarkEnd w:id="2748"/>
            <w:bookmarkEnd w:id="2749"/>
            <w:bookmarkEnd w:id="2750"/>
          </w:p>
        </w:tc>
        <w:tc>
          <w:tcPr>
            <w:tcW w:w="1100" w:type="dxa"/>
            <w:vAlign w:val="center"/>
          </w:tcPr>
          <w:p w14:paraId="327E0C0B">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51" w:name="_Toc4442"/>
            <w:bookmarkStart w:id="2752" w:name="_Toc23110"/>
            <w:bookmarkStart w:id="2753" w:name="_Toc2105"/>
            <w:bookmarkStart w:id="2754" w:name="_Toc17800"/>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二氧化氯</w:t>
            </w:r>
            <w:bookmarkEnd w:id="2751"/>
            <w:bookmarkEnd w:id="2752"/>
            <w:bookmarkEnd w:id="2753"/>
            <w:bookmarkEnd w:id="2754"/>
          </w:p>
        </w:tc>
        <w:tc>
          <w:tcPr>
            <w:tcW w:w="1284" w:type="dxa"/>
            <w:vAlign w:val="center"/>
          </w:tcPr>
          <w:p w14:paraId="4934C974">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55" w:name="_Toc5744"/>
            <w:bookmarkStart w:id="2756" w:name="_Toc25553"/>
            <w:bookmarkStart w:id="2757" w:name="_Toc5106"/>
            <w:bookmarkStart w:id="2758" w:name="_Toc22490"/>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氧化性物质</w:t>
            </w:r>
            <w:bookmarkEnd w:id="2755"/>
            <w:bookmarkEnd w:id="2756"/>
            <w:bookmarkEnd w:id="2757"/>
            <w:bookmarkEnd w:id="2758"/>
          </w:p>
        </w:tc>
        <w:tc>
          <w:tcPr>
            <w:tcW w:w="2106" w:type="dxa"/>
            <w:vAlign w:val="center"/>
          </w:tcPr>
          <w:p w14:paraId="5EECFB96">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59" w:name="_Toc25367"/>
            <w:bookmarkStart w:id="2760" w:name="_Toc29209"/>
            <w:bookmarkStart w:id="2761" w:name="_Toc8110"/>
            <w:bookmarkStart w:id="2762" w:name="_Toc23086"/>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污水处理站，袋装</w:t>
            </w:r>
            <w:bookmarkEnd w:id="2759"/>
            <w:bookmarkEnd w:id="2760"/>
            <w:bookmarkEnd w:id="2761"/>
            <w:bookmarkEnd w:id="2762"/>
          </w:p>
        </w:tc>
        <w:tc>
          <w:tcPr>
            <w:tcW w:w="1134" w:type="dxa"/>
            <w:vAlign w:val="center"/>
          </w:tcPr>
          <w:p w14:paraId="33A11FF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63" w:name="_Toc26526"/>
            <w:bookmarkStart w:id="2764" w:name="_Toc11853"/>
            <w:bookmarkStart w:id="2765" w:name="_Toc11794"/>
            <w:bookmarkStart w:id="2766" w:name="_Toc12303"/>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0.2</w:t>
            </w:r>
            <w:bookmarkEnd w:id="2763"/>
            <w:bookmarkEnd w:id="2764"/>
            <w:bookmarkEnd w:id="2765"/>
            <w:bookmarkEnd w:id="2766"/>
          </w:p>
        </w:tc>
        <w:tc>
          <w:tcPr>
            <w:tcW w:w="1134" w:type="dxa"/>
            <w:vAlign w:val="center"/>
          </w:tcPr>
          <w:p w14:paraId="3DFC2B5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67" w:name="_Toc23225"/>
            <w:bookmarkStart w:id="2768" w:name="_Toc23360"/>
            <w:bookmarkStart w:id="2769" w:name="_Toc17375"/>
            <w:bookmarkStart w:id="2770" w:name="_Toc31680"/>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0.5</w:t>
            </w:r>
            <w:bookmarkEnd w:id="2767"/>
            <w:bookmarkEnd w:id="2768"/>
            <w:bookmarkEnd w:id="2769"/>
            <w:bookmarkEnd w:id="2770"/>
          </w:p>
        </w:tc>
        <w:tc>
          <w:tcPr>
            <w:tcW w:w="1134" w:type="dxa"/>
            <w:vAlign w:val="center"/>
          </w:tcPr>
          <w:p w14:paraId="4CE5A01E">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71" w:name="_Toc23174"/>
            <w:bookmarkStart w:id="2772" w:name="_Toc31415"/>
            <w:bookmarkStart w:id="2773" w:name="_Toc32173"/>
            <w:bookmarkStart w:id="2774" w:name="_Toc1014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0.4</w:t>
            </w:r>
            <w:bookmarkEnd w:id="2771"/>
            <w:bookmarkEnd w:id="2772"/>
            <w:bookmarkEnd w:id="2773"/>
            <w:bookmarkEnd w:id="2774"/>
          </w:p>
        </w:tc>
      </w:tr>
      <w:tr w14:paraId="73E0D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9B21E9">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75" w:name="_Toc32128"/>
            <w:bookmarkStart w:id="2776" w:name="_Toc2155"/>
            <w:bookmarkStart w:id="2777" w:name="_Toc21040"/>
            <w:bookmarkStart w:id="2778" w:name="_Toc2241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w:t>
            </w:r>
            <w:bookmarkEnd w:id="2775"/>
            <w:bookmarkEnd w:id="2776"/>
            <w:bookmarkEnd w:id="2777"/>
            <w:bookmarkEnd w:id="2778"/>
          </w:p>
        </w:tc>
        <w:tc>
          <w:tcPr>
            <w:tcW w:w="1100" w:type="dxa"/>
            <w:vAlign w:val="center"/>
          </w:tcPr>
          <w:p w14:paraId="4C156AFD">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79" w:name="_Toc18200"/>
            <w:bookmarkStart w:id="2780" w:name="_Toc18806"/>
            <w:bookmarkStart w:id="2781" w:name="_Toc2098"/>
            <w:bookmarkStart w:id="2782" w:name="_Toc7461"/>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柴油</w:t>
            </w:r>
            <w:bookmarkEnd w:id="2779"/>
            <w:bookmarkEnd w:id="2780"/>
            <w:bookmarkEnd w:id="2781"/>
            <w:bookmarkEnd w:id="2782"/>
          </w:p>
        </w:tc>
        <w:tc>
          <w:tcPr>
            <w:tcW w:w="1284" w:type="dxa"/>
            <w:vAlign w:val="center"/>
          </w:tcPr>
          <w:p w14:paraId="7D64DF1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83" w:name="_Toc31893"/>
            <w:bookmarkStart w:id="2784" w:name="_Toc21479"/>
            <w:bookmarkStart w:id="2785" w:name="_Toc19751"/>
            <w:bookmarkStart w:id="2786" w:name="_Toc1015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易燃液体</w:t>
            </w:r>
            <w:bookmarkEnd w:id="2783"/>
            <w:bookmarkEnd w:id="2784"/>
            <w:bookmarkEnd w:id="2785"/>
            <w:bookmarkEnd w:id="2786"/>
          </w:p>
        </w:tc>
        <w:tc>
          <w:tcPr>
            <w:tcW w:w="2106" w:type="dxa"/>
            <w:vAlign w:val="center"/>
          </w:tcPr>
          <w:p w14:paraId="4D96FB7F">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87" w:name="_Toc24612"/>
            <w:bookmarkStart w:id="2788" w:name="_Toc1366"/>
            <w:bookmarkStart w:id="2789" w:name="_Toc6488"/>
            <w:bookmarkStart w:id="2790" w:name="_Toc880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铁桶装、地下室柴油储存间</w:t>
            </w:r>
            <w:bookmarkEnd w:id="2787"/>
            <w:bookmarkEnd w:id="2788"/>
            <w:bookmarkEnd w:id="2789"/>
            <w:bookmarkEnd w:id="2790"/>
          </w:p>
        </w:tc>
        <w:tc>
          <w:tcPr>
            <w:tcW w:w="1134" w:type="dxa"/>
            <w:vAlign w:val="center"/>
          </w:tcPr>
          <w:p w14:paraId="6B7904B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91" w:name="_Toc21410"/>
            <w:bookmarkStart w:id="2792" w:name="_Toc19330"/>
            <w:bookmarkStart w:id="2793" w:name="_Toc19855"/>
            <w:bookmarkStart w:id="2794" w:name="_Toc3031"/>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3.17</w:t>
            </w:r>
            <w:bookmarkEnd w:id="2791"/>
            <w:bookmarkEnd w:id="2792"/>
            <w:bookmarkEnd w:id="2793"/>
            <w:bookmarkEnd w:id="2794"/>
          </w:p>
        </w:tc>
        <w:tc>
          <w:tcPr>
            <w:tcW w:w="1134" w:type="dxa"/>
            <w:vAlign w:val="center"/>
          </w:tcPr>
          <w:p w14:paraId="14FC4F41">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95" w:name="_Toc10159"/>
            <w:bookmarkStart w:id="2796" w:name="_Toc16994"/>
            <w:bookmarkStart w:id="2797" w:name="_Toc30977"/>
            <w:bookmarkStart w:id="2798" w:name="_Toc32697"/>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2500</w:t>
            </w:r>
            <w:bookmarkEnd w:id="2795"/>
            <w:bookmarkEnd w:id="2796"/>
            <w:bookmarkEnd w:id="2797"/>
            <w:bookmarkEnd w:id="2798"/>
          </w:p>
        </w:tc>
        <w:tc>
          <w:tcPr>
            <w:tcW w:w="1134" w:type="dxa"/>
            <w:vAlign w:val="center"/>
          </w:tcPr>
          <w:p w14:paraId="14F9283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799" w:name="_Toc22586"/>
            <w:bookmarkStart w:id="2800" w:name="_Toc28329"/>
            <w:bookmarkStart w:id="2801" w:name="_Toc12858"/>
            <w:bookmarkStart w:id="2802" w:name="_Toc4328"/>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0.001268</w:t>
            </w:r>
            <w:bookmarkEnd w:id="2799"/>
            <w:bookmarkEnd w:id="2800"/>
            <w:bookmarkEnd w:id="2801"/>
            <w:bookmarkEnd w:id="2802"/>
          </w:p>
        </w:tc>
      </w:tr>
      <w:tr w14:paraId="18B8F4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3" w:type="dxa"/>
            <w:gridSpan w:val="6"/>
            <w:vAlign w:val="center"/>
          </w:tcPr>
          <w:p w14:paraId="3CFD352A">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803" w:name="_Toc19541"/>
            <w:bookmarkStart w:id="2804" w:name="_Toc12267"/>
            <w:bookmarkStart w:id="2805" w:name="_Toc1226"/>
            <w:bookmarkStart w:id="2806" w:name="_Toc5640"/>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合计</w:t>
            </w:r>
            <w:bookmarkEnd w:id="2803"/>
            <w:bookmarkEnd w:id="2804"/>
            <w:bookmarkEnd w:id="2805"/>
            <w:bookmarkEnd w:id="2806"/>
          </w:p>
        </w:tc>
        <w:tc>
          <w:tcPr>
            <w:tcW w:w="1134" w:type="dxa"/>
            <w:vAlign w:val="center"/>
          </w:tcPr>
          <w:p w14:paraId="3BBD1B48">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pPr>
            <w:bookmarkStart w:id="2807" w:name="_Toc7950"/>
            <w:bookmarkStart w:id="2808" w:name="_Toc19152"/>
            <w:bookmarkStart w:id="2809" w:name="_Toc16312"/>
            <w:bookmarkStart w:id="2810" w:name="_Toc27749"/>
            <w:r>
              <w:rPr>
                <w:rFonts w:hint="default" w:ascii="Times New Roman" w:hAnsi="Times New Roman" w:eastAsia="宋体" w:cs="Times New Roman"/>
                <w:b w:val="0"/>
                <w:bCs w:val="0"/>
                <w:i w:val="0"/>
                <w:iCs w:val="0"/>
                <w:caps w:val="0"/>
                <w:color w:val="auto"/>
                <w:spacing w:val="0"/>
                <w:kern w:val="0"/>
                <w:sz w:val="21"/>
                <w:szCs w:val="21"/>
                <w:shd w:val="clear" w:fill="FFFFFF"/>
                <w:vertAlign w:val="baseline"/>
                <w:lang w:val="en-US" w:eastAsia="zh-CN" w:bidi="ar"/>
              </w:rPr>
              <w:t>0.401268</w:t>
            </w:r>
            <w:bookmarkEnd w:id="2807"/>
            <w:bookmarkEnd w:id="2808"/>
            <w:bookmarkEnd w:id="2809"/>
            <w:bookmarkEnd w:id="2810"/>
          </w:p>
        </w:tc>
      </w:tr>
    </w:tbl>
    <w:p w14:paraId="2F6D52E4">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b w:val="0"/>
          <w:bCs w:val="0"/>
          <w:i w:val="0"/>
          <w:iCs w:val="0"/>
          <w:caps w:val="0"/>
          <w:color w:val="auto"/>
          <w:spacing w:val="0"/>
          <w:kern w:val="0"/>
          <w:sz w:val="24"/>
          <w:szCs w:val="24"/>
          <w:shd w:val="clear" w:fill="FFFFFF"/>
          <w:lang w:val="en-US" w:eastAsia="zh-CN" w:bidi="ar"/>
        </w:rPr>
        <w:t>本项目Q＜1，则本项环境风险潜势为Ⅰ。本项目环境风险评价工作等级简单分析。</w:t>
      </w:r>
    </w:p>
    <w:p w14:paraId="07649F54">
      <w:pPr>
        <w:pStyle w:val="6"/>
        <w:bidi w:val="0"/>
        <w:ind w:left="0"/>
        <w:rPr>
          <w:rFonts w:hint="default" w:ascii="Times New Roman" w:hAnsi="Times New Roman" w:eastAsia="宋体" w:cs="Times New Roman"/>
          <w:color w:val="auto"/>
          <w:lang w:val="en-US" w:eastAsia="zh-CN"/>
        </w:rPr>
      </w:pPr>
      <w:bookmarkStart w:id="2811" w:name="_Toc15295"/>
      <w:r>
        <w:rPr>
          <w:rFonts w:hint="default" w:ascii="Times New Roman" w:hAnsi="Times New Roman" w:eastAsia="宋体" w:cs="Times New Roman"/>
          <w:color w:val="auto"/>
          <w:lang w:val="en-US" w:eastAsia="zh-CN"/>
        </w:rPr>
        <w:t>7.5 环境风险识别</w:t>
      </w:r>
      <w:bookmarkEnd w:id="2811"/>
    </w:p>
    <w:p w14:paraId="74DECDCF">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项目运营过程中的安全事故或其他的一些突发性事故会导致环境风险物质泄漏到环境中，引起环境质量的下降甚至恶性循环化以及其他的环境毒性效应。该项目风险源有：</w:t>
      </w:r>
    </w:p>
    <w:p w14:paraId="7A0F9C41">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（1）带有致病性微生物病人存在着治病微生物（细菌、病毒）产生环境风险的潜在可能；</w:t>
      </w:r>
    </w:p>
    <w:p w14:paraId="15B21651">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（2）医疗废水处理设施事故状态下的排污；</w:t>
      </w:r>
    </w:p>
    <w:p w14:paraId="69C75492">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（3）医疗废物在收集、贮存、运送过程中的存在的风险；</w:t>
      </w:r>
    </w:p>
    <w:p w14:paraId="696D6D6C">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（4）危险化学品泄漏。</w:t>
      </w:r>
    </w:p>
    <w:p w14:paraId="6A441F7D">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（5）药物贮存管理风险</w:t>
      </w:r>
    </w:p>
    <w:p w14:paraId="2B5D2303">
      <w:pPr>
        <w:pStyle w:val="6"/>
        <w:bidi w:val="0"/>
        <w:rPr>
          <w:rFonts w:hint="default" w:ascii="Times New Roman" w:hAnsi="Times New Roman" w:eastAsia="宋体" w:cs="Times New Roman"/>
          <w:color w:val="auto"/>
          <w:lang w:val="en-US" w:eastAsia="zh-CN"/>
        </w:rPr>
      </w:pPr>
      <w:bookmarkStart w:id="2812" w:name="_Toc4350"/>
      <w:r>
        <w:rPr>
          <w:rFonts w:hint="default" w:ascii="Times New Roman" w:hAnsi="Times New Roman" w:eastAsia="宋体" w:cs="Times New Roman"/>
          <w:color w:val="auto"/>
          <w:lang w:val="en-US" w:eastAsia="zh-CN"/>
        </w:rPr>
        <w:t>7.6物质风险源分析</w:t>
      </w:r>
      <w:bookmarkEnd w:id="2812"/>
    </w:p>
    <w:p w14:paraId="6B2FD2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根据《建设项目环境风险评价技术导则》（HJ169-2018）中要求，大气环境、地表水环境、地下水环境风险简单分析仅定性分析，不做预测。</w:t>
      </w:r>
    </w:p>
    <w:p w14:paraId="727271D8">
      <w:pPr>
        <w:pStyle w:val="7"/>
        <w:bidi w:val="0"/>
        <w:rPr>
          <w:rFonts w:hint="default" w:ascii="Times New Roman" w:hAnsi="Times New Roman" w:eastAsia="宋体" w:cs="Times New Roman"/>
          <w:color w:val="auto"/>
        </w:rPr>
      </w:pPr>
      <w:bookmarkStart w:id="2813" w:name="_Toc4491"/>
      <w:r>
        <w:rPr>
          <w:rFonts w:hint="default" w:ascii="Times New Roman" w:hAnsi="Times New Roman" w:eastAsia="宋体" w:cs="Times New Roman"/>
          <w:color w:val="auto"/>
          <w:lang w:val="en-US" w:eastAsia="zh-CN"/>
        </w:rPr>
        <w:t>7.6.1大气环境风险分析</w:t>
      </w:r>
      <w:bookmarkEnd w:id="2813"/>
      <w:r>
        <w:rPr>
          <w:rFonts w:hint="default" w:ascii="Times New Roman" w:hAnsi="Times New Roman" w:eastAsia="宋体" w:cs="Times New Roman"/>
          <w:color w:val="auto"/>
          <w:lang w:val="en-US" w:eastAsia="zh-CN"/>
        </w:rPr>
        <w:t xml:space="preserve"> </w:t>
      </w:r>
    </w:p>
    <w:p w14:paraId="3A04D847">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污水处理采用二氧化氯作消毒剂，使用成品二氧化氯试剂：二氧化氯A剂和二氧化氯B剂，按照使用说明二氧化氯投加装置内先加水，再加A剂，十五分钟后再加B剂，该操作方法简单、安全。二氧化氯水溶液的浓度在8-10g/L时，将产生引起爆炸危险的高压蒸汽，本项目废水处理设施消毒使用二氧化氯量10g/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远低于8-10g/L。由于二氧化氯活化液不稳定，项目使用的二氧化氯为成品试剂，若发生故障，二氧化氯溶液全部泄漏，污水处理设施中二氧化氯浓度仍远低于8-10g/L，二氧化氯泄漏风险较低。当发生二氧化氯泄漏事故时立即向空气中喷洒雾状水进行吸收稀释，并立即疏散周围人群拨打应急救援电话。为避免二氧化氯泄漏，应加强设备维修管理，增强风险防范意识，尽量降低风险发生概率。</w:t>
      </w:r>
    </w:p>
    <w:p w14:paraId="2C21C6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本项目设有供氧系统，位于医院西南面，供养系统设置了氧气储罐储备能力为5m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，能储备少量氧气，所用氧气为外购，每月配送2次。当用氧高峰或停电时，自动切换开启钢瓶储罐由中心供养管道供氧至各个需要氧气的病房。</w:t>
      </w:r>
    </w:p>
    <w:p w14:paraId="38D0B3EE">
      <w:pPr>
        <w:pStyle w:val="7"/>
        <w:bidi w:val="0"/>
        <w:rPr>
          <w:rFonts w:hint="default" w:ascii="Times New Roman" w:hAnsi="Times New Roman" w:eastAsia="宋体" w:cs="Times New Roman"/>
          <w:color w:val="auto"/>
        </w:rPr>
      </w:pPr>
      <w:bookmarkStart w:id="2814" w:name="_Toc28792"/>
      <w:r>
        <w:rPr>
          <w:rFonts w:hint="default" w:ascii="Times New Roman" w:hAnsi="Times New Roman" w:eastAsia="宋体" w:cs="Times New Roman"/>
          <w:color w:val="auto"/>
          <w:lang w:val="en-US" w:eastAsia="zh-CN"/>
        </w:rPr>
        <w:t>7.6.2地表水环境风险分析</w:t>
      </w:r>
      <w:bookmarkEnd w:id="2814"/>
      <w:r>
        <w:rPr>
          <w:rFonts w:hint="default" w:ascii="Times New Roman" w:hAnsi="Times New Roman" w:eastAsia="宋体" w:cs="Times New Roman"/>
          <w:color w:val="auto"/>
          <w:lang w:val="en-US" w:eastAsia="zh-CN"/>
        </w:rPr>
        <w:t xml:space="preserve"> </w:t>
      </w:r>
    </w:p>
    <w:p w14:paraId="33C69A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本项目因废水处理设施发生故障，如：管道破裂、泵设备损坏或失效、人为操作失误等，引起废水未经处理直接排放至环境，将对地表水环境造成影响。</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根据《医院污水处理工程技术规范》（HJ2029-2013）中对“传染病医院污水处理工程应急事故池容积不小于日排放量的100%，非传染病医院事故池容积不小于日排放量30%的规定”。项目为综合医院，拟设置处理能力</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/d污水处理设施，故本次环评提出建设1个</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24</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的事故应急池，</w:t>
      </w:r>
      <w:r>
        <w:rPr>
          <w:rFonts w:hint="default" w:ascii="Times New Roman" w:hAnsi="Times New Roman" w:eastAsia="宋体" w:cs="Times New Roman"/>
          <w:color w:val="auto"/>
          <w:kern w:val="0"/>
          <w:sz w:val="24"/>
          <w:szCs w:val="24"/>
          <w:lang w:val="en-US" w:eastAsia="zh-CN" w:bidi="ar"/>
        </w:rPr>
        <w:t>待污水处理站正常工作后再经污水处理站处理后达标外排；项目污水处理站配套两套消毒系统（一备一用），采用二氧化氯（二氧化氯AB剂）成品，可确保粪大肠菌群数达到排放标准排入大英县城市生活污水处理厂处理。经采取措施，事故废水收集处理后进入市政污水管网，不直接排入地表水体，风险可控。</w:t>
      </w:r>
    </w:p>
    <w:p w14:paraId="5E810A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项目乙醇（酒精）为医院常用消毒物品，外购酒精为密封瓶装酒精，酒精最大存量约1000瓶，统一存放于药品库内，经加强储存管理，使用时采取登记使用等措施，泄漏风险较低，环境风险可控。</w:t>
      </w:r>
    </w:p>
    <w:p w14:paraId="7A65770E">
      <w:pPr>
        <w:pStyle w:val="7"/>
        <w:bidi w:val="0"/>
        <w:rPr>
          <w:rFonts w:hint="default" w:ascii="Times New Roman" w:hAnsi="Times New Roman" w:eastAsia="宋体" w:cs="Times New Roman"/>
          <w:color w:val="auto"/>
          <w:lang w:val="en-US" w:eastAsia="zh-CN"/>
        </w:rPr>
      </w:pPr>
      <w:bookmarkStart w:id="2815" w:name="_Toc19880"/>
      <w:r>
        <w:rPr>
          <w:rFonts w:hint="default" w:ascii="Times New Roman" w:hAnsi="Times New Roman" w:eastAsia="宋体" w:cs="Times New Roman"/>
          <w:color w:val="auto"/>
          <w:lang w:val="en-US" w:eastAsia="zh-CN"/>
        </w:rPr>
        <w:t>7.6.2地下水环境风险分析</w:t>
      </w:r>
      <w:bookmarkEnd w:id="2815"/>
    </w:p>
    <w:p w14:paraId="31797462">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医疗废物中可能存在传染性病菌、病毒、化学污染物等有害物质，医疗废物具有空间污染、急性传染和潜伏性污染等特征，且基本没有回收再利用的价值。</w:t>
      </w:r>
    </w:p>
    <w:p w14:paraId="4120B3D7">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废物残留及衍生的大量病菌是十分有害有毒的物质，如果不经分类收集等有效处理的话，很容易引起各种疾病的传播和蔓延。例如，如果项目医疗废物和生活垃圾混合进行填埋或回收加工，对大气环境和地下水可能造成一定的影响。对医疗废物暂存间地面作重点防渗，经采取以上环境风险防范措施后，风险可控。</w:t>
      </w:r>
    </w:p>
    <w:p w14:paraId="181DC9C8">
      <w:pPr>
        <w:pStyle w:val="6"/>
        <w:bidi w:val="0"/>
        <w:ind w:left="0"/>
        <w:rPr>
          <w:rFonts w:hint="default" w:ascii="Times New Roman" w:hAnsi="Times New Roman" w:eastAsia="宋体" w:cs="Times New Roman"/>
          <w:color w:val="auto"/>
          <w:lang w:val="en-US" w:eastAsia="zh-CN"/>
        </w:rPr>
      </w:pPr>
      <w:bookmarkStart w:id="2816" w:name="_Toc13603"/>
      <w:r>
        <w:rPr>
          <w:rFonts w:hint="default" w:ascii="Times New Roman" w:hAnsi="Times New Roman" w:eastAsia="宋体" w:cs="Times New Roman"/>
          <w:color w:val="auto"/>
          <w:lang w:val="en-US" w:eastAsia="zh-CN"/>
        </w:rPr>
        <w:t>7.7环境风险防范措施</w:t>
      </w:r>
      <w:bookmarkEnd w:id="2816"/>
    </w:p>
    <w:p w14:paraId="1BAEC98E">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817" w:name="_Toc22645"/>
      <w:bookmarkStart w:id="2818" w:name="_Toc31420"/>
      <w:bookmarkStart w:id="2819" w:name="_Toc9332"/>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（1）污水处理站</w:t>
      </w:r>
      <w:bookmarkEnd w:id="2817"/>
      <w:bookmarkEnd w:id="2818"/>
      <w:bookmarkEnd w:id="2819"/>
    </w:p>
    <w:p w14:paraId="622A6061">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加强污水处理设施设备、管线、阀门等设备元器件的维护保养，对系统的薄弱环节如消毒设备等易出故障的地方，加强检查、维护保养，及时更新。对处理设备故障要及时抢修，防止因处理设备故障抢修不及时而造成污水超标排放；</w:t>
      </w:r>
    </w:p>
    <w:p w14:paraId="058D9233">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②污水处理设施设备要合理配电，防止因停电造成污水超标排放；</w:t>
      </w:r>
    </w:p>
    <w:p w14:paraId="42B6030A">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③项目应配套建设完善的排水系统和切换系统，以应对因管道破裂、泵设备损坏或失效、人为操作失误等事故，确保事故污水全部收集至事故池暂存，待事故结束后妥善处理；</w:t>
      </w:r>
    </w:p>
    <w:p w14:paraId="2164BA0F">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④一旦出现非正常情况，操作人员应立即启动废水回流系统至事故应急池，关闭废水排放口的阀门。查找原因，及时抢修，待系统正常运行达标后方可开启排放口阀门；</w:t>
      </w:r>
    </w:p>
    <w:p w14:paraId="09895A32">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⑤加强对操作人员的岗位培训，建立健全的环保管理机制和各项环保规章制度，落实岗位环保责任制，加强环境风险防范工作，防止事故排放导致环境问题；</w:t>
      </w:r>
    </w:p>
    <w:p w14:paraId="1074205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820" w:name="_Toc9202"/>
      <w:bookmarkStart w:id="2821" w:name="_Toc2628"/>
      <w:bookmarkStart w:id="2822" w:name="_Toc14241"/>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（2）医疗废物暂存间</w:t>
      </w:r>
      <w:bookmarkEnd w:id="2820"/>
      <w:bookmarkEnd w:id="2821"/>
      <w:bookmarkEnd w:id="2822"/>
    </w:p>
    <w:p w14:paraId="062B2BD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建成运营后预计共产生医疗废物约200.75t/a，具体产生类别、名称等情况详见表。必须经科学地分类收集、贮存运送后交由有资质的单位统一处理处置。鉴于医疗废物的极大危害性，该项目在收集、贮存、运送医疗废物的过程中存在着一定的风险。为保证项目产生的医疗废物得到有效处置，使其风险减少到 最小程度，而不会对周围环境造成不良影响，应具体采取如下的措施进行防范。</w:t>
      </w:r>
    </w:p>
    <w:p w14:paraId="0935AB3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①应对项目产生的医疗废物进行科学的分类收集</w:t>
      </w:r>
    </w:p>
    <w:p w14:paraId="0FFFE2E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科学的分类是消除污染、无害化处置的保证，要采用专用容器，明确各类废 弃物标识，分类包装，分类堆放，并本着及时、方便、安全、快捷的原则，进行 收集。感染性废物、病理性废物、损伤性废物、药物性废物及化学性废物是不能 混合收集；放入包装物或者容器内的感染性废物、病理性废物、损伤性废物不得 取出。当盛装的医疗废物达到包装物或者容器的3/4时，应当使用有效的封口方 式，使包装物或者容器的封口紧实、严密。对于盛装医疗废物的塑料包装袋应当 符合下列规格：</w:t>
      </w:r>
    </w:p>
    <w:p w14:paraId="60ADFA7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A、黄色—700×550mm 塑料袋：感染性废物；</w:t>
      </w:r>
    </w:p>
    <w:p w14:paraId="1718DB4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B、红色—700×550mm 塑料袋：传染性废物；</w:t>
      </w:r>
    </w:p>
    <w:p w14:paraId="6D650A1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C、绿色—400×300mm 塑料袋：损伤性废物；</w:t>
      </w:r>
    </w:p>
    <w:p w14:paraId="7F88212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D、红色—400×300mm 塑料袋：传染性损伤性废物。</w:t>
      </w:r>
    </w:p>
    <w:p w14:paraId="0A1B5D4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而盛装医疗废物的外包装纸箱应符合下列要求：</w:t>
      </w:r>
    </w:p>
    <w:p w14:paraId="7C3B95E6">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印有红色“传染性废物”—600×400×500mm 纸箱；</w:t>
      </w:r>
    </w:p>
    <w:p w14:paraId="55E94D48">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印有绿色“损伤性废物”—400×200×300mm 纸箱； </w:t>
      </w:r>
    </w:p>
    <w:p w14:paraId="2625B11C">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印有红色“传染性损伤性废物”—600×400×500mm 纸箱。</w:t>
      </w:r>
    </w:p>
    <w:p w14:paraId="15A5FA9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产生的医疗废物中病原体的培养基、标本和菌种、毒种保存液等高危险废物，由检验科、病理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14:paraId="67822AE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14:paraId="7062194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所有锐利物都必须单独存放，并统一按医学废物处理。收集锐利物日包装容 器必须使用硬质、防漏、防刺破材料。针或刀应保存在有明显标记、防泄漏、防 刺破的容器内。处理含有锐利物品的感染性废料时应使用防刺破手套。</w:t>
      </w:r>
    </w:p>
    <w:p w14:paraId="4A77F11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另外，有害化学废物不能与一般废物、无害化学废物或感染性废物相混合。稀释通常不能使有害化学废物的毒性减低。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14:paraId="4D43B66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②医疗废物的贮存和运送</w:t>
      </w:r>
    </w:p>
    <w:p w14:paraId="092809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建立医疗废物暂时贮存设施、设备，不得露天存放医疗废物；医疗废物暂时贮存的时间不得超过2天，应得到及时、有效地处理。</w:t>
      </w:r>
    </w:p>
    <w:p w14:paraId="2AD2678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医疗卫生机构建立的医疗废物暂时贮存设施、设备应当达到以下要求：</w:t>
      </w:r>
    </w:p>
    <w:p w14:paraId="3EBE7221">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远离医疗区、食品加工区、人员活动区和生活垃圾存放场所，方便医疗废物运送人员及运送工具、车辆的出入；该项目贮存场所设在后勤楼负一层，专门设有污物通道，符合上述要求； </w:t>
      </w:r>
    </w:p>
    <w:p w14:paraId="53BCD8E2">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有严密的封闭措施，设专（兼）职人员管理，防止非工作人员接触医疗废物；</w:t>
      </w:r>
    </w:p>
    <w:p w14:paraId="4DA6699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C、有防鼠、防蚊蝇、防蟑螂的安全措施；防止渗漏和雨水冲刷；易于清洁和消毒；避免阳光直射；</w:t>
      </w:r>
    </w:p>
    <w:p w14:paraId="35249A8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D、设有明显的医疗废物警示标识和“禁止吸烟、饮食”的警示标识。</w:t>
      </w:r>
    </w:p>
    <w:p w14:paraId="4C20F74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E、暂时贮存病理性废物，应当具备低温贮存或者防腐条件。</w:t>
      </w:r>
    </w:p>
    <w:p w14:paraId="303DC9D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医疗废物转交出去后，应当对暂时贮存地点、设施及时进行清洁和消毒处理。</w:t>
      </w:r>
    </w:p>
    <w:p w14:paraId="19DE8B5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对于医疗固体废物，禁止将其在非收集、非暂时贮存地点倾倒、堆放；禁止将医疗废物混入其它废物和生活垃圾；禁止在内部运送过程中丢弃医疗废物</w:t>
      </w:r>
    </w:p>
    <w:p w14:paraId="2C156360">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823" w:name="_Toc28077"/>
      <w:bookmarkStart w:id="2824" w:name="_Toc26857"/>
      <w:bookmarkStart w:id="2825" w:name="_Toc1400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（3）氧气站</w:t>
      </w:r>
      <w:bookmarkEnd w:id="2823"/>
      <w:bookmarkEnd w:id="2824"/>
      <w:bookmarkEnd w:id="2825"/>
    </w:p>
    <w:p w14:paraId="268CEE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在氧气站设置明显的警示牌，非工作人员不准进入室内；室内禁止使用家用电器如电加热器、电扇等电器；室内严禁烟火，严禁将火柴、打火机、易爆物品带入室内；严禁在室内存放乙醚，汽油和一切沾油的物质；定期检查并调节室内的氧浓度（氧的浓度不得超过 25%）；定期检查并调节室内的湿度（相对湿度宜在30%-35%范围内）。</w:t>
      </w:r>
    </w:p>
    <w:p w14:paraId="4E0292F7">
      <w:pPr>
        <w:pStyle w:val="6"/>
        <w:bidi w:val="0"/>
        <w:ind w:left="0"/>
        <w:rPr>
          <w:rFonts w:hint="default" w:ascii="Times New Roman" w:hAnsi="Times New Roman" w:eastAsia="宋体" w:cs="Times New Roman"/>
          <w:color w:val="auto"/>
          <w:lang w:val="en-US" w:eastAsia="zh-CN"/>
        </w:rPr>
      </w:pPr>
      <w:bookmarkStart w:id="2826" w:name="_Toc9678"/>
      <w:r>
        <w:rPr>
          <w:rFonts w:hint="default" w:ascii="Times New Roman" w:hAnsi="Times New Roman" w:eastAsia="宋体" w:cs="Times New Roman"/>
          <w:color w:val="auto"/>
          <w:lang w:val="en-US" w:eastAsia="zh-CN"/>
        </w:rPr>
        <w:t>7.8环境风险管理</w:t>
      </w:r>
      <w:bookmarkEnd w:id="2826"/>
    </w:p>
    <w:p w14:paraId="27FEB8DA">
      <w:pPr>
        <w:pStyle w:val="7"/>
        <w:bidi w:val="0"/>
        <w:rPr>
          <w:rFonts w:hint="default" w:ascii="Times New Roman" w:hAnsi="Times New Roman" w:eastAsia="宋体" w:cs="Times New Roman"/>
          <w:color w:val="auto"/>
        </w:rPr>
      </w:pPr>
      <w:bookmarkStart w:id="2827" w:name="_Toc18565"/>
      <w:r>
        <w:rPr>
          <w:rFonts w:hint="default" w:ascii="Times New Roman" w:hAnsi="Times New Roman" w:eastAsia="宋体" w:cs="Times New Roman"/>
          <w:color w:val="auto"/>
          <w:lang w:val="en-US" w:eastAsia="zh-CN"/>
        </w:rPr>
        <w:t>7.8.1环境风险防范措施</w:t>
      </w:r>
      <w:bookmarkEnd w:id="2827"/>
    </w:p>
    <w:p w14:paraId="2DB1DD6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14:paraId="01172B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（1）树立环境风险意识</w:t>
      </w:r>
    </w:p>
    <w:p w14:paraId="1A86D33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该项目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14:paraId="0C2FB71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（2）规范并强化在运输、储存、处理过程中的环境风险预防措施</w:t>
      </w:r>
    </w:p>
    <w:p w14:paraId="0A74558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预防安全事故的发生，建设单位必须制定比较完善的环境安全管理规章制度，应从制度上对环境风险予以防范，尽管该项目的许多事故虽不一定导致环境安全事故的发生，却会产生一定的环境污染事故后果。对于这类事故的预防仍然需要制定相应的防范措施，从运输、储存、处理等各个环节予以全面考虑，并力图做到规范且可操作性强。如：医疗废物在收集、预处理、运输过程中因意外出现泄漏，应立即报告医院保卫部门，封闭现场，进行清理。清理干净后，需要对现场进行严格消毒，对含有毒性强的医疗废物泄漏，还应该立即疏散周围人群，设置警示标志及距离，并在处理过程中穿防护服。</w:t>
      </w:r>
    </w:p>
    <w:p w14:paraId="356C4BB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针对柴油发电机柴油泄漏现象，本环评建议对柴油发电机房做防渗处理，可以防止柴油泄漏对周边环境的影响。</w:t>
      </w:r>
    </w:p>
    <w:p w14:paraId="7FA3ADD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（3）加强巡回检查，减少医疗废物泄漏对环境的污染</w:t>
      </w:r>
    </w:p>
    <w:p w14:paraId="7B4BF56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疗废物在装卸、运输的“跑、冒、滴、漏”现象是风险来源之一，其后果在大多数情况下并不导致人员受伤或是设备受损，但外泄的危险废物对环境造成污染。因此加强巡回检查，是发现“跑、冒、滴、漏”等事故的重要手段。每日的巡回检查应做详细记录，发现问题应及时上报，并做到及时防范。</w:t>
      </w:r>
    </w:p>
    <w:p w14:paraId="534D22C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（4）加强资料的日常记录与管理</w:t>
      </w:r>
    </w:p>
    <w:p w14:paraId="4FD8FB5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加强对废水处理系统各项操作参数等资料的日常记录及管理监测，及时发现问题并采取减缓危害的措施。</w:t>
      </w:r>
    </w:p>
    <w:p w14:paraId="0AC9708A">
      <w:pPr>
        <w:pStyle w:val="7"/>
        <w:bidi w:val="0"/>
        <w:rPr>
          <w:rFonts w:hint="default" w:ascii="Times New Roman" w:hAnsi="Times New Roman" w:eastAsia="宋体" w:cs="Times New Roman"/>
          <w:color w:val="auto"/>
          <w:lang w:val="en-US" w:eastAsia="zh-CN"/>
        </w:rPr>
      </w:pPr>
      <w:bookmarkStart w:id="2828" w:name="_Toc6254"/>
      <w:r>
        <w:rPr>
          <w:rFonts w:hint="default" w:ascii="Times New Roman" w:hAnsi="Times New Roman" w:eastAsia="宋体" w:cs="Times New Roman"/>
          <w:color w:val="auto"/>
          <w:lang w:val="en-US" w:eastAsia="zh-CN"/>
        </w:rPr>
        <w:t>7.8.</w:t>
      </w:r>
      <w:r>
        <w:rPr>
          <w:rFonts w:hint="eastAsia" w:ascii="Times New Roman" w:hAnsi="Times New Roman" w:eastAsia="宋体" w:cs="Times New Roman"/>
          <w:color w:val="auto"/>
          <w:lang w:val="en-US" w:eastAsia="zh-CN"/>
        </w:rPr>
        <w:t>2环境风险</w:t>
      </w:r>
      <w:r>
        <w:rPr>
          <w:rFonts w:hint="default" w:ascii="Times New Roman" w:hAnsi="Times New Roman" w:eastAsia="宋体" w:cs="Times New Roman"/>
          <w:color w:val="auto"/>
          <w:lang w:val="en-US" w:eastAsia="zh-CN"/>
        </w:rPr>
        <w:t>应对措施</w:t>
      </w:r>
      <w:bookmarkEnd w:id="2828"/>
    </w:p>
    <w:p w14:paraId="56BEA57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采取必要的事故应急措施，建议建设单位对以下几方面予以着重考虑：</w:t>
      </w:r>
    </w:p>
    <w:p w14:paraId="1FA9C82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①制定全面、周密的风险救援计划，以应付可能发生的各种事故，保证发生事故后能够做到有章可循。</w:t>
      </w:r>
    </w:p>
    <w:p w14:paraId="52489DF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制定污水处理站、医疗废物收集、预处理、运输、处理、检验室、化学品库事故应急预案；建立医院应急管理、报警体系；制定传染病流行期间和爆发期间的环境紧急预案（包括空气、污水、医疗废物的应急消毒预案，紧急安全预案，临近社区防范措施等）。</w:t>
      </w:r>
    </w:p>
    <w:p w14:paraId="6F19BA6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③危险废物运输车辆上配备必要的防中毒、消防、通讯及其它的应急设施，确保发生事故后能具有一定的自救手段和通讯联络能力。</w:t>
      </w:r>
    </w:p>
    <w:p w14:paraId="39FA40D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定期举行应急培训活动，对该项目相关人员进行事故应急救援培训，提高事故发生后的应急处理能力；对新上岗的工作人员、实习人员、进行岗前安全、环保培训，重点部门的人员定期轮训；在对所有参与医疗废物管理处理的人员进行知识培训后，还对其进行了责任分配制度，确保医院所产生的医疗固废在任意一个环节都能责任到人，确保不出现意外。</w:t>
      </w:r>
    </w:p>
    <w:p w14:paraId="48D8F73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本项目设计2座消防水池。1号消防水池提供室内消防用水量，消防水池位于1#楼负二层地下车库，储存有1118m³的消防水池，水池分两格（585m³+533m³），每格水池设两根DN100自来水补水管。2号消防水池提供室外消防用水量，消防水池位于锅炉房-1F，有效容积432m³。</w:t>
      </w:r>
    </w:p>
    <w:p w14:paraId="12E0695E">
      <w:pPr>
        <w:pStyle w:val="6"/>
        <w:bidi w:val="0"/>
        <w:ind w:left="0"/>
        <w:rPr>
          <w:rFonts w:hint="default" w:ascii="Times New Roman" w:hAnsi="Times New Roman" w:eastAsia="宋体" w:cs="Times New Roman"/>
          <w:color w:val="auto"/>
          <w:lang w:val="en-US" w:eastAsia="zh-CN"/>
        </w:rPr>
      </w:pPr>
    </w:p>
    <w:p w14:paraId="54B1025D">
      <w:pPr>
        <w:pStyle w:val="6"/>
        <w:bidi w:val="0"/>
        <w:ind w:left="0"/>
        <w:rPr>
          <w:rFonts w:hint="default" w:ascii="Times New Roman" w:hAnsi="Times New Roman" w:eastAsia="宋体" w:cs="Times New Roman"/>
          <w:color w:val="auto"/>
          <w:lang w:val="en-US" w:eastAsia="zh-CN"/>
        </w:rPr>
      </w:pPr>
      <w:bookmarkStart w:id="2829" w:name="_Toc26548"/>
      <w:r>
        <w:rPr>
          <w:rFonts w:hint="default" w:ascii="Times New Roman" w:hAnsi="Times New Roman" w:eastAsia="宋体" w:cs="Times New Roman"/>
          <w:color w:val="auto"/>
          <w:lang w:val="en-US" w:eastAsia="zh-CN"/>
        </w:rPr>
        <w:t>7.9环境风险应急预案</w:t>
      </w:r>
      <w:bookmarkEnd w:id="2829"/>
    </w:p>
    <w:p w14:paraId="6AB3399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为有效防范突发环境事件的发生，及时、合理处置可能发生的各类重大、特大环境污染事故，保障人民群众身心健康及正常生产、生活活动，依据《中华人民共和国环境保护法》的规定，制定本预案。</w:t>
      </w:r>
    </w:p>
    <w:p w14:paraId="69A1A191">
      <w:pPr>
        <w:pStyle w:val="7"/>
        <w:bidi w:val="0"/>
        <w:rPr>
          <w:rFonts w:hint="default" w:ascii="Times New Roman" w:hAnsi="Times New Roman" w:eastAsia="宋体" w:cs="Times New Roman"/>
          <w:color w:val="auto"/>
        </w:rPr>
      </w:pPr>
      <w:bookmarkStart w:id="2830" w:name="_Toc18259"/>
      <w:r>
        <w:rPr>
          <w:rFonts w:hint="default" w:ascii="Times New Roman" w:hAnsi="Times New Roman" w:eastAsia="宋体" w:cs="Times New Roman"/>
          <w:color w:val="auto"/>
          <w:lang w:val="en-US" w:eastAsia="zh-CN"/>
        </w:rPr>
        <w:t>7.9.1制定目的</w:t>
      </w:r>
      <w:bookmarkEnd w:id="2830"/>
    </w:p>
    <w:p w14:paraId="30816E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事故应急处理预案是指为减少事故后果而预先制定的抢险救灾方案，是进行事故救援活动的行动指南，制定事故应急预案的目的是以下两点：</w:t>
      </w:r>
    </w:p>
    <w:p w14:paraId="33E29C5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1）使任何可能引起的紧急情况不扩大，并尽可能地排除它们； </w:t>
      </w:r>
    </w:p>
    <w:p w14:paraId="4953DF8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2）减少事故造成的人员伤亡和财产以及对环境产生的不利影响。</w:t>
      </w:r>
      <w:r>
        <w:rPr>
          <w:rFonts w:hint="default" w:ascii="Times New Roman" w:hAnsi="Times New Roman" w:eastAsia="宋体" w:cs="Times New Roman"/>
          <w:color w:val="auto"/>
          <w:kern w:val="0"/>
          <w:sz w:val="24"/>
          <w:szCs w:val="24"/>
          <w:lang w:val="en-US" w:eastAsia="zh-CN" w:bidi="ar"/>
        </w:rPr>
        <w:t xml:space="preserve"> </w:t>
      </w:r>
    </w:p>
    <w:p w14:paraId="17F527E3">
      <w:pPr>
        <w:pStyle w:val="7"/>
        <w:bidi w:val="0"/>
        <w:rPr>
          <w:rFonts w:hint="default" w:ascii="Times New Roman" w:hAnsi="Times New Roman" w:eastAsia="宋体" w:cs="Times New Roman"/>
          <w:color w:val="auto"/>
        </w:rPr>
      </w:pPr>
      <w:bookmarkStart w:id="2831" w:name="_Toc24789"/>
      <w:r>
        <w:rPr>
          <w:rFonts w:hint="default" w:ascii="Times New Roman" w:hAnsi="Times New Roman" w:eastAsia="宋体" w:cs="Times New Roman"/>
          <w:color w:val="auto"/>
          <w:lang w:val="en-US" w:eastAsia="zh-CN"/>
        </w:rPr>
        <w:t>7.9.2指导思想</w:t>
      </w:r>
      <w:bookmarkEnd w:id="2831"/>
      <w:r>
        <w:rPr>
          <w:rFonts w:hint="default" w:ascii="Times New Roman" w:hAnsi="Times New Roman" w:eastAsia="宋体" w:cs="Times New Roman"/>
          <w:color w:val="auto"/>
          <w:lang w:val="en-US" w:eastAsia="zh-CN"/>
        </w:rPr>
        <w:t xml:space="preserve"> </w:t>
      </w:r>
    </w:p>
    <w:p w14:paraId="694AF0E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突发环境事件控制和处置必须以规范和强化环境管理机构应对突发环境事件应急处置工作为目标，以预防突发环境事件为重点，逐步完善运营单位处置突发环境事件的预警、处置及善后工作机制，建立防范有力、指挥有序、快速高效和统一协调的突发环境事件应急处置体系。</w:t>
      </w:r>
    </w:p>
    <w:p w14:paraId="24C349A1">
      <w:pPr>
        <w:pStyle w:val="7"/>
        <w:bidi w:val="0"/>
        <w:rPr>
          <w:rFonts w:hint="default" w:ascii="Times New Roman" w:hAnsi="Times New Roman" w:eastAsia="宋体" w:cs="Times New Roman"/>
          <w:color w:val="auto"/>
        </w:rPr>
      </w:pPr>
      <w:bookmarkStart w:id="2832" w:name="_Toc18721"/>
      <w:r>
        <w:rPr>
          <w:rFonts w:hint="default" w:ascii="Times New Roman" w:hAnsi="Times New Roman" w:eastAsia="宋体" w:cs="Times New Roman"/>
          <w:color w:val="auto"/>
          <w:lang w:val="en-US" w:eastAsia="zh-CN"/>
        </w:rPr>
        <w:t>7.9.3基本原则</w:t>
      </w:r>
      <w:bookmarkEnd w:id="2832"/>
      <w:r>
        <w:rPr>
          <w:rFonts w:hint="default" w:ascii="Times New Roman" w:hAnsi="Times New Roman" w:eastAsia="宋体" w:cs="Times New Roman"/>
          <w:color w:val="auto"/>
          <w:lang w:val="en-US" w:eastAsia="zh-CN"/>
        </w:rPr>
        <w:t xml:space="preserve"> </w:t>
      </w:r>
    </w:p>
    <w:p w14:paraId="0477218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1）贯彻“预防为主”的方针，建立和加强突发环境事件的预警机制，切实做到及时发现、及时报告、快速反应、及时控制；</w:t>
      </w:r>
    </w:p>
    <w:p w14:paraId="47514B9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2）按照“先控制后处理”的原则，迅速查明事件原因，果断提出处置措施，防止污染扩大，尽量减小污染范围；</w:t>
      </w:r>
    </w:p>
    <w:p w14:paraId="3C43EC3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3）以事实为依据，重视证据、重视技术手段，防止主观臆断；</w:t>
      </w:r>
    </w:p>
    <w:p w14:paraId="7B71B2E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4）制定安全防护措施，确保处置人员及周围群众的人身安全；</w:t>
      </w:r>
    </w:p>
    <w:p w14:paraId="705C7B3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5）明确自身职责，妥善协调参与处置突发事件有关部门或人员的关系；</w:t>
      </w:r>
    </w:p>
    <w:p w14:paraId="274BAF2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6）建立以环境监察机构为主，部门联动，快速反应的工作机制。</w:t>
      </w:r>
    </w:p>
    <w:p w14:paraId="04ECB47C">
      <w:pPr>
        <w:pStyle w:val="7"/>
        <w:bidi w:val="0"/>
        <w:rPr>
          <w:rFonts w:hint="default" w:ascii="Times New Roman" w:hAnsi="Times New Roman" w:eastAsia="宋体" w:cs="Times New Roman"/>
          <w:color w:val="auto"/>
        </w:rPr>
      </w:pPr>
      <w:bookmarkStart w:id="2833" w:name="_Toc6130"/>
      <w:r>
        <w:rPr>
          <w:rFonts w:hint="default" w:ascii="Times New Roman" w:hAnsi="Times New Roman" w:eastAsia="宋体" w:cs="Times New Roman"/>
          <w:color w:val="auto"/>
          <w:lang w:val="en-US" w:eastAsia="zh-CN"/>
        </w:rPr>
        <w:t>7.9.4环境事故因素识别</w:t>
      </w:r>
      <w:bookmarkEnd w:id="2833"/>
      <w:r>
        <w:rPr>
          <w:rFonts w:hint="default" w:ascii="Times New Roman" w:hAnsi="Times New Roman" w:eastAsia="宋体" w:cs="Times New Roman"/>
          <w:color w:val="auto"/>
          <w:lang w:val="en-US" w:eastAsia="zh-CN"/>
        </w:rPr>
        <w:t xml:space="preserve"> </w:t>
      </w:r>
    </w:p>
    <w:p w14:paraId="41785E4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根据该建设项目的规模和特点，在项目运营过程中可能造成环境事故的因素主要有以下点： </w:t>
      </w:r>
    </w:p>
    <w:p w14:paraId="67EA642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（1）在日常医疗过程中，由于医院方与众多病患及家属的高频接触，存在产生致病微生物蔓延的环境风险潜在可能性。</w:t>
      </w:r>
    </w:p>
    <w:p w14:paraId="54FB62F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（2）医疗废物在收集、贮存、运送过程中发生渗漏、泄漏的环境风险。</w:t>
      </w:r>
    </w:p>
    <w:p w14:paraId="6D97DA05">
      <w:pPr>
        <w:pStyle w:val="7"/>
        <w:bidi w:val="0"/>
        <w:rPr>
          <w:rFonts w:hint="default" w:ascii="Times New Roman" w:hAnsi="Times New Roman" w:eastAsia="宋体" w:cs="Times New Roman"/>
          <w:color w:val="auto"/>
        </w:rPr>
      </w:pPr>
      <w:bookmarkStart w:id="2834" w:name="_Toc14575"/>
      <w:r>
        <w:rPr>
          <w:rFonts w:hint="default" w:ascii="Times New Roman" w:hAnsi="Times New Roman" w:eastAsia="宋体" w:cs="Times New Roman"/>
          <w:color w:val="auto"/>
          <w:lang w:val="en-US" w:eastAsia="zh-CN"/>
        </w:rPr>
        <w:t>7.9.5组织机构及职责任务</w:t>
      </w:r>
      <w:bookmarkEnd w:id="2834"/>
      <w:r>
        <w:rPr>
          <w:rFonts w:hint="default" w:ascii="Times New Roman" w:hAnsi="Times New Roman" w:eastAsia="宋体" w:cs="Times New Roman"/>
          <w:color w:val="auto"/>
          <w:lang w:val="en-US" w:eastAsia="zh-CN"/>
        </w:rPr>
        <w:t xml:space="preserve"> </w:t>
      </w:r>
    </w:p>
    <w:p w14:paraId="56E1DA7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1）组织机构</w:t>
      </w:r>
    </w:p>
    <w:p w14:paraId="1B97AE6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组织机构主要为医院成立的环境安全管理机构，由医院环保第一责任人、环保直接负责人、环保主管部门负责人和其他的专职环境管理人员组成。</w:t>
      </w:r>
    </w:p>
    <w:p w14:paraId="0860787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2）主要职责 </w:t>
      </w:r>
    </w:p>
    <w:p w14:paraId="21A34B4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①宣传学习突发环境事件应急工作的方针、政策，贯彻落实上级领导对环境污染事故应急的指示精神；</w:t>
      </w:r>
    </w:p>
    <w:p w14:paraId="52CC1A6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②掌握有关突发环境事件应急情报信息和事态变化情况，及时将事故上报有关部门；</w:t>
      </w:r>
    </w:p>
    <w:p w14:paraId="419F987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③负责有关突发环境事件应急工作措施落实情况、工作进展情况，信息联络、传达、报送、新闻发布等工作；</w:t>
      </w:r>
    </w:p>
    <w:p w14:paraId="061CF7C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④配合上级指挥部门进行现场处置、调查、取证工作；</w:t>
      </w:r>
    </w:p>
    <w:p w14:paraId="013CE7A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⑤协调有关部门，指导污染区域的警戒工作；</w:t>
      </w:r>
    </w:p>
    <w:p w14:paraId="5DA34BA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⑥根据现场调查、取证结果并参考专家意见，确定事件处置的技术措施；</w:t>
      </w:r>
    </w:p>
    <w:p w14:paraId="097536E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⑦负责对外组织协调、分析事件原因、向应急领导组报告现场处置情况；</w:t>
      </w:r>
    </w:p>
    <w:p w14:paraId="42FF130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⑧完成当地政府有关应急领导组交办的其他工作；</w:t>
      </w:r>
    </w:p>
    <w:p w14:paraId="1D2ACB4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⑨配合专家组对突发环境事件的危害范围、发展趋势做出科学评估，为上级应急领导组的决策和指挥提供科学依据；</w:t>
      </w:r>
    </w:p>
    <w:p w14:paraId="1DC42F4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⑩配合专家组参与污染程度、危害范围、事件等级的判定，对污染区域的警报设立与解除等重大防护措施的决策提供技术依据。</w:t>
      </w:r>
    </w:p>
    <w:p w14:paraId="45AC10B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3）主要任务 </w:t>
      </w:r>
    </w:p>
    <w:p w14:paraId="064130B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①划定隔离区域，制定处置措施，控制事件现场；</w:t>
      </w:r>
    </w:p>
    <w:p w14:paraId="4135E87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②进行现场调查，认定突发环境事件等级，按规定向有关部门和当地各级政府报告；</w:t>
      </w:r>
    </w:p>
    <w:p w14:paraId="6792278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③查明事件原因，判明污染区域，提出处置措施，防止污染扩大；</w:t>
      </w:r>
    </w:p>
    <w:p w14:paraId="673D02A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④负责污染警报的设立和解除；</w:t>
      </w:r>
    </w:p>
    <w:p w14:paraId="5C5D4C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⑤负责对污染事故进行调查取证，立案查处，接受上级管理部门的监督管理；</w:t>
      </w:r>
    </w:p>
    <w:p w14:paraId="624C58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⑥负责完成有关部门提出的环境恢复、生态修复建议措施；</w:t>
      </w:r>
    </w:p>
    <w:p w14:paraId="672B58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⑦参与指挥急救、疏散、恢复正常秩序、安定群众情绪等方面的工作。</w:t>
      </w:r>
    </w:p>
    <w:p w14:paraId="5C47F35F">
      <w:pPr>
        <w:pStyle w:val="7"/>
        <w:bidi w:val="0"/>
        <w:rPr>
          <w:rFonts w:hint="default" w:ascii="Times New Roman" w:hAnsi="Times New Roman" w:eastAsia="宋体" w:cs="Times New Roman"/>
          <w:color w:val="auto"/>
        </w:rPr>
      </w:pPr>
      <w:bookmarkStart w:id="2835" w:name="_Toc20057"/>
      <w:r>
        <w:rPr>
          <w:rFonts w:hint="default" w:ascii="Times New Roman" w:hAnsi="Times New Roman" w:eastAsia="宋体" w:cs="Times New Roman"/>
          <w:color w:val="auto"/>
          <w:lang w:val="en-US" w:eastAsia="zh-CN"/>
        </w:rPr>
        <w:t>7.9.6处置程序</w:t>
      </w:r>
      <w:bookmarkEnd w:id="2835"/>
    </w:p>
    <w:p w14:paraId="0C43FD3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①迅速报告</w:t>
      </w:r>
    </w:p>
    <w:p w14:paraId="7CE98DC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发生突发环境事件后，必须在第一时间向当地环保部门应急报告。同时，配合有关管理部门，立即启动应急指挥系统，检查所需仪器装备，了解事发地地形地貌、气象条件、地表及地下水文条件、重要保护目标及其分布等情况。</w:t>
      </w:r>
    </w:p>
    <w:p w14:paraId="31574A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②快速出警</w:t>
      </w:r>
    </w:p>
    <w:p w14:paraId="0D5DBE0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接到指令后，配合应急现场指挥组率各应急小组携带环境应急专用设备，在最短的时间内赶赴事发现场。</w:t>
      </w:r>
    </w:p>
    <w:p w14:paraId="7215FD1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③现场控制</w:t>
      </w:r>
    </w:p>
    <w:p w14:paraId="12FDE4A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应急处置小组到达现场后，应迅速控制现场、划定紧急隔离区域、设置警告标志、制定处置措施，切断污染源，防止污染物扩散。</w:t>
      </w:r>
    </w:p>
    <w:p w14:paraId="4654E35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应急监测小组到达现场后，应迅速布点监测，在第一时间确定污染物种类，出具监测数据。</w:t>
      </w:r>
    </w:p>
    <w:p w14:paraId="7DE3817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④现场调查</w:t>
      </w:r>
    </w:p>
    <w:p w14:paraId="4A67E7D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应急处置小组应迅速展开现场调查、取证工作，查明事件原因、影响程度等；并负责与当地公安、消防等单位协调，共同进行现场勘验工作。</w:t>
      </w:r>
    </w:p>
    <w:p w14:paraId="669B063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⑤现场报告</w:t>
      </w:r>
    </w:p>
    <w:p w14:paraId="02F95F3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各应急小组将现场调查情况、应急监测数据和现场处置情况，及时报告应急现场指挥组。</w:t>
      </w:r>
    </w:p>
    <w:p w14:paraId="6A416A7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⑥污染处置</w:t>
      </w:r>
    </w:p>
    <w:p w14:paraId="67821EC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各应急小组根据现场调查和查阅有关资料并参考专家意见，向应急现场指挥组提出污染处置方案。</w:t>
      </w:r>
    </w:p>
    <w:p w14:paraId="12C4D4A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⑦污染警戒区域划定和消息发布</w:t>
      </w:r>
    </w:p>
    <w:p w14:paraId="0603B84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应急处置小组根据污染监测数据和现场调查，向应急现场指挥组提出污染警戒区域（划定禁止取水区域或居住区域）的建议。应急现场指挥组向应急领导组报告后发布警报决定。</w:t>
      </w:r>
    </w:p>
    <w:p w14:paraId="69D880F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⑧污染跟踪</w:t>
      </w:r>
    </w:p>
    <w:p w14:paraId="47F4CDA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应急小组要对污染状况进行跟踪调查，根据监测数据和其他有关数据编制分析图表，预测污染迁移强度、速度和影响范围，及时调整对策。每 24 小时向应急现场指挥组报告一次污染事故处理动态和下一步对策（续报），直至突发事件消失。</w:t>
      </w:r>
    </w:p>
    <w:p w14:paraId="7F60A5D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⑨污染警报解除</w:t>
      </w:r>
    </w:p>
    <w:p w14:paraId="2A361DE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污染警报解除由应急现场指挥组根据监测数据报应急领导小组同意后发布。</w:t>
      </w:r>
    </w:p>
    <w:p w14:paraId="0C71400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⑩调查取证</w:t>
      </w:r>
    </w:p>
    <w:p w14:paraId="27AA45C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全程详细记录污染事故过程、污染范围、周围环境状况、污染物排放情况、污染途径、危害程度等内容，调查、分析事故原因。尽可能采用原始的第一手材料，科学分析确定事故责任人，依法对涉案人员作调查询问笔录，立案查处。</w:t>
      </w:r>
    </w:p>
    <w:p w14:paraId="580E064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⑪结案归档 </w:t>
      </w:r>
    </w:p>
    <w:p w14:paraId="44E054A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污染事故处理完毕后，及时归纳、整理，形成总结报告，按照一事一卷要求存档备案，并上报有关部门。</w:t>
      </w:r>
    </w:p>
    <w:p w14:paraId="4C9C40F3">
      <w:pPr>
        <w:pStyle w:val="7"/>
        <w:bidi w:val="0"/>
        <w:rPr>
          <w:rFonts w:hint="default" w:ascii="Times New Roman" w:hAnsi="Times New Roman" w:eastAsia="宋体" w:cs="Times New Roman"/>
          <w:color w:val="auto"/>
        </w:rPr>
      </w:pPr>
      <w:bookmarkStart w:id="2836" w:name="_Toc21248"/>
      <w:r>
        <w:rPr>
          <w:rFonts w:hint="default" w:ascii="Times New Roman" w:hAnsi="Times New Roman" w:eastAsia="宋体" w:cs="Times New Roman"/>
          <w:color w:val="auto"/>
          <w:lang w:val="en-US" w:eastAsia="zh-CN"/>
        </w:rPr>
        <w:t>7.9.7应急处置工作保障</w:t>
      </w:r>
      <w:bookmarkEnd w:id="2836"/>
    </w:p>
    <w:p w14:paraId="3BD5B0F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①应急能力建设要求</w:t>
      </w:r>
    </w:p>
    <w:p w14:paraId="46DBF77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服从上级应急现场指挥组统一指挥，切实加强应急能力建设，完善应对突发环境事件的各项内部制度，加强培训和演练。</w:t>
      </w:r>
    </w:p>
    <w:p w14:paraId="0672BAA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②培训与演练</w:t>
      </w:r>
    </w:p>
    <w:p w14:paraId="11BFFD5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加强环保系统专业技术人员日常培训和重要目标工作人员的培训管理，培养一批训练有素具备突发环境事件处置能力的专门人才。要结合当地实际，组织不同类型的实战演练，以积累处置突发环境事件的应急处置经验，增强实战能力。</w:t>
      </w:r>
    </w:p>
    <w:p w14:paraId="54625DF8">
      <w:pPr>
        <w:pStyle w:val="6"/>
        <w:bidi w:val="0"/>
        <w:rPr>
          <w:rFonts w:hint="default" w:ascii="Times New Roman" w:hAnsi="Times New Roman" w:eastAsia="宋体" w:cs="Times New Roman"/>
          <w:color w:val="auto"/>
        </w:rPr>
      </w:pPr>
      <w:bookmarkStart w:id="2837" w:name="_Toc30409"/>
      <w:r>
        <w:rPr>
          <w:rFonts w:hint="default" w:ascii="Times New Roman" w:hAnsi="Times New Roman" w:eastAsia="宋体" w:cs="Times New Roman"/>
          <w:color w:val="auto"/>
          <w:lang w:val="en-US" w:eastAsia="zh-CN"/>
        </w:rPr>
        <w:t>7.10风险评价结论</w:t>
      </w:r>
      <w:bookmarkEnd w:id="2837"/>
    </w:p>
    <w:p w14:paraId="3CE01F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838" w:name="_Toc9319"/>
      <w:bookmarkStart w:id="2839" w:name="_Toc13535"/>
      <w:bookmarkStart w:id="2840" w:name="_Toc9520"/>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（1）结论</w:t>
      </w:r>
      <w:bookmarkEnd w:id="2838"/>
      <w:bookmarkEnd w:id="2839"/>
      <w:bookmarkEnd w:id="2840"/>
    </w:p>
    <w:p w14:paraId="785F0E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医院在严格遵守各项安全操作规程、制度和落实风险评价要求的防范措施之后，项目营运期风险是可接受的。</w:t>
      </w:r>
    </w:p>
    <w:p w14:paraId="5DBC57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841" w:name="_Toc573"/>
      <w:bookmarkStart w:id="2842" w:name="_Toc4929"/>
      <w:bookmarkStart w:id="2843" w:name="_Toc24105"/>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（2）建议</w:t>
      </w:r>
      <w:bookmarkEnd w:id="2841"/>
      <w:bookmarkEnd w:id="2842"/>
      <w:bookmarkEnd w:id="2843"/>
    </w:p>
    <w:p w14:paraId="45A90DF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为确保医院的安全运行，避免非正常状况和事故的发生，或将事故危害程度降至最低程度，根据风险分析提出如下建议：</w:t>
      </w:r>
    </w:p>
    <w:p w14:paraId="6D64DB0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①健全医院环保规章制度：严格在岗人员操作管理，操作人员须通过培训和定期考核，方可上岗；与此同时，加强设备、管道、各项治污措施的定期检修和维护工作；</w:t>
      </w:r>
    </w:p>
    <w:p w14:paraId="707C8E9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②医院应根据运营过程中所出现的新问题，不断地健全各项规章制度。</w:t>
      </w:r>
    </w:p>
    <w:p w14:paraId="755328D4">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val="en-US" w:eastAsia="zh-CN" w:bidi="ar"/>
        </w:rPr>
        <w:t>表 7.10-1 建设项目环境风险简单分析内容表</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6162"/>
      </w:tblGrid>
      <w:tr w14:paraId="7FB0A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60C82418">
            <w:pPr>
              <w:keepNext w:val="0"/>
              <w:keepLines w:val="0"/>
              <w:widowControl/>
              <w:suppressLineNumbers w:val="0"/>
              <w:spacing w:line="240" w:lineRule="auto"/>
              <w:jc w:val="left"/>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建设项目名称</w:t>
            </w:r>
          </w:p>
        </w:tc>
        <w:tc>
          <w:tcPr>
            <w:tcW w:w="6162" w:type="dxa"/>
            <w:vAlign w:val="center"/>
          </w:tcPr>
          <w:p w14:paraId="34AE7A28">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大英县医疗救治救援中心综合建设项目</w:t>
            </w:r>
          </w:p>
        </w:tc>
      </w:tr>
      <w:tr w14:paraId="71A8C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45DB1C74">
            <w:pPr>
              <w:keepNext w:val="0"/>
              <w:keepLines w:val="0"/>
              <w:widowControl/>
              <w:suppressLineNumbers w:val="0"/>
              <w:spacing w:line="240" w:lineRule="auto"/>
              <w:jc w:val="left"/>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建设地点</w:t>
            </w:r>
          </w:p>
        </w:tc>
        <w:tc>
          <w:tcPr>
            <w:tcW w:w="6162" w:type="dxa"/>
            <w:vAlign w:val="center"/>
          </w:tcPr>
          <w:p w14:paraId="36944285">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四川省遂宁市大英县文旅产业园区</w:t>
            </w:r>
          </w:p>
        </w:tc>
      </w:tr>
      <w:tr w14:paraId="5F48A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38D960C4">
            <w:pPr>
              <w:keepNext w:val="0"/>
              <w:keepLines w:val="0"/>
              <w:widowControl/>
              <w:suppressLineNumbers w:val="0"/>
              <w:spacing w:line="240" w:lineRule="auto"/>
              <w:jc w:val="left"/>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地理坐标</w:t>
            </w:r>
          </w:p>
        </w:tc>
        <w:tc>
          <w:tcPr>
            <w:tcW w:w="6162" w:type="dxa"/>
            <w:vAlign w:val="center"/>
          </w:tcPr>
          <w:p w14:paraId="456EC1F9">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E105.258213，N30.599787</w:t>
            </w:r>
          </w:p>
        </w:tc>
      </w:tr>
      <w:tr w14:paraId="08E20D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36F06502">
            <w:pPr>
              <w:keepNext w:val="0"/>
              <w:keepLines w:val="0"/>
              <w:widowControl/>
              <w:suppressLineNumbers w:val="0"/>
              <w:spacing w:line="240" w:lineRule="auto"/>
              <w:jc w:val="left"/>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主要危险物质及分布</w:t>
            </w:r>
          </w:p>
        </w:tc>
        <w:tc>
          <w:tcPr>
            <w:tcW w:w="6162" w:type="dxa"/>
            <w:vAlign w:val="center"/>
          </w:tcPr>
          <w:p w14:paraId="2020BCE1">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液氧站、2#后勤楼、污水处理站、医废暂存间</w:t>
            </w:r>
          </w:p>
        </w:tc>
      </w:tr>
      <w:tr w14:paraId="4D1F75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41991560">
            <w:pPr>
              <w:keepNext w:val="0"/>
              <w:keepLines w:val="0"/>
              <w:widowControl/>
              <w:suppressLineNumbers w:val="0"/>
              <w:spacing w:line="240" w:lineRule="auto"/>
              <w:jc w:val="left"/>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环境影响途径及危害后果（大气、地表水、地下水等）</w:t>
            </w:r>
          </w:p>
        </w:tc>
        <w:tc>
          <w:tcPr>
            <w:tcW w:w="6162" w:type="dxa"/>
            <w:vAlign w:val="center"/>
          </w:tcPr>
          <w:p w14:paraId="4EF8E575">
            <w:pPr>
              <w:keepNext w:val="0"/>
              <w:keepLines w:val="0"/>
              <w:widowControl/>
              <w:suppressLineNumbers w:val="0"/>
              <w:jc w:val="left"/>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由于污水渗漏，对河流、土壤、地下水等造成污染。</w:t>
            </w:r>
          </w:p>
        </w:tc>
      </w:tr>
      <w:tr w14:paraId="5A7B0A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4" w:type="dxa"/>
            <w:vAlign w:val="center"/>
          </w:tcPr>
          <w:p w14:paraId="2CCBA529">
            <w:pPr>
              <w:keepNext w:val="0"/>
              <w:keepLines w:val="0"/>
              <w:widowControl/>
              <w:suppressLineNumbers w:val="0"/>
              <w:spacing w:line="240" w:lineRule="auto"/>
              <w:jc w:val="left"/>
              <w:rPr>
                <w:rFonts w:hint="default" w:ascii="Times New Roman" w:hAnsi="Times New Roman" w:eastAsia="宋体" w:cs="Times New Roman"/>
                <w:b/>
                <w:bCs/>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风险防范措施要求</w:t>
            </w:r>
          </w:p>
        </w:tc>
        <w:tc>
          <w:tcPr>
            <w:tcW w:w="6162" w:type="dxa"/>
            <w:vAlign w:val="center"/>
          </w:tcPr>
          <w:p w14:paraId="19FA9B57">
            <w:pPr>
              <w:keepNext w:val="0"/>
              <w:keepLines w:val="0"/>
              <w:widowControl/>
              <w:suppressLineNumbers w:val="0"/>
              <w:jc w:val="left"/>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kern w:val="0"/>
                <w:sz w:val="21"/>
                <w:szCs w:val="21"/>
                <w:lang w:val="en-US" w:eastAsia="zh-CN" w:bidi="ar"/>
              </w:rPr>
              <w:t>定期检查，制定环境风险应急预案</w:t>
            </w:r>
          </w:p>
        </w:tc>
      </w:tr>
      <w:tr w14:paraId="3BDFA7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6" w:type="dxa"/>
            <w:gridSpan w:val="2"/>
            <w:vAlign w:val="center"/>
          </w:tcPr>
          <w:p w14:paraId="7D42BECE">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填表说明（列出项目相关信息及评价说明）：</w:t>
            </w:r>
          </w:p>
          <w:p w14:paraId="60736281">
            <w:pPr>
              <w:keepNext w:val="0"/>
              <w:keepLines w:val="0"/>
              <w:widowControl/>
              <w:suppressLineNumbers w:val="0"/>
              <w:spacing w:line="240" w:lineRule="auto"/>
              <w:jc w:val="left"/>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color w:val="auto"/>
                <w:sz w:val="21"/>
                <w:szCs w:val="21"/>
                <w:highlight w:val="none"/>
                <w:lang w:val="en-US" w:eastAsia="zh-CN"/>
              </w:rPr>
              <w:t>根据建设项目环境风险评价技术导则》（HJ169-2018）风险评价规则，本项目环境风险潜势为Ⅰ，根据评价工作等级划分，本项目只需进行简单分析。</w:t>
            </w:r>
          </w:p>
        </w:tc>
      </w:tr>
    </w:tbl>
    <w:p w14:paraId="403799DD">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本项目风险评价结论：项目的环境风险程度较低，处于环境可接受的水平，项目风险防范措施可行。因此，项目从环境风险角度可行。</w:t>
      </w:r>
    </w:p>
    <w:p w14:paraId="6E8030BF">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p>
    <w:p w14:paraId="42C4A66F">
      <w:pPr>
        <w:keepNext w:val="0"/>
        <w:keepLines w:val="0"/>
        <w:pageBreakBefore w:val="0"/>
        <w:widowControl/>
        <w:suppressLineNumbers w:val="0"/>
        <w:kinsoku/>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p>
    <w:p w14:paraId="17C2C458">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635E7494">
      <w:pPr>
        <w:pStyle w:val="5"/>
        <w:bidi w:val="0"/>
        <w:rPr>
          <w:rFonts w:hint="default" w:ascii="Times New Roman" w:hAnsi="Times New Roman" w:eastAsia="宋体" w:cs="Times New Roman"/>
          <w:color w:val="auto"/>
        </w:rPr>
      </w:pPr>
      <w:bookmarkStart w:id="2844" w:name="_Toc14198"/>
      <w:r>
        <w:rPr>
          <w:rFonts w:hint="default" w:ascii="Times New Roman" w:hAnsi="Times New Roman" w:eastAsia="宋体" w:cs="Times New Roman"/>
          <w:color w:val="auto"/>
          <w:lang w:val="en-US" w:eastAsia="zh-CN"/>
        </w:rPr>
        <w:t>8环保措施经济技术可行性论证</w:t>
      </w:r>
      <w:bookmarkEnd w:id="2844"/>
    </w:p>
    <w:p w14:paraId="07153E31">
      <w:pPr>
        <w:pStyle w:val="6"/>
        <w:bidi w:val="0"/>
        <w:rPr>
          <w:rFonts w:hint="default" w:ascii="Times New Roman" w:hAnsi="Times New Roman" w:eastAsia="宋体" w:cs="Times New Roman"/>
          <w:color w:val="auto"/>
        </w:rPr>
      </w:pPr>
      <w:bookmarkStart w:id="2845" w:name="_Toc25411"/>
      <w:r>
        <w:rPr>
          <w:rFonts w:hint="default" w:ascii="Times New Roman" w:hAnsi="Times New Roman" w:eastAsia="宋体" w:cs="Times New Roman"/>
          <w:color w:val="auto"/>
          <w:lang w:val="en-US" w:eastAsia="zh-CN"/>
        </w:rPr>
        <w:t>8.1 项目施工期环境保护措施及论证</w:t>
      </w:r>
      <w:bookmarkEnd w:id="2845"/>
    </w:p>
    <w:p w14:paraId="386D53E9">
      <w:pPr>
        <w:pStyle w:val="7"/>
        <w:bidi w:val="0"/>
        <w:rPr>
          <w:rFonts w:hint="default" w:ascii="Times New Roman" w:hAnsi="Times New Roman" w:eastAsia="宋体" w:cs="Times New Roman"/>
          <w:color w:val="auto"/>
        </w:rPr>
      </w:pPr>
      <w:bookmarkStart w:id="2846" w:name="_Toc21278"/>
      <w:r>
        <w:rPr>
          <w:rFonts w:hint="default" w:ascii="Times New Roman" w:hAnsi="Times New Roman" w:eastAsia="宋体" w:cs="Times New Roman"/>
          <w:color w:val="auto"/>
          <w:lang w:val="en-US" w:eastAsia="zh-CN"/>
        </w:rPr>
        <w:t>8.1.1 施工期环保措施</w:t>
      </w:r>
      <w:bookmarkEnd w:id="2846"/>
    </w:p>
    <w:p w14:paraId="737AF8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施工期产生扬尘、噪声、建筑弃碴及施工废水等，影响空气、声、地表水及生态环境。拟采用以下管理措施和工程措施。</w:t>
      </w:r>
    </w:p>
    <w:p w14:paraId="084F08C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管理措施：</w:t>
      </w:r>
    </w:p>
    <w:p w14:paraId="2EFA3D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将施工期环保工作纳入合同管理，明确施工单位为有关环保工作责任方，业主单位为监督和管理方；并要求施工单位将环保措施的执行情况纳入生产管理体系中，建立相应的工作制度；同时加强对施工队伍的环保宣传工作。</w:t>
      </w:r>
    </w:p>
    <w:p w14:paraId="682950C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工程措施：</w:t>
      </w:r>
    </w:p>
    <w:p w14:paraId="2261873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（1）扬尘防护：①定期洒水降尘，主要产尘作业点装防尘网；②及时清除路面尘土。</w:t>
      </w:r>
    </w:p>
    <w:p w14:paraId="63D480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（2）噪声防治：混凝土拌和等作业点尽量远离厂界。</w:t>
      </w:r>
    </w:p>
    <w:p w14:paraId="51A9A4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（3）建筑弃碴处置：①弃碴按当地环卫部门要求及时清运至指定的建碴堆放场地；②临时堆方应避开沟渠，遮盖堆置。</w:t>
      </w:r>
    </w:p>
    <w:p w14:paraId="5A173C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（4）施工废水：在施工废水排放点建简易沉沙凼，施工废水回用；施工生活污水旱厕处理后用于就近农田施肥。</w:t>
      </w:r>
    </w:p>
    <w:p w14:paraId="713138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（5）生态恢复及水土保持措施：①工程施工时注意保护植被，对损毁的植被及时补种和恢复；②建碴及时清运；③及时进行场内施工迹地恢复。</w:t>
      </w:r>
    </w:p>
    <w:p w14:paraId="7EB01827">
      <w:pPr>
        <w:pStyle w:val="7"/>
        <w:bidi w:val="0"/>
        <w:rPr>
          <w:rFonts w:hint="default" w:ascii="Times New Roman" w:hAnsi="Times New Roman" w:eastAsia="宋体" w:cs="Times New Roman"/>
          <w:color w:val="auto"/>
        </w:rPr>
      </w:pPr>
      <w:bookmarkStart w:id="2847" w:name="_Toc26806"/>
      <w:r>
        <w:rPr>
          <w:rFonts w:hint="default" w:ascii="Times New Roman" w:hAnsi="Times New Roman" w:eastAsia="宋体" w:cs="Times New Roman"/>
          <w:color w:val="auto"/>
          <w:lang w:val="en-US" w:eastAsia="zh-CN"/>
        </w:rPr>
        <w:t>8.1.2 措施论证</w:t>
      </w:r>
      <w:bookmarkEnd w:id="2847"/>
    </w:p>
    <w:p w14:paraId="2047A1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分析认为，通过施工管理措施的落实，可极大地约束和控制施工期的“三废”、噪声及水土流失量；同时通过实施相应的工程防范措施、生态治理及恢复，又可将工程施工对生态环境的破坏及扬尘、噪声、废水、弃碴的影响限制到很低的程度及很小的范围内。采纳上述的管理措施和工程措施，大大削减了施工“三废”和噪声的排放，同时可节省污染防治费用。施工期环保措施可行。</w:t>
      </w:r>
    </w:p>
    <w:p w14:paraId="1C8AA9F2">
      <w:pPr>
        <w:pStyle w:val="6"/>
        <w:bidi w:val="0"/>
        <w:rPr>
          <w:rFonts w:hint="default" w:ascii="Times New Roman" w:hAnsi="Times New Roman" w:eastAsia="宋体" w:cs="Times New Roman"/>
          <w:color w:val="auto"/>
          <w:lang w:val="en-US" w:eastAsia="zh-CN"/>
        </w:rPr>
      </w:pPr>
    </w:p>
    <w:p w14:paraId="42071B85">
      <w:pPr>
        <w:pStyle w:val="6"/>
        <w:bidi w:val="0"/>
        <w:rPr>
          <w:rFonts w:hint="default" w:ascii="Times New Roman" w:hAnsi="Times New Roman" w:eastAsia="宋体" w:cs="Times New Roman"/>
          <w:color w:val="auto"/>
          <w:lang w:val="en-US" w:eastAsia="zh-CN"/>
        </w:rPr>
      </w:pPr>
    </w:p>
    <w:p w14:paraId="4F9944FC">
      <w:pPr>
        <w:pStyle w:val="6"/>
        <w:bidi w:val="0"/>
        <w:rPr>
          <w:rFonts w:hint="default" w:ascii="Times New Roman" w:hAnsi="Times New Roman" w:eastAsia="宋体" w:cs="Times New Roman"/>
          <w:color w:val="auto"/>
        </w:rPr>
      </w:pPr>
      <w:bookmarkStart w:id="2848" w:name="_Toc31655"/>
      <w:r>
        <w:rPr>
          <w:rFonts w:hint="default" w:ascii="Times New Roman" w:hAnsi="Times New Roman" w:eastAsia="宋体" w:cs="Times New Roman"/>
          <w:color w:val="auto"/>
          <w:lang w:val="en-US" w:eastAsia="zh-CN"/>
        </w:rPr>
        <w:t>8.2 项目营运期环境保护措施及论证</w:t>
      </w:r>
      <w:bookmarkEnd w:id="2848"/>
      <w:r>
        <w:rPr>
          <w:rFonts w:hint="default" w:ascii="Times New Roman" w:hAnsi="Times New Roman" w:eastAsia="宋体" w:cs="Times New Roman"/>
          <w:color w:val="auto"/>
          <w:lang w:val="en-US" w:eastAsia="zh-CN"/>
        </w:rPr>
        <w:t xml:space="preserve"> </w:t>
      </w:r>
    </w:p>
    <w:p w14:paraId="5C13A15A">
      <w:pPr>
        <w:pStyle w:val="7"/>
        <w:bidi w:val="0"/>
        <w:rPr>
          <w:rFonts w:hint="default" w:ascii="Times New Roman" w:hAnsi="Times New Roman" w:eastAsia="宋体" w:cs="Times New Roman"/>
          <w:color w:val="auto"/>
        </w:rPr>
      </w:pPr>
      <w:bookmarkStart w:id="2849" w:name="_Toc32276"/>
      <w:r>
        <w:rPr>
          <w:rFonts w:hint="default" w:ascii="Times New Roman" w:hAnsi="Times New Roman" w:eastAsia="宋体" w:cs="Times New Roman"/>
          <w:color w:val="auto"/>
          <w:lang w:val="en-US" w:eastAsia="zh-CN"/>
        </w:rPr>
        <w:t>8.2.1 营运期废气治理措施论证</w:t>
      </w:r>
      <w:bookmarkEnd w:id="2849"/>
    </w:p>
    <w:p w14:paraId="2B52D0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本项目运营期废气主要为污水处理恶臭、固废暂存间异味、食堂油烟、汽车尾气、备用柴油发电机废气和</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中药熬制异味</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等</w:t>
      </w:r>
      <w:r>
        <w:rPr>
          <w:rFonts w:hint="default" w:ascii="Times New Roman" w:hAnsi="Times New Roman" w:eastAsia="宋体" w:cs="Times New Roman"/>
          <w:color w:val="auto"/>
          <w:kern w:val="0"/>
          <w:sz w:val="24"/>
          <w:szCs w:val="24"/>
          <w:lang w:val="en-US" w:eastAsia="zh-CN" w:bidi="ar"/>
        </w:rPr>
        <w:t>。废气治理措施见下表。</w:t>
      </w:r>
    </w:p>
    <w:p w14:paraId="01ED7B75">
      <w:pPr>
        <w:pStyle w:val="19"/>
        <w:keepNext w:val="0"/>
        <w:keepLines w:val="0"/>
        <w:pageBreakBefore w:val="0"/>
        <w:kinsoku/>
        <w:wordWrap/>
        <w:overflowPunct/>
        <w:topLinePunct w:val="0"/>
        <w:autoSpaceDE/>
        <w:autoSpaceDN/>
        <w:bidi w:val="0"/>
        <w:adjustRightInd/>
        <w:snapToGrid/>
        <w:spacing w:before="0" w:after="0" w:line="360" w:lineRule="auto"/>
        <w:ind w:left="0" w:firstLine="422" w:firstLineChars="200"/>
        <w:jc w:val="center"/>
        <w:textAlignment w:val="auto"/>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bCs/>
          <w:i w:val="0"/>
          <w:iCs w:val="0"/>
          <w:caps w:val="0"/>
          <w:color w:val="auto"/>
          <w:spacing w:val="0"/>
          <w:kern w:val="0"/>
          <w:sz w:val="21"/>
          <w:szCs w:val="21"/>
          <w:shd w:val="clear" w:fill="FFFFFF"/>
          <w:lang w:val="en-US" w:eastAsia="zh-CN" w:bidi="ar"/>
        </w:rPr>
        <w:t>表8.2-1 项目废气治理措施</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200"/>
        <w:gridCol w:w="1337"/>
        <w:gridCol w:w="4257"/>
      </w:tblGrid>
      <w:tr w14:paraId="10701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shd w:val="clear" w:color="auto" w:fill="D7D7D7" w:themeFill="background1" w:themeFillShade="D8"/>
            <w:vAlign w:val="center"/>
          </w:tcPr>
          <w:p w14:paraId="717FE6AD">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200" w:type="dxa"/>
            <w:shd w:val="clear" w:color="auto" w:fill="D7D7D7" w:themeFill="background1" w:themeFillShade="D8"/>
            <w:vAlign w:val="center"/>
          </w:tcPr>
          <w:p w14:paraId="688A97A0">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废气</w:t>
            </w:r>
          </w:p>
        </w:tc>
        <w:tc>
          <w:tcPr>
            <w:tcW w:w="1337" w:type="dxa"/>
            <w:shd w:val="clear" w:color="auto" w:fill="D7D7D7" w:themeFill="background1" w:themeFillShade="D8"/>
            <w:vAlign w:val="center"/>
          </w:tcPr>
          <w:p w14:paraId="440B5037">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主要污染物</w:t>
            </w:r>
          </w:p>
        </w:tc>
        <w:tc>
          <w:tcPr>
            <w:tcW w:w="4257" w:type="dxa"/>
            <w:shd w:val="clear" w:color="auto" w:fill="D7D7D7" w:themeFill="background1" w:themeFillShade="D8"/>
            <w:vAlign w:val="center"/>
          </w:tcPr>
          <w:p w14:paraId="5F569F44">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治理措施</w:t>
            </w:r>
          </w:p>
        </w:tc>
      </w:tr>
      <w:tr w14:paraId="4248A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236F559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200" w:type="dxa"/>
            <w:vAlign w:val="center"/>
          </w:tcPr>
          <w:p w14:paraId="65C95AD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污水处理站废气</w:t>
            </w:r>
          </w:p>
        </w:tc>
        <w:tc>
          <w:tcPr>
            <w:tcW w:w="1337" w:type="dxa"/>
            <w:vAlign w:val="center"/>
          </w:tcPr>
          <w:p w14:paraId="534EC4D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S</w:t>
            </w:r>
          </w:p>
        </w:tc>
        <w:tc>
          <w:tcPr>
            <w:tcW w:w="4257" w:type="dxa"/>
            <w:vAlign w:val="center"/>
          </w:tcPr>
          <w:p w14:paraId="7A2E154E">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统一收集后经活性炭吸附处理后由</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5米高排气筒排放</w:t>
            </w:r>
          </w:p>
        </w:tc>
      </w:tr>
      <w:tr w14:paraId="5EE67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3912769E">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200" w:type="dxa"/>
            <w:vAlign w:val="center"/>
          </w:tcPr>
          <w:p w14:paraId="4C04B8A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固废暂存间恶臭</w:t>
            </w:r>
          </w:p>
        </w:tc>
        <w:tc>
          <w:tcPr>
            <w:tcW w:w="1337" w:type="dxa"/>
            <w:vAlign w:val="center"/>
          </w:tcPr>
          <w:p w14:paraId="6F202A7B">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异味气体</w:t>
            </w:r>
          </w:p>
        </w:tc>
        <w:tc>
          <w:tcPr>
            <w:tcW w:w="4257" w:type="dxa"/>
            <w:vAlign w:val="center"/>
          </w:tcPr>
          <w:p w14:paraId="4FEEBFC9">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密封存放，定期清运处置，紫外灭菌</w:t>
            </w:r>
          </w:p>
        </w:tc>
      </w:tr>
      <w:tr w14:paraId="5C1EC1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42FE18E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200" w:type="dxa"/>
            <w:vAlign w:val="center"/>
          </w:tcPr>
          <w:p w14:paraId="04F3CC3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w:t>
            </w:r>
          </w:p>
        </w:tc>
        <w:tc>
          <w:tcPr>
            <w:tcW w:w="1337" w:type="dxa"/>
            <w:vAlign w:val="center"/>
          </w:tcPr>
          <w:p w14:paraId="55EC5D3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油烟</w:t>
            </w:r>
          </w:p>
        </w:tc>
        <w:tc>
          <w:tcPr>
            <w:tcW w:w="4257" w:type="dxa"/>
            <w:vAlign w:val="center"/>
          </w:tcPr>
          <w:p w14:paraId="5C0FB2CD">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油烟净化器（75%）处理后升顶排放</w:t>
            </w:r>
          </w:p>
        </w:tc>
      </w:tr>
      <w:tr w14:paraId="210CD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2C8ABC6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200" w:type="dxa"/>
            <w:vAlign w:val="center"/>
          </w:tcPr>
          <w:p w14:paraId="1847240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汽车尾气</w:t>
            </w:r>
          </w:p>
        </w:tc>
        <w:tc>
          <w:tcPr>
            <w:tcW w:w="1337" w:type="dxa"/>
            <w:vAlign w:val="center"/>
          </w:tcPr>
          <w:p w14:paraId="183F82F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汽车尾气</w:t>
            </w:r>
          </w:p>
        </w:tc>
        <w:tc>
          <w:tcPr>
            <w:tcW w:w="4257" w:type="dxa"/>
            <w:vAlign w:val="center"/>
          </w:tcPr>
          <w:p w14:paraId="4B09BC2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加强通风换气、经地下排风井抽至地面绿地排放口排放</w:t>
            </w:r>
          </w:p>
        </w:tc>
      </w:tr>
      <w:tr w14:paraId="25A12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71040F6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200" w:type="dxa"/>
            <w:vAlign w:val="center"/>
          </w:tcPr>
          <w:p w14:paraId="441D793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备用柴油发电机烟气</w:t>
            </w:r>
          </w:p>
        </w:tc>
        <w:tc>
          <w:tcPr>
            <w:tcW w:w="1337" w:type="dxa"/>
            <w:vAlign w:val="center"/>
          </w:tcPr>
          <w:p w14:paraId="770E56D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、NOx</w:t>
            </w:r>
          </w:p>
        </w:tc>
        <w:tc>
          <w:tcPr>
            <w:tcW w:w="4257" w:type="dxa"/>
            <w:vAlign w:val="center"/>
          </w:tcPr>
          <w:p w14:paraId="380AC8F3">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自带净化器处理后排放</w:t>
            </w:r>
          </w:p>
        </w:tc>
      </w:tr>
      <w:tr w14:paraId="58D24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06EB6D0E">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200" w:type="dxa"/>
            <w:vAlign w:val="center"/>
          </w:tcPr>
          <w:p w14:paraId="1599725B">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中药熬制异味</w:t>
            </w:r>
          </w:p>
        </w:tc>
        <w:tc>
          <w:tcPr>
            <w:tcW w:w="1337" w:type="dxa"/>
            <w:vAlign w:val="center"/>
          </w:tcPr>
          <w:p w14:paraId="3E061A81">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异味气体</w:t>
            </w:r>
          </w:p>
        </w:tc>
        <w:tc>
          <w:tcPr>
            <w:tcW w:w="4257" w:type="dxa"/>
            <w:vAlign w:val="center"/>
          </w:tcPr>
          <w:p w14:paraId="125BCA94">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机械通风，加强通风换气</w:t>
            </w:r>
          </w:p>
        </w:tc>
      </w:tr>
    </w:tbl>
    <w:p w14:paraId="44C2AC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经分析，项目营运期产生的大气污染物浓度均较低，能够达标排放。</w:t>
      </w:r>
      <w:r>
        <w:rPr>
          <w:rFonts w:hint="eastAsia" w:ascii="Times New Roman" w:hAnsi="Times New Roman" w:eastAsia="宋体" w:cs="Times New Roman"/>
          <w:color w:val="auto"/>
          <w:kern w:val="0"/>
          <w:sz w:val="24"/>
          <w:szCs w:val="24"/>
          <w:lang w:val="en-US" w:eastAsia="zh-CN" w:bidi="ar"/>
        </w:rPr>
        <w:t>废气对周边环境保护目标影响较小。</w:t>
      </w:r>
      <w:r>
        <w:rPr>
          <w:rFonts w:hint="default" w:ascii="Times New Roman" w:hAnsi="Times New Roman" w:eastAsia="宋体" w:cs="Times New Roman"/>
          <w:color w:val="auto"/>
          <w:kern w:val="0"/>
          <w:sz w:val="24"/>
          <w:szCs w:val="24"/>
          <w:lang w:val="en-US" w:eastAsia="zh-CN" w:bidi="ar"/>
        </w:rPr>
        <w:t>项目废气治理措施合理、可行。</w:t>
      </w:r>
    </w:p>
    <w:p w14:paraId="32C73FAD">
      <w:pPr>
        <w:pStyle w:val="7"/>
        <w:bidi w:val="0"/>
        <w:rPr>
          <w:rFonts w:hint="default" w:ascii="Times New Roman" w:hAnsi="Times New Roman" w:eastAsia="宋体" w:cs="Times New Roman"/>
          <w:color w:val="auto"/>
        </w:rPr>
      </w:pPr>
      <w:bookmarkStart w:id="2850" w:name="_Toc25025"/>
      <w:r>
        <w:rPr>
          <w:rFonts w:hint="default" w:ascii="Times New Roman" w:hAnsi="Times New Roman" w:eastAsia="宋体" w:cs="Times New Roman"/>
          <w:color w:val="auto"/>
          <w:lang w:val="en-US" w:eastAsia="zh-CN"/>
        </w:rPr>
        <w:t>8.2.2 营运期废水治理措施可行性论证</w:t>
      </w:r>
      <w:bookmarkEnd w:id="2850"/>
      <w:r>
        <w:rPr>
          <w:rFonts w:hint="default" w:ascii="Times New Roman" w:hAnsi="Times New Roman" w:eastAsia="宋体" w:cs="Times New Roman"/>
          <w:color w:val="auto"/>
          <w:lang w:val="en-US" w:eastAsia="zh-CN"/>
        </w:rPr>
        <w:t xml:space="preserve"> </w:t>
      </w:r>
    </w:p>
    <w:p w14:paraId="1D4443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（1）废水产生及治理措施 </w:t>
      </w:r>
    </w:p>
    <w:p w14:paraId="34861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本项目废水主要包括住院病房废水、门急诊诊区废水、医务人员废水、浆洗废水及未预见用水等。</w:t>
      </w:r>
      <w:r>
        <w:rPr>
          <w:rFonts w:hint="default" w:ascii="Times New Roman" w:hAnsi="Times New Roman" w:eastAsia="宋体" w:cs="Times New Roman"/>
          <w:color w:val="auto"/>
          <w:kern w:val="0"/>
          <w:sz w:val="24"/>
          <w:szCs w:val="24"/>
          <w:lang w:val="en-US" w:eastAsia="zh-CN" w:bidi="ar"/>
        </w:rPr>
        <w:t>本次医院废水实施分类收集与处理。主要体现在以下几方面：</w:t>
      </w:r>
    </w:p>
    <w:p w14:paraId="4FCBB1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感染楼及发热楼门诊及住院废水经消毒预处理后进入化粪池处理后进入院内污水处理站；</w:t>
      </w:r>
    </w:p>
    <w:p w14:paraId="628351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②非感染门急诊、住院废水及医务人员废水经化粪池处理后进入院内污水处理站；</w:t>
      </w:r>
    </w:p>
    <w:p w14:paraId="3865D2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③餐饮废水经隔油池处理后排入污水处理站处理后排入市政管网。</w:t>
      </w:r>
    </w:p>
    <w:p w14:paraId="4D449A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（2）废水处理工艺</w:t>
      </w:r>
    </w:p>
    <w:p w14:paraId="6B8C02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按照《医院污水处理工程技术规范》（HJ2029-2013）要求，“1）特殊性质污水应单独收集，经预处理后与医院污水合并处理，不得将特殊性质污水随意排入下水道；2）传染病医院污水应在预消毒后采用二级处理+消毒工艺或二级处理+深度处理+消毒工艺；3）非传染病医院出水，.........；若处理出水排入终端已建有正常运行的二级污水处理厂的城市污水管网时，可采用一级强化处理+消毒工艺；4）新（改、扩）建医院，在设计医院污水处理系统时应考虑将医院病区、非病区、传染病房、非传染病房污水分别收集。”本项目采用“格栅+调节池+水解酸化池+接触氧化池+沉淀池+二氧化氯接触消毒池”工艺。因此，污水处理站处理工艺能够满足本项目废水处理要求。</w:t>
      </w:r>
      <w:r>
        <w:rPr>
          <w:rFonts w:hint="default" w:ascii="Times New Roman" w:hAnsi="Times New Roman" w:eastAsia="宋体" w:cs="Times New Roman"/>
          <w:color w:val="auto"/>
          <w:kern w:val="0"/>
          <w:sz w:val="24"/>
          <w:szCs w:val="24"/>
          <w:lang w:val="en-US" w:eastAsia="zh-CN" w:bidi="ar"/>
        </w:rPr>
        <w:t>污水处理站位于项目所在地的西南侧，位于主体建筑下风向。污水经污水处理站处理达标后由医院总排口纳入市政管网，再进入大英县城市生活污水处理厂，最终排入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郪江</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医院污水经污水处理站处理后，出水水质可达《医疗机构水污染物排放标准》 GB18466-2005 中表 2 预处理排放标准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w:t>
      </w:r>
      <w:r>
        <w:rPr>
          <w:rFonts w:hint="default" w:ascii="Times New Roman" w:hAnsi="Times New Roman" w:eastAsia="宋体" w:cs="Times New Roman"/>
          <w:color w:val="auto"/>
          <w:sz w:val="24"/>
          <w:szCs w:val="24"/>
          <w:lang w:val="en-US" w:eastAsia="zh-CN"/>
        </w:rPr>
        <w:t>。因此，本项目采用污水处理工艺是可行的。</w:t>
      </w:r>
    </w:p>
    <w:p w14:paraId="3273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（3）事故池设置合理性</w:t>
      </w:r>
    </w:p>
    <w:p w14:paraId="13BBC8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根据《医院污水处理工程技术规范》（HJ2029-2013）中对“传染病医院污水处理工程应急事故池容积不小于日排放量的100%，非传染病医院事故池容积不小于日排放量30%的规定”。项目为综合医院，拟设置处理能力</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8</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/d污水处理设施，故本次环评提出建设1个</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24</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0m</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3</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的事故应急池，其容积的设置满足技术规范的要求，设置合理可行。</w:t>
      </w:r>
    </w:p>
    <w:p w14:paraId="036FEEA0">
      <w:pPr>
        <w:pStyle w:val="6"/>
        <w:bidi w:val="0"/>
        <w:rPr>
          <w:rFonts w:hint="default" w:ascii="Times New Roman" w:hAnsi="Times New Roman" w:eastAsia="宋体" w:cs="Times New Roman"/>
          <w:color w:val="auto"/>
        </w:rPr>
      </w:pPr>
      <w:bookmarkStart w:id="2851" w:name="_Toc24532"/>
      <w:r>
        <w:rPr>
          <w:rFonts w:hint="default" w:ascii="Times New Roman" w:hAnsi="Times New Roman" w:eastAsia="宋体" w:cs="Times New Roman"/>
          <w:color w:val="auto"/>
          <w:lang w:val="en-US" w:eastAsia="zh-CN"/>
        </w:rPr>
        <w:t>8.3 地下水污染防治措施分析</w:t>
      </w:r>
      <w:bookmarkEnd w:id="2851"/>
      <w:r>
        <w:rPr>
          <w:rFonts w:hint="default" w:ascii="Times New Roman" w:hAnsi="Times New Roman" w:eastAsia="宋体" w:cs="Times New Roman"/>
          <w:color w:val="auto"/>
          <w:lang w:val="en-US" w:eastAsia="zh-CN"/>
        </w:rPr>
        <w:t xml:space="preserve"> </w:t>
      </w:r>
    </w:p>
    <w:p w14:paraId="659874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本项目地下水污染防治措施和对策，应坚持“源头控制、分区防治、污染监控、应急响应”的原则。由于防渗工程属于隐蔽工程，项目防渗工程应引进环境监理。</w:t>
      </w:r>
    </w:p>
    <w:p w14:paraId="6DCC2224">
      <w:pPr>
        <w:pStyle w:val="7"/>
        <w:bidi w:val="0"/>
        <w:rPr>
          <w:rFonts w:hint="default" w:ascii="Times New Roman" w:hAnsi="Times New Roman" w:eastAsia="宋体" w:cs="Times New Roman"/>
          <w:color w:val="auto"/>
          <w:lang w:val="en-US" w:eastAsia="zh-CN"/>
        </w:rPr>
      </w:pPr>
      <w:bookmarkStart w:id="2852" w:name="_Toc27769"/>
      <w:r>
        <w:rPr>
          <w:rFonts w:hint="default" w:ascii="Times New Roman" w:hAnsi="Times New Roman" w:eastAsia="宋体" w:cs="Times New Roman"/>
          <w:color w:val="auto"/>
          <w:lang w:val="en-US" w:eastAsia="zh-CN"/>
        </w:rPr>
        <w:t>8.3.1源头控制措施</w:t>
      </w:r>
      <w:bookmarkEnd w:id="2852"/>
    </w:p>
    <w:p w14:paraId="4A17EC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（1）积极推行实施清洁生产，实现废物的循环利用，减少污染物的排放量；</w:t>
      </w:r>
    </w:p>
    <w:p w14:paraId="4DCD6A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（2）根据国家现行相关规范加强环境管理，采取防止和降低污染物跑、冒、滴、漏的措施。加强对防渗工程的检查，若发现防渗材料老化或损坏，应及时维修更换；</w:t>
      </w:r>
    </w:p>
    <w:p w14:paraId="70700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（3）对废水站及处理构筑物、废水输送管网采取控制措施，防止污染物的 跑、冒、滴、漏，将污染物泄漏的环境风险事故降到最低限度。</w:t>
      </w:r>
    </w:p>
    <w:p w14:paraId="22A76CD2">
      <w:pPr>
        <w:pStyle w:val="7"/>
        <w:bidi w:val="0"/>
        <w:rPr>
          <w:rFonts w:hint="default" w:ascii="Times New Roman" w:hAnsi="Times New Roman" w:eastAsia="宋体" w:cs="Times New Roman"/>
          <w:color w:val="auto"/>
          <w:lang w:val="en-US" w:eastAsia="zh-CN"/>
        </w:rPr>
      </w:pPr>
      <w:bookmarkStart w:id="2853" w:name="_Toc27484"/>
      <w:r>
        <w:rPr>
          <w:rFonts w:hint="default" w:ascii="Times New Roman" w:hAnsi="Times New Roman" w:eastAsia="宋体" w:cs="Times New Roman"/>
          <w:color w:val="auto"/>
          <w:lang w:val="en-US" w:eastAsia="zh-CN"/>
        </w:rPr>
        <w:t>8.3.2分区防治措施</w:t>
      </w:r>
      <w:bookmarkEnd w:id="2853"/>
      <w:r>
        <w:rPr>
          <w:rFonts w:hint="default" w:ascii="Times New Roman" w:hAnsi="Times New Roman" w:eastAsia="宋体" w:cs="Times New Roman"/>
          <w:color w:val="auto"/>
          <w:lang w:val="en-US" w:eastAsia="zh-CN"/>
        </w:rPr>
        <w:t xml:space="preserve"> </w:t>
      </w:r>
    </w:p>
    <w:p w14:paraId="74880E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（1）重点防渗区：</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 xml:space="preserve">重点防渗区（确保防渗要求 等效粘土防渗层Mb≥6.0m，K≤1×10 </w:t>
      </w:r>
      <w:r>
        <w:rPr>
          <w:rFonts w:hint="default" w:ascii="Times New Roman" w:hAnsi="Times New Roman" w:eastAsia="宋体" w:cs="Times New Roman"/>
          <w:i w:val="0"/>
          <w:iCs w:val="0"/>
          <w:caps w:val="0"/>
          <w:color w:val="auto"/>
          <w:spacing w:val="0"/>
          <w:kern w:val="0"/>
          <w:sz w:val="24"/>
          <w:szCs w:val="24"/>
          <w:shd w:val="clear" w:fill="FFFFFF"/>
          <w:vertAlign w:val="superscript"/>
          <w:lang w:val="en-US" w:eastAsia="zh-CN" w:bidi="ar"/>
        </w:rPr>
        <w:t>-7</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cm/s；或参照GB18598执行）污水处理站、预处理池、应急事故池、预消毒池、食堂隔油池：①结构厚度不小于250mm；②混凝土的抗渗等级不应低于P8，且水池的内表面应涂刷水泥基渗透结晶型或喷涂聚脲等防水涂料，或在混凝土内掺加水泥基渗透结晶型防水剂；③水泥基渗透结晶型防水涂料不应小于1.0mm，喷涂聚脲防水涂料厚度不应小于1.5mm；④当混凝土内参加水泥基渗透结晶型防水剂，掺量宜为胶凝材料总量的1%～2%。废水输送管线：①沟底、沟壁和顶板的混凝土强度等级不宜低于C30，抗渗等级不应低于P8，混凝土垫层的强度等级不宜低于C15；②沟底和沟壁的厚度不宜小于200mm；③沟底、沟壁的内表面和顶板顶面应抹聚合物水泥防水砂浆。厚度不应小于10mm。医废暂存房、危废暂存间：</w:t>
      </w:r>
      <w:r>
        <w:rPr>
          <w:rFonts w:hint="default" w:ascii="Times New Roman" w:hAnsi="Times New Roman" w:eastAsia="宋体" w:cs="Times New Roman"/>
          <w:color w:val="auto"/>
          <w:sz w:val="24"/>
          <w:szCs w:val="24"/>
          <w:lang w:val="en-US" w:eastAsia="zh-CN"/>
        </w:rPr>
        <w:t>防渗层为至少1m厚粘土层（渗透系数≤10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cm/s），或2mm厚高密度聚乙烯，或至少2mm厚的其他人工材料，渗透系数≤10</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lang w:val="en-US" w:eastAsia="zh-CN"/>
        </w:rPr>
        <w:t>cm/s。</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”同时加强暂储间的密闭性。</w:t>
      </w:r>
    </w:p>
    <w:p w14:paraId="31345D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（2）一般防渗区（确保防渗要求等效粘土防渗层 Mb≥1.5m，K≤1×10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cm/s；或参照 GB18598 执行）门急诊医技住院综合楼、发热楼、感染楼、后勤楼、发电机房：混凝土防渗层抗渗等级不应小于P6，其厚度不宜小于100mm，其防渗层性能与1.5m厚粘土层(渗透系数 1.0×10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cm/s)等效。</w:t>
      </w:r>
    </w:p>
    <w:p w14:paraId="1E1F5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（3）简单防渗区一般地面硬化。</w:t>
      </w:r>
    </w:p>
    <w:p w14:paraId="4E914570">
      <w:pPr>
        <w:pStyle w:val="7"/>
        <w:bidi w:val="0"/>
        <w:rPr>
          <w:rFonts w:hint="default" w:ascii="Times New Roman" w:hAnsi="Times New Roman" w:eastAsia="宋体" w:cs="Times New Roman"/>
          <w:color w:val="auto"/>
          <w:lang w:val="en-US" w:eastAsia="zh-CN"/>
        </w:rPr>
      </w:pPr>
      <w:bookmarkStart w:id="2854" w:name="_Toc5104"/>
      <w:r>
        <w:rPr>
          <w:rFonts w:hint="default" w:ascii="Times New Roman" w:hAnsi="Times New Roman" w:eastAsia="宋体" w:cs="Times New Roman"/>
          <w:color w:val="auto"/>
          <w:lang w:val="en-US" w:eastAsia="zh-CN"/>
        </w:rPr>
        <w:t>8.3.3风险事故应急响应</w:t>
      </w:r>
      <w:bookmarkEnd w:id="2854"/>
    </w:p>
    <w:p w14:paraId="1862E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（1）制定地下水风险事故应急响应预案，事故状态确保防控体系的有效运行。</w:t>
      </w:r>
    </w:p>
    <w:p w14:paraId="452DB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（2）地下水或土壤受到污染时，应及时采取措施防治污染扩散，并对受污 染的地下水和土壤进行治理。</w:t>
      </w:r>
    </w:p>
    <w:p w14:paraId="79B6D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综上，采取以上地下水防治措施能够有效保证本项目不会对地下水产生明显影响，措施有效、可行。</w:t>
      </w:r>
    </w:p>
    <w:p w14:paraId="50668048">
      <w:pPr>
        <w:pStyle w:val="6"/>
        <w:bidi w:val="0"/>
        <w:rPr>
          <w:rFonts w:hint="default" w:ascii="Times New Roman" w:hAnsi="Times New Roman" w:eastAsia="宋体" w:cs="Times New Roman"/>
          <w:color w:val="auto"/>
        </w:rPr>
      </w:pPr>
      <w:bookmarkStart w:id="2855" w:name="_Toc12142"/>
      <w:r>
        <w:rPr>
          <w:rFonts w:hint="default" w:ascii="Times New Roman" w:hAnsi="Times New Roman" w:eastAsia="宋体" w:cs="Times New Roman"/>
          <w:color w:val="auto"/>
          <w:lang w:val="en-US" w:eastAsia="zh-CN"/>
        </w:rPr>
        <w:t>8.4 噪声防治措施可行性论证</w:t>
      </w:r>
      <w:bookmarkEnd w:id="2855"/>
      <w:r>
        <w:rPr>
          <w:rFonts w:hint="default" w:ascii="Times New Roman" w:hAnsi="Times New Roman" w:eastAsia="宋体" w:cs="Times New Roman"/>
          <w:color w:val="auto"/>
          <w:lang w:val="en-US" w:eastAsia="zh-CN"/>
        </w:rPr>
        <w:t xml:space="preserve"> </w:t>
      </w:r>
    </w:p>
    <w:p w14:paraId="7BE507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auto"/>
          <w:sz w:val="24"/>
          <w:szCs w:val="24"/>
          <w:lang w:val="en-US" w:eastAsia="zh-CN"/>
        </w:rPr>
      </w:pPr>
      <w:bookmarkStart w:id="2856" w:name="_Toc10703"/>
      <w:bookmarkStart w:id="2857" w:name="_Toc20084"/>
      <w:bookmarkStart w:id="2858" w:name="_Toc30315"/>
      <w:bookmarkStart w:id="2859" w:name="_Toc26329"/>
      <w:r>
        <w:rPr>
          <w:rFonts w:hint="default" w:ascii="Times New Roman" w:hAnsi="Times New Roman" w:eastAsia="宋体" w:cs="Times New Roman"/>
          <w:color w:val="auto"/>
          <w:sz w:val="24"/>
          <w:szCs w:val="24"/>
          <w:lang w:val="en-US" w:eastAsia="zh-CN"/>
        </w:rPr>
        <w:t>1、项目噪声污染源</w:t>
      </w:r>
      <w:bookmarkEnd w:id="2856"/>
      <w:bookmarkEnd w:id="2857"/>
      <w:bookmarkEnd w:id="2858"/>
      <w:bookmarkEnd w:id="2859"/>
    </w:p>
    <w:p w14:paraId="7792D5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项目内部噪声源主要来源于各类机械设备的运行噪声，如污水站水泵、备用发电机等，其声源源强多为在80～95dB（A）之间。</w:t>
      </w:r>
    </w:p>
    <w:p w14:paraId="2FEB1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auto"/>
          <w:sz w:val="24"/>
          <w:szCs w:val="24"/>
          <w:lang w:val="en-US" w:eastAsia="zh-CN"/>
        </w:rPr>
      </w:pPr>
      <w:bookmarkStart w:id="2860" w:name="_Toc24317"/>
      <w:bookmarkStart w:id="2861" w:name="_Toc26551"/>
      <w:bookmarkStart w:id="2862" w:name="_Toc24971"/>
      <w:bookmarkStart w:id="2863" w:name="_Toc18770"/>
      <w:r>
        <w:rPr>
          <w:rFonts w:hint="default" w:ascii="Times New Roman" w:hAnsi="Times New Roman" w:eastAsia="宋体" w:cs="Times New Roman"/>
          <w:color w:val="auto"/>
          <w:sz w:val="24"/>
          <w:szCs w:val="24"/>
          <w:lang w:val="en-US" w:eastAsia="zh-CN"/>
        </w:rPr>
        <w:t>2、噪声防治措施</w:t>
      </w:r>
      <w:bookmarkEnd w:id="2860"/>
      <w:bookmarkEnd w:id="2861"/>
      <w:bookmarkEnd w:id="2862"/>
      <w:bookmarkEnd w:id="2863"/>
    </w:p>
    <w:p w14:paraId="0AC58C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为减小运营期噪声对环境影响，本项目采取以下噪声污染防治措施：</w:t>
      </w:r>
    </w:p>
    <w:p w14:paraId="58E448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bookmarkStart w:id="2864" w:name="_Toc24348"/>
      <w:bookmarkStart w:id="2865" w:name="_Toc26952"/>
      <w:bookmarkStart w:id="2866" w:name="_Toc26863"/>
      <w:bookmarkStart w:id="2867" w:name="_Toc2970"/>
      <w:r>
        <w:rPr>
          <w:rFonts w:hint="default" w:ascii="Times New Roman" w:hAnsi="Times New Roman" w:eastAsia="宋体" w:cs="Times New Roman"/>
          <w:color w:val="auto"/>
          <w:sz w:val="24"/>
          <w:szCs w:val="24"/>
          <w:lang w:val="en-US" w:eastAsia="zh-CN"/>
        </w:rPr>
        <w:t>（1）噪声源控制措施</w:t>
      </w:r>
      <w:bookmarkEnd w:id="2864"/>
      <w:bookmarkEnd w:id="2865"/>
      <w:bookmarkEnd w:id="2866"/>
      <w:bookmarkEnd w:id="2867"/>
    </w:p>
    <w:p w14:paraId="3803DA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噪声源主要为备用柴油发电机、水泵、污泥脱水机、风机等设备产生的噪声，在设备采购过程中，应当选用低噪声设备。对于项目产噪设备应当采取隔声措施，将设备置于封闭设备房内。将柴油发电机、水泵置于地下室，污水处理站地埋设置。</w:t>
      </w:r>
    </w:p>
    <w:p w14:paraId="75913F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bookmarkStart w:id="2868" w:name="_Toc3972"/>
      <w:bookmarkStart w:id="2869" w:name="_Toc23499"/>
      <w:bookmarkStart w:id="2870" w:name="_Toc15369"/>
      <w:bookmarkStart w:id="2871" w:name="_Toc1322"/>
      <w:r>
        <w:rPr>
          <w:rFonts w:hint="default" w:ascii="Times New Roman" w:hAnsi="Times New Roman" w:eastAsia="宋体" w:cs="Times New Roman"/>
          <w:color w:val="auto"/>
          <w:sz w:val="24"/>
          <w:szCs w:val="24"/>
          <w:lang w:val="en-US" w:eastAsia="zh-CN"/>
        </w:rPr>
        <w:t>（2）噪声传播途径控制措施</w:t>
      </w:r>
      <w:bookmarkEnd w:id="2868"/>
      <w:bookmarkEnd w:id="2869"/>
      <w:bookmarkEnd w:id="2870"/>
      <w:bookmarkEnd w:id="2871"/>
    </w:p>
    <w:p w14:paraId="7E0D4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项目四周加强绿化，加强对噪声的阻隔效果。</w:t>
      </w:r>
    </w:p>
    <w:p w14:paraId="10342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bookmarkStart w:id="2872" w:name="_Toc6724"/>
      <w:bookmarkStart w:id="2873" w:name="_Toc6797"/>
      <w:bookmarkStart w:id="2874" w:name="_Toc18123"/>
      <w:bookmarkStart w:id="2875" w:name="_Toc27577"/>
      <w:r>
        <w:rPr>
          <w:rFonts w:hint="default" w:ascii="Times New Roman" w:hAnsi="Times New Roman" w:eastAsia="宋体" w:cs="Times New Roman"/>
          <w:color w:val="auto"/>
          <w:sz w:val="24"/>
          <w:szCs w:val="24"/>
          <w:lang w:val="en-US" w:eastAsia="zh-CN"/>
        </w:rPr>
        <w:t>（3）管理措施</w:t>
      </w:r>
      <w:bookmarkEnd w:id="2872"/>
      <w:bookmarkEnd w:id="2873"/>
      <w:bookmarkEnd w:id="2874"/>
      <w:bookmarkEnd w:id="2875"/>
    </w:p>
    <w:p w14:paraId="2323D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运营期间进出项目区车辆应加强管理，限速行驶和禁止鸣笛。加强对产噪设备的维护保养，出现噪声异常等现象应立即进行维修处理。</w:t>
      </w:r>
    </w:p>
    <w:p w14:paraId="5B68A5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auto"/>
          <w:sz w:val="24"/>
          <w:szCs w:val="24"/>
          <w:lang w:val="en-US" w:eastAsia="zh-CN"/>
        </w:rPr>
      </w:pPr>
      <w:bookmarkStart w:id="2876" w:name="_Toc917"/>
      <w:bookmarkStart w:id="2877" w:name="_Toc11111"/>
      <w:bookmarkStart w:id="2878" w:name="_Toc16651"/>
      <w:bookmarkStart w:id="2879" w:name="_Toc21426"/>
      <w:r>
        <w:rPr>
          <w:rFonts w:hint="default" w:ascii="Times New Roman" w:hAnsi="Times New Roman" w:eastAsia="宋体" w:cs="Times New Roman"/>
          <w:color w:val="auto"/>
          <w:sz w:val="24"/>
          <w:szCs w:val="24"/>
          <w:lang w:val="en-US" w:eastAsia="zh-CN"/>
        </w:rPr>
        <w:t>3、噪声防治措施可行性分析</w:t>
      </w:r>
      <w:bookmarkEnd w:id="2876"/>
      <w:bookmarkEnd w:id="2877"/>
      <w:bookmarkEnd w:id="2878"/>
      <w:bookmarkEnd w:id="2879"/>
    </w:p>
    <w:p w14:paraId="3E61B1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项目污水处理站为地埋式，各辅助设备采取封闭处理，且项目建成后将进行大面积绿化，经过绿化降噪和距离衰减后，项目东、南、北侧厂场界噪声可达《工业企业厂界环境噪声排放标准》2类标准。</w:t>
      </w:r>
    </w:p>
    <w:p w14:paraId="175B97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项目采取的噪声防治措施使用范围广、简单易行。在技术及经济方面是可行的。</w:t>
      </w:r>
    </w:p>
    <w:p w14:paraId="1540928B">
      <w:pPr>
        <w:pStyle w:val="6"/>
        <w:bidi w:val="0"/>
        <w:rPr>
          <w:rFonts w:hint="default" w:ascii="Times New Roman" w:hAnsi="Times New Roman" w:eastAsia="宋体" w:cs="Times New Roman"/>
          <w:color w:val="auto"/>
        </w:rPr>
      </w:pPr>
      <w:bookmarkStart w:id="2880" w:name="_Toc24827"/>
      <w:r>
        <w:rPr>
          <w:rFonts w:hint="default" w:ascii="Times New Roman" w:hAnsi="Times New Roman" w:eastAsia="宋体" w:cs="Times New Roman"/>
          <w:color w:val="auto"/>
          <w:lang w:val="en-US" w:eastAsia="zh-CN"/>
        </w:rPr>
        <w:t>8.5 固废处置措施可行性论证</w:t>
      </w:r>
      <w:bookmarkEnd w:id="2880"/>
      <w:r>
        <w:rPr>
          <w:rFonts w:hint="default" w:ascii="Times New Roman" w:hAnsi="Times New Roman" w:eastAsia="宋体" w:cs="Times New Roman"/>
          <w:color w:val="auto"/>
          <w:lang w:val="en-US" w:eastAsia="zh-CN"/>
        </w:rPr>
        <w:t xml:space="preserve"> </w:t>
      </w:r>
    </w:p>
    <w:p w14:paraId="6E9C183A">
      <w:pPr>
        <w:pStyle w:val="7"/>
        <w:bidi w:val="0"/>
        <w:rPr>
          <w:rFonts w:hint="default" w:ascii="Times New Roman" w:hAnsi="Times New Roman" w:eastAsia="宋体" w:cs="Times New Roman"/>
          <w:color w:val="auto"/>
          <w:lang w:val="en-US" w:eastAsia="zh-CN"/>
        </w:rPr>
      </w:pPr>
      <w:bookmarkStart w:id="2881" w:name="_Toc4057"/>
      <w:r>
        <w:rPr>
          <w:rFonts w:hint="default" w:ascii="Times New Roman" w:hAnsi="Times New Roman" w:eastAsia="宋体" w:cs="Times New Roman"/>
          <w:color w:val="auto"/>
          <w:lang w:val="en-US" w:eastAsia="zh-CN"/>
        </w:rPr>
        <w:t>8.5.1一般固废</w:t>
      </w:r>
      <w:bookmarkEnd w:id="2881"/>
      <w:r>
        <w:rPr>
          <w:rFonts w:hint="default" w:ascii="Times New Roman" w:hAnsi="Times New Roman" w:eastAsia="宋体" w:cs="Times New Roman"/>
          <w:color w:val="auto"/>
          <w:lang w:val="en-US" w:eastAsia="zh-CN"/>
        </w:rPr>
        <w:t xml:space="preserve"> </w:t>
      </w:r>
    </w:p>
    <w:p w14:paraId="7E886F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项目产生的一般固废主要包括医院职工办公生活垃圾、餐厨垃圾及</w:t>
      </w:r>
      <w:r>
        <w:rPr>
          <w:rFonts w:hint="eastAsia" w:ascii="Times New Roman" w:hAnsi="Times New Roman" w:eastAsia="宋体" w:cs="Times New Roman"/>
          <w:color w:val="auto"/>
          <w:sz w:val="24"/>
          <w:szCs w:val="24"/>
          <w:lang w:val="en-US" w:eastAsia="zh-CN"/>
        </w:rPr>
        <w:t>废弃离子交换树脂</w:t>
      </w:r>
      <w:r>
        <w:rPr>
          <w:rFonts w:hint="default" w:ascii="Times New Roman" w:hAnsi="Times New Roman" w:eastAsia="宋体" w:cs="Times New Roman"/>
          <w:color w:val="auto"/>
          <w:sz w:val="24"/>
          <w:szCs w:val="24"/>
          <w:lang w:val="en-US" w:eastAsia="zh-CN"/>
        </w:rPr>
        <w:t>等。生活垃圾与医疗垃圾应分类收集，生活垃圾袋装后由园区环卫部门每天统一清运处理，做到日产日清，保证医院无腐烂垃圾堆放。餐厨垃圾须用塑料桶单独收集，交由有</w:t>
      </w:r>
      <w:r>
        <w:rPr>
          <w:rFonts w:hint="eastAsia" w:ascii="Times New Roman" w:hAnsi="Times New Roman" w:eastAsia="宋体" w:cs="Times New Roman"/>
          <w:color w:val="auto"/>
          <w:sz w:val="24"/>
          <w:szCs w:val="24"/>
          <w:lang w:val="en-US" w:eastAsia="zh-CN"/>
        </w:rPr>
        <w:t>专业</w:t>
      </w:r>
      <w:r>
        <w:rPr>
          <w:rFonts w:hint="default" w:ascii="Times New Roman" w:hAnsi="Times New Roman" w:eastAsia="宋体" w:cs="Times New Roman"/>
          <w:color w:val="auto"/>
          <w:sz w:val="24"/>
          <w:szCs w:val="24"/>
          <w:lang w:val="en-US" w:eastAsia="zh-CN"/>
        </w:rPr>
        <w:t>单位进行收运、处置，做到日产日清。</w:t>
      </w:r>
      <w:r>
        <w:rPr>
          <w:rFonts w:hint="eastAsia" w:ascii="Times New Roman" w:hAnsi="Times New Roman" w:eastAsia="宋体" w:cs="Times New Roman"/>
          <w:color w:val="auto"/>
          <w:sz w:val="24"/>
          <w:szCs w:val="24"/>
          <w:lang w:val="en-US" w:eastAsia="zh-CN"/>
        </w:rPr>
        <w:t>废离子交换树脂交由厂家回收。</w:t>
      </w:r>
    </w:p>
    <w:p w14:paraId="3BE06703">
      <w:pPr>
        <w:pStyle w:val="7"/>
        <w:bidi w:val="0"/>
        <w:rPr>
          <w:rFonts w:hint="default" w:ascii="Times New Roman" w:hAnsi="Times New Roman" w:eastAsia="宋体" w:cs="Times New Roman"/>
          <w:color w:val="auto"/>
          <w:lang w:val="en-US" w:eastAsia="zh-CN"/>
        </w:rPr>
      </w:pPr>
      <w:bookmarkStart w:id="2882" w:name="_Toc17646"/>
      <w:r>
        <w:rPr>
          <w:rFonts w:hint="default" w:ascii="Times New Roman" w:hAnsi="Times New Roman" w:eastAsia="宋体" w:cs="Times New Roman"/>
          <w:color w:val="auto"/>
          <w:lang w:val="en-US" w:eastAsia="zh-CN"/>
        </w:rPr>
        <w:t>8.5.2危险废物</w:t>
      </w:r>
      <w:bookmarkEnd w:id="2882"/>
      <w:r>
        <w:rPr>
          <w:rFonts w:hint="default" w:ascii="Times New Roman" w:hAnsi="Times New Roman" w:eastAsia="宋体" w:cs="Times New Roman"/>
          <w:color w:val="auto"/>
          <w:lang w:val="en-US" w:eastAsia="zh-CN"/>
        </w:rPr>
        <w:t xml:space="preserve"> </w:t>
      </w:r>
    </w:p>
    <w:p w14:paraId="52B01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拟建项目产生的危险废物有医疗废物、污水站污泥、废活性炭、废弃紫外线灯管及更换的空气滤芯等。</w:t>
      </w:r>
    </w:p>
    <w:p w14:paraId="3D281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医疗固废应置于专用容器收集（多采用专用医疗垃圾收集桶），暂存于医疗废物暂存间内，医疗废物暂存间应设置明显警示标识，由有资质单位定期清运并负责处理处置；污站污泥采用石灰消毒，再经离心式脱水机脱水，密闭封装后交有中节能（攀枝花）清洁技术发展有限公司处置。废活性炭、更换的空气滤芯及废弃紫外线灯管作为危废集中收集后交有资质单位处置。</w:t>
      </w:r>
    </w:p>
    <w:p w14:paraId="41D855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综上分析，通过以上措施，项目固废可得到妥善有效处置，满足环保要求，处理处置措施可行。</w:t>
      </w:r>
    </w:p>
    <w:p w14:paraId="6A8B1D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评价认为，本项目采取的固体废物处置措施成熟可靠，体现了固体废物资源化、减量化的处理原则，其处置方法是可行的。</w:t>
      </w:r>
    </w:p>
    <w:p w14:paraId="3B170AEF">
      <w:pPr>
        <w:pStyle w:val="6"/>
        <w:bidi w:val="0"/>
        <w:rPr>
          <w:rFonts w:hint="default" w:ascii="Times New Roman" w:hAnsi="Times New Roman" w:eastAsia="宋体" w:cs="Times New Roman"/>
          <w:color w:val="auto"/>
          <w:lang w:val="en-US" w:eastAsia="zh-CN"/>
        </w:rPr>
      </w:pPr>
      <w:bookmarkStart w:id="2883" w:name="_Toc13777"/>
      <w:r>
        <w:rPr>
          <w:rFonts w:hint="default" w:ascii="Times New Roman" w:hAnsi="Times New Roman" w:eastAsia="宋体" w:cs="Times New Roman"/>
          <w:color w:val="auto"/>
          <w:lang w:val="en-US" w:eastAsia="zh-CN"/>
        </w:rPr>
        <w:t>8.6运营期环境风险防范措施及其可行性</w:t>
      </w:r>
      <w:bookmarkEnd w:id="2883"/>
    </w:p>
    <w:p w14:paraId="3C202B4F">
      <w:pPr>
        <w:pStyle w:val="7"/>
        <w:bidi w:val="0"/>
        <w:rPr>
          <w:rFonts w:hint="default" w:ascii="Times New Roman" w:hAnsi="Times New Roman" w:eastAsia="宋体" w:cs="Times New Roman"/>
          <w:color w:val="auto"/>
          <w:lang w:val="en-US" w:eastAsia="zh-CN"/>
        </w:rPr>
      </w:pPr>
      <w:bookmarkStart w:id="2884" w:name="_Toc4340"/>
      <w:r>
        <w:rPr>
          <w:rFonts w:hint="default" w:ascii="Times New Roman" w:hAnsi="Times New Roman" w:eastAsia="宋体" w:cs="Times New Roman"/>
          <w:color w:val="auto"/>
          <w:lang w:val="en-US" w:eastAsia="zh-CN"/>
        </w:rPr>
        <w:t>8.6.1风险防范识别</w:t>
      </w:r>
      <w:bookmarkEnd w:id="2884"/>
    </w:p>
    <w:p w14:paraId="69D1B2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根据分析，项目主要风险为废水处理设施事故状态下的排污；医疗废物在收集、贮存、运送过程中存在的风险；药物贮存管理风险。</w:t>
      </w:r>
    </w:p>
    <w:p w14:paraId="348FD1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（1）风险防范措施</w:t>
      </w:r>
    </w:p>
    <w:p w14:paraId="7C2332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val="en-US" w:eastAsia="zh-CN"/>
        </w:rPr>
        <w:t>①加强污水处理设施设备、管线、阀门等设备元器件的维护保养，对系统的薄弱环节如消毒设</w:t>
      </w:r>
      <w:r>
        <w:rPr>
          <w:rFonts w:hint="default" w:ascii="Times New Roman" w:hAnsi="Times New Roman" w:eastAsia="宋体" w:cs="Times New Roman"/>
          <w:color w:val="auto"/>
          <w:kern w:val="0"/>
          <w:sz w:val="24"/>
          <w:szCs w:val="24"/>
          <w:lang w:val="en-US" w:eastAsia="zh-CN" w:bidi="ar"/>
        </w:rPr>
        <w:t>备等易出故障的地方，加强检查、维护保养，及时更新。对处理设备故障要及时抢修，防止因处理设备故障抢修不及时而造成污水超标排放；</w:t>
      </w:r>
    </w:p>
    <w:p w14:paraId="34AB21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②污水处理设施设备要合理配电，防止因停电造成污水超标排放；</w:t>
      </w:r>
    </w:p>
    <w:p w14:paraId="27F928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③项目应配套建设完善的排水系统和切换系统，以应对因管道破裂、泵设备损坏或失效、人为操作失误等事故，</w:t>
      </w:r>
      <w:r>
        <w:rPr>
          <w:rFonts w:hint="default" w:ascii="Times New Roman" w:hAnsi="Times New Roman" w:eastAsia="宋体" w:cs="Times New Roman"/>
          <w:color w:val="auto"/>
          <w:sz w:val="24"/>
          <w:szCs w:val="24"/>
          <w:lang w:val="en-US" w:eastAsia="zh-CN"/>
        </w:rPr>
        <w:t>确保事故污水全部收集至事故池暂存，待事故结束后妥善处理；</w:t>
      </w:r>
    </w:p>
    <w:p w14:paraId="50FC13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④一旦出现非正常情况，操作人员应立即启动废水回流系统至事故应急池，关闭废水排放口的阀门。查找原因，及时抢修，待系统正常运行达标后方可开启排放口阀门；</w:t>
      </w:r>
    </w:p>
    <w:p w14:paraId="32253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⑤加强对操作人员的岗位培训，建立健全的环保管理机制和各项环保规章制度，落实岗位环保责任制，加强环境风险防范工作，防止事故排放导致环境问题；</w:t>
      </w:r>
    </w:p>
    <w:p w14:paraId="55BFE2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⑥医疗废物处置标准应按照《医疗废物管理条例》、《医疗废物集中处置技术规范（试行）》（环发[2003]206 号）、《危险废物贮存污染控制标准》（GB18597-2021）及修改单、《医疗机构水污染物排放标准》（GB18466-2005）的污泥控制与处置要求；</w:t>
      </w:r>
    </w:p>
    <w:p w14:paraId="6BCED1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⑦对项目产生的医疗废物进行科学的分类收集；</w:t>
      </w:r>
    </w:p>
    <w:p w14:paraId="480AC1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建立医疗废物暂时贮存设施、设备，不得露天存放医疗废物；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5347F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⑨医药库房贮存物质时，贮存容器、贮存方法、贮存量、贮存环境等必须符合国家有关规定。同时设专职人员加强管理和定期检查；</w:t>
      </w:r>
    </w:p>
    <w:p w14:paraId="480618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⑩及时将受污染的床单、衣物收集消毒后清洗，并与一般衣物分开。医院设置有专用的污物运输通道，方便医疗废物及污物运送人员及运送工具、车辆的出入。</w:t>
      </w:r>
    </w:p>
    <w:p w14:paraId="40927890">
      <w:pPr>
        <w:pStyle w:val="7"/>
        <w:bidi w:val="0"/>
        <w:rPr>
          <w:rFonts w:hint="default" w:ascii="Times New Roman" w:hAnsi="Times New Roman" w:eastAsia="宋体" w:cs="Times New Roman"/>
          <w:color w:val="auto"/>
          <w:lang w:val="en-US" w:eastAsia="zh-CN"/>
        </w:rPr>
      </w:pPr>
      <w:bookmarkStart w:id="2885" w:name="_Toc30505"/>
      <w:r>
        <w:rPr>
          <w:rFonts w:hint="default" w:ascii="Times New Roman" w:hAnsi="Times New Roman" w:eastAsia="宋体" w:cs="Times New Roman"/>
          <w:color w:val="auto"/>
          <w:lang w:val="en-US" w:eastAsia="zh-CN"/>
        </w:rPr>
        <w:t>8.6.2风险防范措施可行性分析</w:t>
      </w:r>
      <w:bookmarkEnd w:id="2885"/>
    </w:p>
    <w:p w14:paraId="128DCB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风险防范在上述措施的同时，还应加强运营期环境管理，落实各项环保措施、采取积极的风险防范措施，降低事故发生的概率，在事故发生时依照应急预案及时处理，项目造成的环境风险是可控制的，风险防范措施在技术及经济方面是可行的。</w:t>
      </w:r>
      <w:r>
        <w:rPr>
          <w:rFonts w:hint="default" w:ascii="Times New Roman" w:hAnsi="Times New Roman" w:eastAsia="宋体" w:cs="Times New Roman"/>
          <w:color w:val="auto"/>
          <w:sz w:val="24"/>
          <w:szCs w:val="24"/>
          <w:lang w:val="en-US" w:eastAsia="zh-CN"/>
        </w:rPr>
        <w:br w:type="page"/>
      </w:r>
    </w:p>
    <w:p w14:paraId="05AF2091">
      <w:pPr>
        <w:pStyle w:val="5"/>
        <w:bidi w:val="0"/>
        <w:rPr>
          <w:rFonts w:hint="default" w:ascii="Times New Roman" w:hAnsi="Times New Roman" w:eastAsia="宋体" w:cs="Times New Roman"/>
          <w:color w:val="auto"/>
        </w:rPr>
      </w:pPr>
      <w:bookmarkStart w:id="2886" w:name="_Toc17133"/>
      <w:r>
        <w:rPr>
          <w:rFonts w:hint="default" w:ascii="Times New Roman" w:hAnsi="Times New Roman" w:eastAsia="宋体" w:cs="Times New Roman"/>
          <w:color w:val="auto"/>
          <w:lang w:val="en-US" w:eastAsia="zh-CN"/>
        </w:rPr>
        <w:t>9环境影响经济损益分析</w:t>
      </w:r>
      <w:bookmarkEnd w:id="2886"/>
    </w:p>
    <w:p w14:paraId="72155E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影响经济损益分析是环境影响评价的重要环节之一，它的主要任务是衡量建设项目需要投入的环保投资和所能收到的环境保护效果，以及建设项目对外界产生的环境影响、经济影响和社会影响。经济效益比较直观，很容易用货币直接计算，而环境污染影响带来的损失一般是间接的，很难用货币直接计算，因而，环境影响经济具体定量化分析，目前难度还是较大的，多数是采用定性与半定量相结合的方法进行讨论。</w:t>
      </w:r>
    </w:p>
    <w:p w14:paraId="439AF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环境经济负效益主要为污染物的排放产生的排污费用，正效益主要为采取环保措施后废物综合利用带来的经济效益。因此，本次评价从建设项目的污染防治费用和废物综合利用带来的效益两方面进行环境影响经济效益分析。</w:t>
      </w:r>
    </w:p>
    <w:p w14:paraId="22A21982">
      <w:pPr>
        <w:pStyle w:val="6"/>
        <w:bidi w:val="0"/>
        <w:rPr>
          <w:rFonts w:hint="default" w:ascii="Times New Roman" w:hAnsi="Times New Roman" w:eastAsia="宋体" w:cs="Times New Roman"/>
          <w:color w:val="auto"/>
        </w:rPr>
      </w:pPr>
      <w:bookmarkStart w:id="2887" w:name="_Toc4475"/>
      <w:r>
        <w:rPr>
          <w:rFonts w:hint="default" w:ascii="Times New Roman" w:hAnsi="Times New Roman" w:eastAsia="宋体" w:cs="Times New Roman"/>
          <w:color w:val="auto"/>
          <w:lang w:val="en-US" w:eastAsia="zh-CN"/>
        </w:rPr>
        <w:t>9.1 项目环保投资估算情况</w:t>
      </w:r>
      <w:bookmarkEnd w:id="2887"/>
    </w:p>
    <w:p w14:paraId="607C5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根据本项目工程的环境特点及其环境影响预测，综合前述章节提出的环保措施及建议，其中直接用于环保措施的投资估算见下表。</w:t>
      </w:r>
    </w:p>
    <w:p w14:paraId="73FC7C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保投资主要用于运营期对医院废气、废水、固体废弃物、噪声等的治理。项目总投资为87200万元，环保投资估算总计为1450万元，占项目总投资的1.66%。这些资金的投入会使道路建设带来的环境问题得到有效地控制，将其对项目环境敏感点的影响降低至最小。</w:t>
      </w:r>
    </w:p>
    <w:p w14:paraId="52202470">
      <w:pPr>
        <w:keepNext w:val="0"/>
        <w:keepLines w:val="0"/>
        <w:widowControl/>
        <w:suppressLineNumbers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表9.1-1 环保投资一览表</w:t>
      </w:r>
    </w:p>
    <w:tbl>
      <w:tblPr>
        <w:tblStyle w:val="21"/>
        <w:tblW w:w="827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81"/>
        <w:gridCol w:w="1875"/>
        <w:gridCol w:w="3782"/>
        <w:gridCol w:w="1068"/>
      </w:tblGrid>
      <w:tr w14:paraId="3BE2B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428" w:type="dxa"/>
            <w:gridSpan w:val="3"/>
            <w:shd w:val="clear" w:color="auto" w:fill="D7D7D7" w:themeFill="background1" w:themeFillShade="D8"/>
            <w:vAlign w:val="center"/>
          </w:tcPr>
          <w:p w14:paraId="3C15DA30">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内容</w:t>
            </w:r>
          </w:p>
        </w:tc>
        <w:tc>
          <w:tcPr>
            <w:tcW w:w="3782" w:type="dxa"/>
            <w:shd w:val="clear" w:color="auto" w:fill="D7D7D7" w:themeFill="background1" w:themeFillShade="D8"/>
            <w:vAlign w:val="center"/>
          </w:tcPr>
          <w:p w14:paraId="66E90B1F">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工程内容</w:t>
            </w:r>
          </w:p>
        </w:tc>
        <w:tc>
          <w:tcPr>
            <w:tcW w:w="1068" w:type="dxa"/>
            <w:shd w:val="clear" w:color="auto" w:fill="D7D7D7" w:themeFill="background1" w:themeFillShade="D8"/>
            <w:vAlign w:val="center"/>
          </w:tcPr>
          <w:p w14:paraId="37288D85">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估算投资（万元）</w:t>
            </w:r>
          </w:p>
        </w:tc>
      </w:tr>
      <w:tr w14:paraId="7DCCAA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restart"/>
            <w:vAlign w:val="center"/>
          </w:tcPr>
          <w:p w14:paraId="22366ED2">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w:t>
            </w:r>
          </w:p>
        </w:tc>
        <w:tc>
          <w:tcPr>
            <w:tcW w:w="881" w:type="dxa"/>
            <w:vMerge w:val="restart"/>
            <w:vAlign w:val="center"/>
          </w:tcPr>
          <w:p w14:paraId="51711A2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废水治理</w:t>
            </w:r>
          </w:p>
        </w:tc>
        <w:tc>
          <w:tcPr>
            <w:tcW w:w="1875" w:type="dxa"/>
            <w:vAlign w:val="center"/>
          </w:tcPr>
          <w:p w14:paraId="1115F10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食堂废水</w:t>
            </w:r>
          </w:p>
        </w:tc>
        <w:tc>
          <w:tcPr>
            <w:tcW w:w="3782" w:type="dxa"/>
            <w:vAlign w:val="center"/>
          </w:tcPr>
          <w:p w14:paraId="2E03E51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设置隔油池</w:t>
            </w:r>
          </w:p>
        </w:tc>
        <w:tc>
          <w:tcPr>
            <w:tcW w:w="1068" w:type="dxa"/>
            <w:vAlign w:val="center"/>
          </w:tcPr>
          <w:p w14:paraId="75911A1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142EA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5F509CCF">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4F5E41CC">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0BFC14B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3782" w:type="dxa"/>
            <w:vAlign w:val="center"/>
          </w:tcPr>
          <w:p w14:paraId="36FCC34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设置预处理池</w:t>
            </w:r>
          </w:p>
        </w:tc>
        <w:tc>
          <w:tcPr>
            <w:tcW w:w="1068" w:type="dxa"/>
            <w:vAlign w:val="center"/>
          </w:tcPr>
          <w:p w14:paraId="6667A77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62663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74CE5975">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02D6F9C5">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247BDD2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施工废水</w:t>
            </w:r>
          </w:p>
        </w:tc>
        <w:tc>
          <w:tcPr>
            <w:tcW w:w="3782" w:type="dxa"/>
            <w:vAlign w:val="center"/>
          </w:tcPr>
          <w:p w14:paraId="2579A88E">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设置临时排水沟，沉淀池</w:t>
            </w:r>
          </w:p>
        </w:tc>
        <w:tc>
          <w:tcPr>
            <w:tcW w:w="1068" w:type="dxa"/>
            <w:vAlign w:val="center"/>
          </w:tcPr>
          <w:p w14:paraId="7BA5542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64A22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014A7CF4">
            <w:pPr>
              <w:bidi w:val="0"/>
              <w:jc w:val="center"/>
              <w:rPr>
                <w:rFonts w:hint="default" w:ascii="Times New Roman" w:hAnsi="Times New Roman" w:eastAsia="宋体" w:cs="Times New Roman"/>
                <w:color w:val="auto"/>
                <w:sz w:val="21"/>
                <w:szCs w:val="21"/>
                <w:lang w:val="en-US" w:eastAsia="zh-CN"/>
              </w:rPr>
            </w:pPr>
          </w:p>
        </w:tc>
        <w:tc>
          <w:tcPr>
            <w:tcW w:w="881" w:type="dxa"/>
            <w:vAlign w:val="center"/>
          </w:tcPr>
          <w:p w14:paraId="695A118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w:t>
            </w:r>
          </w:p>
        </w:tc>
        <w:tc>
          <w:tcPr>
            <w:tcW w:w="1875" w:type="dxa"/>
            <w:vAlign w:val="center"/>
          </w:tcPr>
          <w:p w14:paraId="0B12C168">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施工扬尘</w:t>
            </w:r>
          </w:p>
        </w:tc>
        <w:tc>
          <w:tcPr>
            <w:tcW w:w="3782" w:type="dxa"/>
            <w:vAlign w:val="center"/>
          </w:tcPr>
          <w:p w14:paraId="591DAB0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场地四周设置不低于2.5m围挡，安装喷淋装置，堆场设置篷布、定期洒水降尘</w:t>
            </w:r>
          </w:p>
        </w:tc>
        <w:tc>
          <w:tcPr>
            <w:tcW w:w="1068" w:type="dxa"/>
            <w:vAlign w:val="center"/>
          </w:tcPr>
          <w:p w14:paraId="7948C1D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1E0098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57F8A6AD">
            <w:pPr>
              <w:bidi w:val="0"/>
              <w:jc w:val="center"/>
              <w:rPr>
                <w:rFonts w:hint="default" w:ascii="Times New Roman" w:hAnsi="Times New Roman" w:eastAsia="宋体" w:cs="Times New Roman"/>
                <w:color w:val="auto"/>
                <w:sz w:val="21"/>
                <w:szCs w:val="21"/>
                <w:lang w:val="en-US" w:eastAsia="zh-CN"/>
              </w:rPr>
            </w:pPr>
          </w:p>
        </w:tc>
        <w:tc>
          <w:tcPr>
            <w:tcW w:w="881" w:type="dxa"/>
            <w:vMerge w:val="restart"/>
            <w:vAlign w:val="center"/>
          </w:tcPr>
          <w:p w14:paraId="0C8354E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固废治理</w:t>
            </w:r>
          </w:p>
        </w:tc>
        <w:tc>
          <w:tcPr>
            <w:tcW w:w="1875" w:type="dxa"/>
            <w:vAlign w:val="center"/>
          </w:tcPr>
          <w:p w14:paraId="2D57F84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3782" w:type="dxa"/>
            <w:vAlign w:val="center"/>
          </w:tcPr>
          <w:p w14:paraId="7C6E6DD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采购密闭式可移动垃圾收集桶，收集后交环卫部门处置。</w:t>
            </w:r>
          </w:p>
        </w:tc>
        <w:tc>
          <w:tcPr>
            <w:tcW w:w="1068" w:type="dxa"/>
            <w:vAlign w:val="center"/>
          </w:tcPr>
          <w:p w14:paraId="7B0A5AA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4380E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3447FFBC">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717037C1">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3BA3B76C">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建筑固废</w:t>
            </w:r>
          </w:p>
        </w:tc>
        <w:tc>
          <w:tcPr>
            <w:tcW w:w="3782" w:type="dxa"/>
            <w:vAlign w:val="center"/>
          </w:tcPr>
          <w:p w14:paraId="5EEEA0F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运至政府指定位置</w:t>
            </w:r>
          </w:p>
        </w:tc>
        <w:tc>
          <w:tcPr>
            <w:tcW w:w="1068" w:type="dxa"/>
            <w:vAlign w:val="center"/>
          </w:tcPr>
          <w:p w14:paraId="1AACC06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72422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636E2EAD">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36A849A7">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33157C0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食堂废水</w:t>
            </w:r>
          </w:p>
        </w:tc>
        <w:tc>
          <w:tcPr>
            <w:tcW w:w="3782" w:type="dxa"/>
            <w:vAlign w:val="center"/>
          </w:tcPr>
          <w:p w14:paraId="75BB9D8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设置一个</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隔油池</w:t>
            </w:r>
          </w:p>
        </w:tc>
        <w:tc>
          <w:tcPr>
            <w:tcW w:w="1068" w:type="dxa"/>
            <w:vAlign w:val="center"/>
          </w:tcPr>
          <w:p w14:paraId="1E25530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0334D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5C5ACB10">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56F2DAC6">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00987D1E">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感染病区废水</w:t>
            </w:r>
          </w:p>
        </w:tc>
        <w:tc>
          <w:tcPr>
            <w:tcW w:w="3782" w:type="dxa"/>
            <w:vAlign w:val="center"/>
          </w:tcPr>
          <w:p w14:paraId="0E9BA60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设置一个10m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预消毒池</w:t>
            </w:r>
          </w:p>
        </w:tc>
        <w:tc>
          <w:tcPr>
            <w:tcW w:w="1068" w:type="dxa"/>
            <w:vAlign w:val="center"/>
          </w:tcPr>
          <w:p w14:paraId="75B6111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139988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23A59C34">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37362F7E">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38C2ACE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门急诊、医务人员及其他废水</w:t>
            </w:r>
          </w:p>
        </w:tc>
        <w:tc>
          <w:tcPr>
            <w:tcW w:w="3782" w:type="dxa"/>
            <w:vAlign w:val="center"/>
          </w:tcPr>
          <w:p w14:paraId="53662DC8">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）、地埋式污水处理站（</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，一个规范化排口，明显环保标志</w:t>
            </w:r>
          </w:p>
        </w:tc>
        <w:tc>
          <w:tcPr>
            <w:tcW w:w="1068" w:type="dxa"/>
            <w:vAlign w:val="center"/>
          </w:tcPr>
          <w:p w14:paraId="07800EE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790</w:t>
            </w:r>
          </w:p>
        </w:tc>
      </w:tr>
      <w:tr w14:paraId="3BCD29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72" w:type="dxa"/>
            <w:vMerge w:val="continue"/>
            <w:vAlign w:val="center"/>
          </w:tcPr>
          <w:p w14:paraId="31C9C39F">
            <w:pPr>
              <w:bidi w:val="0"/>
              <w:jc w:val="center"/>
              <w:rPr>
                <w:rFonts w:hint="default" w:ascii="Times New Roman" w:hAnsi="Times New Roman" w:eastAsia="宋体" w:cs="Times New Roman"/>
                <w:color w:val="auto"/>
                <w:sz w:val="21"/>
                <w:szCs w:val="21"/>
                <w:lang w:val="en-US" w:eastAsia="zh-CN"/>
              </w:rPr>
            </w:pPr>
          </w:p>
        </w:tc>
        <w:tc>
          <w:tcPr>
            <w:tcW w:w="881" w:type="dxa"/>
            <w:vMerge w:val="restart"/>
            <w:vAlign w:val="center"/>
          </w:tcPr>
          <w:p w14:paraId="098221F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w:t>
            </w:r>
          </w:p>
        </w:tc>
        <w:tc>
          <w:tcPr>
            <w:tcW w:w="1875" w:type="dxa"/>
            <w:vAlign w:val="center"/>
          </w:tcPr>
          <w:p w14:paraId="081EDEC2">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w:t>
            </w:r>
          </w:p>
        </w:tc>
        <w:tc>
          <w:tcPr>
            <w:tcW w:w="3782" w:type="dxa"/>
            <w:vAlign w:val="center"/>
          </w:tcPr>
          <w:p w14:paraId="61354671">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油烟净化器（75%净化效率）处理后由后勤综合楼升顶排放</w:t>
            </w:r>
          </w:p>
        </w:tc>
        <w:tc>
          <w:tcPr>
            <w:tcW w:w="1068" w:type="dxa"/>
            <w:vAlign w:val="center"/>
          </w:tcPr>
          <w:p w14:paraId="38C530F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565D8E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continue"/>
            <w:vAlign w:val="center"/>
          </w:tcPr>
          <w:p w14:paraId="7D37E25A">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78A6F748">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0400DF0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医废暂存间异味</w:t>
            </w:r>
          </w:p>
        </w:tc>
        <w:tc>
          <w:tcPr>
            <w:tcW w:w="3782" w:type="dxa"/>
            <w:vAlign w:val="center"/>
          </w:tcPr>
          <w:p w14:paraId="47F1FB41">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专用容器及防漏胶袋密封、加强管理、定期消毒</w:t>
            </w:r>
          </w:p>
        </w:tc>
        <w:tc>
          <w:tcPr>
            <w:tcW w:w="1068" w:type="dxa"/>
            <w:vAlign w:val="center"/>
          </w:tcPr>
          <w:p w14:paraId="429F2D1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14:paraId="2DDF1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0CA7DCFB">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362D04F3">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6EDB548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备用柴油发电机废气</w:t>
            </w:r>
          </w:p>
        </w:tc>
        <w:tc>
          <w:tcPr>
            <w:tcW w:w="3782" w:type="dxa"/>
            <w:vAlign w:val="center"/>
          </w:tcPr>
          <w:p w14:paraId="7080B4CD">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自带消烟除尘系统</w:t>
            </w:r>
          </w:p>
        </w:tc>
        <w:tc>
          <w:tcPr>
            <w:tcW w:w="1068" w:type="dxa"/>
            <w:vAlign w:val="center"/>
          </w:tcPr>
          <w:p w14:paraId="4387BA4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6BB01A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38579611">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77E5DAEB">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383F8804">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熬制中药异味</w:t>
            </w:r>
          </w:p>
        </w:tc>
        <w:tc>
          <w:tcPr>
            <w:tcW w:w="3782" w:type="dxa"/>
            <w:vAlign w:val="center"/>
          </w:tcPr>
          <w:p w14:paraId="3A020E29">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机械通风、加强换气</w:t>
            </w:r>
          </w:p>
        </w:tc>
        <w:tc>
          <w:tcPr>
            <w:tcW w:w="1068" w:type="dxa"/>
            <w:vAlign w:val="center"/>
          </w:tcPr>
          <w:p w14:paraId="2F7A3EB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0781BB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59A67223">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3184247F">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637A05D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污水处理站废气</w:t>
            </w:r>
          </w:p>
        </w:tc>
        <w:tc>
          <w:tcPr>
            <w:tcW w:w="3782" w:type="dxa"/>
            <w:vAlign w:val="center"/>
          </w:tcPr>
          <w:p w14:paraId="1379600B">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紫外消毒+活性炭吸附+25m排气筒排放</w:t>
            </w:r>
          </w:p>
        </w:tc>
        <w:tc>
          <w:tcPr>
            <w:tcW w:w="1068" w:type="dxa"/>
            <w:vAlign w:val="center"/>
          </w:tcPr>
          <w:p w14:paraId="365A002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r>
      <w:tr w14:paraId="5AE70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622EB3BE">
            <w:pPr>
              <w:bidi w:val="0"/>
              <w:jc w:val="center"/>
              <w:rPr>
                <w:rFonts w:hint="default" w:ascii="Times New Roman" w:hAnsi="Times New Roman" w:eastAsia="宋体" w:cs="Times New Roman"/>
                <w:color w:val="auto"/>
                <w:sz w:val="21"/>
                <w:szCs w:val="21"/>
                <w:lang w:val="en-US" w:eastAsia="zh-CN"/>
              </w:rPr>
            </w:pPr>
          </w:p>
        </w:tc>
        <w:tc>
          <w:tcPr>
            <w:tcW w:w="881" w:type="dxa"/>
            <w:vAlign w:val="center"/>
          </w:tcPr>
          <w:p w14:paraId="243D97A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噪声防治</w:t>
            </w:r>
          </w:p>
        </w:tc>
        <w:tc>
          <w:tcPr>
            <w:tcW w:w="1875" w:type="dxa"/>
            <w:vAlign w:val="center"/>
          </w:tcPr>
          <w:p w14:paraId="5D1473A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设备噪声、人流噪声</w:t>
            </w:r>
          </w:p>
        </w:tc>
        <w:tc>
          <w:tcPr>
            <w:tcW w:w="3782" w:type="dxa"/>
            <w:vAlign w:val="center"/>
          </w:tcPr>
          <w:p w14:paraId="1F0B65C0">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选用低噪声设备、合理布局、基础减振、绿化、禁止大声喧哗及禁止鸣笛警示牌</w:t>
            </w:r>
          </w:p>
        </w:tc>
        <w:tc>
          <w:tcPr>
            <w:tcW w:w="1068" w:type="dxa"/>
            <w:vAlign w:val="center"/>
          </w:tcPr>
          <w:p w14:paraId="25501A7E">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01282C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473641DC">
            <w:pPr>
              <w:bidi w:val="0"/>
              <w:jc w:val="center"/>
              <w:rPr>
                <w:rFonts w:hint="default" w:ascii="Times New Roman" w:hAnsi="Times New Roman" w:eastAsia="宋体" w:cs="Times New Roman"/>
                <w:color w:val="auto"/>
                <w:sz w:val="21"/>
                <w:szCs w:val="21"/>
                <w:lang w:val="en-US" w:eastAsia="zh-CN"/>
              </w:rPr>
            </w:pPr>
          </w:p>
        </w:tc>
        <w:tc>
          <w:tcPr>
            <w:tcW w:w="881" w:type="dxa"/>
            <w:vMerge w:val="restart"/>
            <w:vAlign w:val="center"/>
          </w:tcPr>
          <w:p w14:paraId="712C534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固废处置</w:t>
            </w:r>
          </w:p>
        </w:tc>
        <w:tc>
          <w:tcPr>
            <w:tcW w:w="1875" w:type="dxa"/>
            <w:vAlign w:val="center"/>
          </w:tcPr>
          <w:p w14:paraId="52D133F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生活垃圾</w:t>
            </w:r>
          </w:p>
        </w:tc>
        <w:tc>
          <w:tcPr>
            <w:tcW w:w="3782" w:type="dxa"/>
            <w:vAlign w:val="center"/>
          </w:tcPr>
          <w:p w14:paraId="7469A56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采购密闭式可移动垃圾收集桶，收集后交环卫部门处置。</w:t>
            </w:r>
          </w:p>
        </w:tc>
        <w:tc>
          <w:tcPr>
            <w:tcW w:w="1068" w:type="dxa"/>
            <w:vAlign w:val="center"/>
          </w:tcPr>
          <w:p w14:paraId="4E8C1EB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39301B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2A7DF826">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3EFF6ECC">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4C2B5D0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餐厨垃圾</w:t>
            </w:r>
          </w:p>
        </w:tc>
        <w:tc>
          <w:tcPr>
            <w:tcW w:w="3782" w:type="dxa"/>
            <w:vAlign w:val="center"/>
          </w:tcPr>
          <w:p w14:paraId="0978AF6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交由有资质单位进行收运、处置</w:t>
            </w:r>
          </w:p>
        </w:tc>
        <w:tc>
          <w:tcPr>
            <w:tcW w:w="1068" w:type="dxa"/>
            <w:vAlign w:val="center"/>
          </w:tcPr>
          <w:p w14:paraId="6EA6FD1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5E996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25CF052A">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4BBCA074">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2AD6022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废弃离子交换树脂</w:t>
            </w:r>
          </w:p>
        </w:tc>
        <w:tc>
          <w:tcPr>
            <w:tcW w:w="3782" w:type="dxa"/>
            <w:vAlign w:val="center"/>
          </w:tcPr>
          <w:p w14:paraId="3AE89184">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Cs/>
                <w:color w:val="auto"/>
                <w:sz w:val="21"/>
                <w:szCs w:val="21"/>
                <w:highlight w:val="none"/>
                <w:lang w:eastAsia="zh-CN"/>
              </w:rPr>
              <w:t>交由厂家进行回收</w:t>
            </w:r>
          </w:p>
        </w:tc>
        <w:tc>
          <w:tcPr>
            <w:tcW w:w="1068" w:type="dxa"/>
            <w:vAlign w:val="center"/>
          </w:tcPr>
          <w:p w14:paraId="469FD2B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19107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70C84691">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685A6716">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44CFC20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医疗废物</w:t>
            </w:r>
          </w:p>
        </w:tc>
        <w:tc>
          <w:tcPr>
            <w:tcW w:w="3782" w:type="dxa"/>
            <w:vAlign w:val="center"/>
          </w:tcPr>
          <w:p w14:paraId="2440B6D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暂存医废暂存间，</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c>
          <w:tcPr>
            <w:tcW w:w="1068" w:type="dxa"/>
            <w:vAlign w:val="center"/>
          </w:tcPr>
          <w:p w14:paraId="01C33900">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3ABC5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1D1CC471">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403FEC43">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76553A0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污泥</w:t>
            </w:r>
          </w:p>
        </w:tc>
        <w:tc>
          <w:tcPr>
            <w:tcW w:w="3782" w:type="dxa"/>
            <w:vMerge w:val="restart"/>
            <w:vAlign w:val="center"/>
          </w:tcPr>
          <w:p w14:paraId="3AE8B43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rPr>
              <w:t>暂存危废暂存间，</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c>
          <w:tcPr>
            <w:tcW w:w="1068" w:type="dxa"/>
            <w:vMerge w:val="restart"/>
            <w:vAlign w:val="center"/>
          </w:tcPr>
          <w:p w14:paraId="4D3AC6D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159D60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064AA0DE">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126DD555">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0C033451">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废活性炭</w:t>
            </w:r>
          </w:p>
        </w:tc>
        <w:tc>
          <w:tcPr>
            <w:tcW w:w="3782" w:type="dxa"/>
            <w:vMerge w:val="continue"/>
            <w:vAlign w:val="center"/>
          </w:tcPr>
          <w:p w14:paraId="70E268A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1068" w:type="dxa"/>
            <w:vMerge w:val="continue"/>
            <w:vAlign w:val="center"/>
          </w:tcPr>
          <w:p w14:paraId="6BFF6EF5">
            <w:pPr>
              <w:bidi w:val="0"/>
              <w:jc w:val="center"/>
              <w:rPr>
                <w:rFonts w:hint="default" w:ascii="Times New Roman" w:hAnsi="Times New Roman" w:eastAsia="宋体" w:cs="Times New Roman"/>
                <w:color w:val="auto"/>
                <w:sz w:val="21"/>
                <w:szCs w:val="21"/>
                <w:lang w:val="en-US" w:eastAsia="zh-CN"/>
              </w:rPr>
            </w:pPr>
          </w:p>
        </w:tc>
      </w:tr>
      <w:tr w14:paraId="5E9A1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63401028">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7128D4AE">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64E3DEF0">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废弃紫外线灯管</w:t>
            </w:r>
          </w:p>
        </w:tc>
        <w:tc>
          <w:tcPr>
            <w:tcW w:w="3782" w:type="dxa"/>
            <w:vMerge w:val="continue"/>
            <w:vAlign w:val="center"/>
          </w:tcPr>
          <w:p w14:paraId="64EF2AE5">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1068" w:type="dxa"/>
            <w:vMerge w:val="continue"/>
            <w:vAlign w:val="center"/>
          </w:tcPr>
          <w:p w14:paraId="04686F93">
            <w:pPr>
              <w:bidi w:val="0"/>
              <w:jc w:val="center"/>
              <w:rPr>
                <w:rFonts w:hint="default" w:ascii="Times New Roman" w:hAnsi="Times New Roman" w:eastAsia="宋体" w:cs="Times New Roman"/>
                <w:color w:val="auto"/>
                <w:sz w:val="21"/>
                <w:szCs w:val="21"/>
                <w:lang w:val="en-US" w:eastAsia="zh-CN"/>
              </w:rPr>
            </w:pPr>
          </w:p>
        </w:tc>
      </w:tr>
      <w:tr w14:paraId="570C7D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3BFA397C">
            <w:pPr>
              <w:bidi w:val="0"/>
              <w:jc w:val="center"/>
              <w:rPr>
                <w:rFonts w:hint="default" w:ascii="Times New Roman" w:hAnsi="Times New Roman" w:eastAsia="宋体" w:cs="Times New Roman"/>
                <w:color w:val="auto"/>
                <w:sz w:val="21"/>
                <w:szCs w:val="21"/>
                <w:lang w:val="en-US" w:eastAsia="zh-CN"/>
              </w:rPr>
            </w:pPr>
          </w:p>
        </w:tc>
        <w:tc>
          <w:tcPr>
            <w:tcW w:w="881" w:type="dxa"/>
            <w:vMerge w:val="continue"/>
            <w:vAlign w:val="center"/>
          </w:tcPr>
          <w:p w14:paraId="583A734B">
            <w:pPr>
              <w:bidi w:val="0"/>
              <w:jc w:val="center"/>
              <w:rPr>
                <w:rFonts w:hint="default" w:ascii="Times New Roman" w:hAnsi="Times New Roman" w:eastAsia="宋体" w:cs="Times New Roman"/>
                <w:color w:val="auto"/>
                <w:sz w:val="21"/>
                <w:szCs w:val="21"/>
                <w:lang w:val="en-US" w:eastAsia="zh-CN"/>
              </w:rPr>
            </w:pPr>
          </w:p>
        </w:tc>
        <w:tc>
          <w:tcPr>
            <w:tcW w:w="1875" w:type="dxa"/>
            <w:vAlign w:val="center"/>
          </w:tcPr>
          <w:p w14:paraId="1E2D6F1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 w:val="0"/>
                <w:bCs w:val="0"/>
                <w:color w:val="auto"/>
                <w:sz w:val="21"/>
                <w:szCs w:val="21"/>
                <w:highlight w:val="none"/>
                <w:lang w:val="en-US" w:eastAsia="zh-CN"/>
              </w:rPr>
              <w:t>排风系</w:t>
            </w:r>
            <w:r>
              <w:rPr>
                <w:rFonts w:hint="default" w:ascii="Times New Roman" w:hAnsi="Times New Roman" w:eastAsia="宋体" w:cs="Times New Roman"/>
                <w:color w:val="auto"/>
                <w:sz w:val="21"/>
                <w:szCs w:val="21"/>
                <w:highlight w:val="none"/>
                <w:lang w:val="en-US" w:eastAsia="zh-CN"/>
              </w:rPr>
              <w:t>统更换的滤芯</w:t>
            </w:r>
          </w:p>
        </w:tc>
        <w:tc>
          <w:tcPr>
            <w:tcW w:w="3782" w:type="dxa"/>
            <w:vMerge w:val="continue"/>
            <w:vAlign w:val="center"/>
          </w:tcPr>
          <w:p w14:paraId="4AAEE0A8">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1068" w:type="dxa"/>
            <w:vMerge w:val="continue"/>
            <w:vAlign w:val="center"/>
          </w:tcPr>
          <w:p w14:paraId="34FD82BC">
            <w:pPr>
              <w:bidi w:val="0"/>
              <w:jc w:val="center"/>
              <w:rPr>
                <w:rFonts w:hint="default" w:ascii="Times New Roman" w:hAnsi="Times New Roman" w:eastAsia="宋体" w:cs="Times New Roman"/>
                <w:color w:val="auto"/>
                <w:sz w:val="21"/>
                <w:szCs w:val="21"/>
                <w:lang w:val="en-US" w:eastAsia="zh-CN"/>
              </w:rPr>
            </w:pPr>
          </w:p>
        </w:tc>
      </w:tr>
      <w:tr w14:paraId="55868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 w:type="dxa"/>
            <w:vMerge w:val="continue"/>
            <w:vAlign w:val="center"/>
          </w:tcPr>
          <w:p w14:paraId="2A2831E0">
            <w:pPr>
              <w:bidi w:val="0"/>
              <w:jc w:val="center"/>
              <w:rPr>
                <w:rFonts w:hint="default" w:ascii="Times New Roman" w:hAnsi="Times New Roman" w:eastAsia="宋体" w:cs="Times New Roman"/>
                <w:color w:val="auto"/>
                <w:sz w:val="21"/>
                <w:szCs w:val="21"/>
                <w:lang w:val="en-US" w:eastAsia="zh-CN"/>
              </w:rPr>
            </w:pPr>
          </w:p>
        </w:tc>
        <w:tc>
          <w:tcPr>
            <w:tcW w:w="2756" w:type="dxa"/>
            <w:gridSpan w:val="2"/>
            <w:vAlign w:val="center"/>
          </w:tcPr>
          <w:p w14:paraId="4A7058C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地下水、土壤防治</w:t>
            </w:r>
          </w:p>
        </w:tc>
        <w:tc>
          <w:tcPr>
            <w:tcW w:w="3782" w:type="dxa"/>
            <w:vAlign w:val="center"/>
          </w:tcPr>
          <w:p w14:paraId="18BEA5B4">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分区防渗措施，污水处理站、污水预处理池、医废暂存间、危废暂存间等地面重点防渗</w:t>
            </w:r>
            <w:r>
              <w:rPr>
                <w:rFonts w:hint="default" w:ascii="Times New Roman" w:hAnsi="Times New Roman" w:eastAsia="宋体" w:cs="Times New Roman"/>
                <w:color w:val="auto"/>
                <w:kern w:val="0"/>
                <w:sz w:val="21"/>
                <w:szCs w:val="21"/>
                <w:lang w:val="en-US" w:eastAsia="zh-CN" w:bidi="ar"/>
              </w:rPr>
              <w:t>。门诊楼、急诊楼、住院楼、医技楼、发电机房、液氧站等一般防渗。</w:t>
            </w:r>
          </w:p>
        </w:tc>
        <w:tc>
          <w:tcPr>
            <w:tcW w:w="1068" w:type="dxa"/>
            <w:vAlign w:val="center"/>
          </w:tcPr>
          <w:p w14:paraId="3110B46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r>
      <w:tr w14:paraId="2EFAE1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672" w:type="dxa"/>
            <w:vMerge w:val="continue"/>
            <w:vAlign w:val="center"/>
          </w:tcPr>
          <w:p w14:paraId="4ED130C2">
            <w:pPr>
              <w:bidi w:val="0"/>
              <w:jc w:val="center"/>
              <w:rPr>
                <w:rFonts w:hint="default" w:ascii="Times New Roman" w:hAnsi="Times New Roman" w:eastAsia="宋体" w:cs="Times New Roman"/>
                <w:color w:val="auto"/>
                <w:sz w:val="21"/>
                <w:szCs w:val="21"/>
                <w:lang w:val="en-US" w:eastAsia="zh-CN"/>
              </w:rPr>
            </w:pPr>
          </w:p>
        </w:tc>
        <w:tc>
          <w:tcPr>
            <w:tcW w:w="881" w:type="dxa"/>
            <w:vAlign w:val="center"/>
          </w:tcPr>
          <w:p w14:paraId="378D635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1875" w:type="dxa"/>
            <w:vAlign w:val="center"/>
          </w:tcPr>
          <w:p w14:paraId="54CB7F4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风险防范</w:t>
            </w:r>
          </w:p>
        </w:tc>
        <w:tc>
          <w:tcPr>
            <w:tcW w:w="3782" w:type="dxa"/>
            <w:vAlign w:val="center"/>
          </w:tcPr>
          <w:p w14:paraId="6159CA8C">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pPr>
            <w:r>
              <w:rPr>
                <w:rFonts w:hint="default" w:ascii="Times New Roman" w:hAnsi="Times New Roman" w:eastAsia="宋体" w:cs="Times New Roman"/>
                <w:bCs/>
                <w:color w:val="auto"/>
                <w:sz w:val="21"/>
                <w:szCs w:val="21"/>
                <w:highlight w:val="none"/>
                <w:vertAlign w:val="baseline"/>
                <w:lang w:val="en-US" w:eastAsia="zh-CN"/>
              </w:rPr>
              <w:t>污水处理设施、应急事故池、消防水池、医废暂存间和危废暂存间作重点防渗；设置1座</w:t>
            </w:r>
            <w:r>
              <w:rPr>
                <w:rFonts w:hint="eastAsia" w:cs="Times New Roman"/>
                <w:bCs/>
                <w:color w:val="auto"/>
                <w:sz w:val="21"/>
                <w:szCs w:val="21"/>
                <w:highlight w:val="none"/>
                <w:vertAlign w:val="baseline"/>
                <w:lang w:val="en-US" w:eastAsia="zh-CN"/>
              </w:rPr>
              <w:t>24</w:t>
            </w:r>
            <w:r>
              <w:rPr>
                <w:rFonts w:hint="default" w:ascii="Times New Roman" w:hAnsi="Times New Roman" w:eastAsia="宋体" w:cs="Times New Roman"/>
                <w:bCs/>
                <w:color w:val="auto"/>
                <w:sz w:val="21"/>
                <w:szCs w:val="21"/>
                <w:highlight w:val="none"/>
                <w:vertAlign w:val="baseline"/>
                <w:lang w:val="en-US" w:eastAsia="zh-CN"/>
              </w:rPr>
              <w:t>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应急事故池；配备灭火器等消防设施，设置消防水池</w:t>
            </w:r>
            <w:r>
              <w:rPr>
                <w:rFonts w:hint="eastAsia" w:cs="Times New Roman"/>
                <w:bCs/>
                <w:color w:val="auto"/>
                <w:sz w:val="21"/>
                <w:szCs w:val="21"/>
                <w:highlight w:val="none"/>
                <w:vertAlign w:val="baseline"/>
                <w:lang w:val="en-US" w:eastAsia="zh-CN"/>
              </w:rPr>
              <w:t>1550</w:t>
            </w:r>
            <w:r>
              <w:rPr>
                <w:rFonts w:hint="default" w:ascii="Times New Roman" w:hAnsi="Times New Roman" w:eastAsia="宋体" w:cs="Times New Roman"/>
                <w:bCs/>
                <w:color w:val="auto"/>
                <w:sz w:val="21"/>
                <w:szCs w:val="21"/>
                <w:highlight w:val="none"/>
                <w:vertAlign w:val="baseli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w:t>
            </w:r>
          </w:p>
        </w:tc>
        <w:tc>
          <w:tcPr>
            <w:tcW w:w="1068" w:type="dxa"/>
            <w:vAlign w:val="center"/>
          </w:tcPr>
          <w:p w14:paraId="1421C53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r>
      <w:tr w14:paraId="5D0CE9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8" w:type="dxa"/>
            <w:gridSpan w:val="3"/>
            <w:vAlign w:val="center"/>
          </w:tcPr>
          <w:p w14:paraId="4BE755AA">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环境管理及监测</w:t>
            </w:r>
          </w:p>
        </w:tc>
        <w:tc>
          <w:tcPr>
            <w:tcW w:w="3782" w:type="dxa"/>
            <w:vAlign w:val="center"/>
          </w:tcPr>
          <w:p w14:paraId="3C9DEC9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环保设备运行维护、例行检测</w:t>
            </w:r>
          </w:p>
        </w:tc>
        <w:tc>
          <w:tcPr>
            <w:tcW w:w="1068" w:type="dxa"/>
            <w:vAlign w:val="center"/>
          </w:tcPr>
          <w:p w14:paraId="6045783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14D92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10" w:type="dxa"/>
            <w:gridSpan w:val="4"/>
            <w:vAlign w:val="center"/>
          </w:tcPr>
          <w:p w14:paraId="267788A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合计</w:t>
            </w:r>
          </w:p>
        </w:tc>
        <w:tc>
          <w:tcPr>
            <w:tcW w:w="1068" w:type="dxa"/>
            <w:vAlign w:val="center"/>
          </w:tcPr>
          <w:p w14:paraId="1D2D3EA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1450</w:t>
            </w:r>
          </w:p>
        </w:tc>
      </w:tr>
    </w:tbl>
    <w:p w14:paraId="1350806E">
      <w:pPr>
        <w:pStyle w:val="6"/>
        <w:bidi w:val="0"/>
        <w:rPr>
          <w:rFonts w:hint="default" w:ascii="Times New Roman" w:hAnsi="Times New Roman" w:eastAsia="宋体" w:cs="Times New Roman"/>
          <w:color w:val="auto"/>
          <w:lang w:val="en-US" w:eastAsia="zh-CN"/>
        </w:rPr>
      </w:pPr>
      <w:bookmarkStart w:id="2888" w:name="_Toc26800"/>
      <w:r>
        <w:rPr>
          <w:rFonts w:hint="default" w:ascii="Times New Roman" w:hAnsi="Times New Roman" w:eastAsia="宋体" w:cs="Times New Roman"/>
          <w:color w:val="auto"/>
          <w:lang w:val="en-US" w:eastAsia="zh-CN"/>
        </w:rPr>
        <w:t>9.2 社会效益分析</w:t>
      </w:r>
      <w:bookmarkEnd w:id="2888"/>
    </w:p>
    <w:p w14:paraId="5AA1BA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将能够有效的解决医院业务用房不足，床位满足不了使用需求的现状，有利于医院正常开展医疗业务工作，提升医院的竞争力，使医院的医疗水平更上一个新台阶，为患者提供良好的医疗服务体系，使患者能够得到及时有效的治疗，同时有效的促进大英县医疗卫生事业的发展。</w:t>
      </w:r>
    </w:p>
    <w:p w14:paraId="660C36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项目建成后将充分利用各类型的医疗保健服务模式，通过自身卫生资源的有效利用，为广大人民群众提供相应的保健卫生服务，尽最大努力提升人民群众的生活质量与健康水平。</w:t>
      </w:r>
    </w:p>
    <w:p w14:paraId="68B070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（1）对社会人群的出生、发育、疾病、衰老、死亡等自然过程进行生物医学的科学干预，从而提高社会人群的健康水平，延长平均寿命。</w:t>
      </w:r>
    </w:p>
    <w:p w14:paraId="4965D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（2）修复、保护社会劳动力。医疗的最佳效果是使病人康复，重返劳动岗位，缩短劳动者病休时间和诊治疾病所需时间，从而促进社会生产力的发展。</w:t>
      </w:r>
    </w:p>
    <w:p w14:paraId="2F27C0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医疗的精神安定作用。恰当的医疗对患者及其家属和工作单位都具有精神安定作用，包括减轻疾病痛苦、缓解精神负担和心理紧张状态、减轻家庭或工作单位负担等。是一项利民惠民的工程，是促进区域经济社会和谐发展的重要措施。</w:t>
      </w:r>
    </w:p>
    <w:p w14:paraId="75FE855B">
      <w:pPr>
        <w:pStyle w:val="6"/>
        <w:bidi w:val="0"/>
        <w:rPr>
          <w:rFonts w:hint="default" w:ascii="Times New Roman" w:hAnsi="Times New Roman" w:eastAsia="宋体" w:cs="Times New Roman"/>
          <w:color w:val="auto"/>
        </w:rPr>
      </w:pPr>
      <w:bookmarkStart w:id="2889" w:name="_Toc20773"/>
      <w:r>
        <w:rPr>
          <w:rFonts w:hint="default" w:ascii="Times New Roman" w:hAnsi="Times New Roman" w:eastAsia="宋体" w:cs="Times New Roman"/>
          <w:color w:val="auto"/>
          <w:lang w:val="en-US" w:eastAsia="zh-CN"/>
        </w:rPr>
        <w:t>9.3 环境效益分析</w:t>
      </w:r>
      <w:bookmarkEnd w:id="2889"/>
      <w:r>
        <w:rPr>
          <w:rFonts w:hint="default" w:ascii="Times New Roman" w:hAnsi="Times New Roman" w:eastAsia="宋体" w:cs="Times New Roman"/>
          <w:color w:val="auto"/>
          <w:lang w:val="en-US" w:eastAsia="zh-CN"/>
        </w:rPr>
        <w:t xml:space="preserve"> </w:t>
      </w:r>
    </w:p>
    <w:p w14:paraId="0BEE12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环保设施的运转使医疗废水中污染物的排放量显著减少；污水处理设施为地埋式建设，污染物排放量不大，并设置有废气治理设施；产生的废水经污水处理系统处理达《医疗机构水污染排放标准》（GBl8466-2005）表2中预处理标准</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及《污水排入城镇下水道水质标准》（GB/T31962-2015）表（1）标准后</w:t>
      </w:r>
      <w:r>
        <w:rPr>
          <w:rFonts w:hint="default" w:ascii="Times New Roman" w:hAnsi="Times New Roman" w:eastAsia="宋体" w:cs="Times New Roman"/>
          <w:color w:val="auto"/>
          <w:sz w:val="24"/>
          <w:szCs w:val="24"/>
          <w:lang w:val="en-US" w:eastAsia="zh-CN"/>
        </w:rPr>
        <w:t>外排进入市政污水管网；固体废弃物分类收集，分类处理；噪声采取一定的措施后，对周围敏感保护目标影响较小。</w:t>
      </w:r>
    </w:p>
    <w:p w14:paraId="592C5F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尽管对项目产生的污染物采取了相应的治理措施，但本项目每年仍将向环境排放一定量的污染物，因此本项目的建设会带来一定的环境污染。根据本评价预测，通过采取必要的污染治理设施后，项目各项污染物的排放均可达到相应排放标准。由于区域污染治理基础设施完善、项目营运期污染物产生量较少，其建设改变各环境要素的等级，不会导致当地的环境状况发生明显改变。</w:t>
      </w:r>
    </w:p>
    <w:p w14:paraId="35B266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项目拟采取的环保措施虽然没有产生直接经济效益，但是从环境保护角度出发，这些环保措施减少了项目污染物的排放，保护了周围的环境，也保护了周围居民的健康，具有显著的环境效益。</w:t>
      </w:r>
    </w:p>
    <w:p w14:paraId="77BB344A">
      <w:pPr>
        <w:pStyle w:val="6"/>
        <w:bidi w:val="0"/>
        <w:rPr>
          <w:rFonts w:hint="default" w:ascii="Times New Roman" w:hAnsi="Times New Roman" w:eastAsia="宋体" w:cs="Times New Roman"/>
          <w:color w:val="auto"/>
        </w:rPr>
      </w:pPr>
      <w:bookmarkStart w:id="2890" w:name="_Toc26996"/>
      <w:r>
        <w:rPr>
          <w:rFonts w:hint="default" w:ascii="Times New Roman" w:hAnsi="Times New Roman" w:eastAsia="宋体" w:cs="Times New Roman"/>
          <w:color w:val="auto"/>
          <w:lang w:val="en-US" w:eastAsia="zh-CN"/>
        </w:rPr>
        <w:t>9.4 经济效益分析</w:t>
      </w:r>
      <w:bookmarkEnd w:id="2890"/>
      <w:r>
        <w:rPr>
          <w:rFonts w:hint="default" w:ascii="Times New Roman" w:hAnsi="Times New Roman" w:eastAsia="宋体" w:cs="Times New Roman"/>
          <w:color w:val="auto"/>
          <w:lang w:val="en-US" w:eastAsia="zh-CN"/>
        </w:rPr>
        <w:t xml:space="preserve"> </w:t>
      </w:r>
    </w:p>
    <w:p w14:paraId="63D486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为具有公益性的公共卫生基础设施建设项目，属于非营利性项目，故按非盈利项目或公共设施建设项目进行财务分析。因此，经济评价不做定量分析，只考虑定性分析。项目建成后增强了遂宁市大英县周边区域的医疗服务力量，项目建成后大大提高了医院的医疗配置，为提升诊疗效率和医院收入提供了充分的保障。而医院收入的提高又为医院医疗品质的提高和环境条件的改善奠定了物质基础，从而引导医院走上可持续发展的良性循环之路，发挥更好的社会效益。通过医疗配套设施的完善，进一步提升城市竞争力，为遂宁市大英县社会经济发展作出贡献。因此项目的建设具有一定的经济效益。</w:t>
      </w:r>
    </w:p>
    <w:p w14:paraId="2B2B513B">
      <w:pPr>
        <w:pStyle w:val="6"/>
        <w:bidi w:val="0"/>
        <w:rPr>
          <w:rFonts w:hint="default" w:ascii="Times New Roman" w:hAnsi="Times New Roman" w:eastAsia="宋体" w:cs="Times New Roman"/>
          <w:color w:val="auto"/>
        </w:rPr>
      </w:pPr>
      <w:bookmarkStart w:id="2891" w:name="_Toc6065"/>
      <w:r>
        <w:rPr>
          <w:rFonts w:hint="default" w:ascii="Times New Roman" w:hAnsi="Times New Roman" w:eastAsia="宋体" w:cs="Times New Roman"/>
          <w:color w:val="auto"/>
          <w:lang w:val="en-US" w:eastAsia="zh-CN"/>
        </w:rPr>
        <w:t>9.5 经济损益分析结论</w:t>
      </w:r>
      <w:bookmarkEnd w:id="2891"/>
      <w:r>
        <w:rPr>
          <w:rFonts w:hint="default" w:ascii="Times New Roman" w:hAnsi="Times New Roman" w:eastAsia="宋体" w:cs="Times New Roman"/>
          <w:color w:val="auto"/>
          <w:lang w:val="en-US" w:eastAsia="zh-CN"/>
        </w:rPr>
        <w:t xml:space="preserve"> </w:t>
      </w:r>
    </w:p>
    <w:p w14:paraId="22194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通过对本项目的环境效益、社会效益分析，本项目建成后能促进遂宁市大英县周边区域的医疗卫生事业的发展，为缓解群众看病起到积极的推动作用。对于振兴地方经济、提高人民医疗水平有较大贡献。本项目建成后污染物排放满足达标排放原则。本项目必须严格执行国家规定“三同时”原则，在项目建成后，要严格进行管理、保证相应环保设施的正常运行；同时安排、培训专职的环保管理人员，加强环境保护工作。本项目在进行污染防治、保证环境投资和治理效果的情况下，能实现社会效益、经济效益和环境效益的统一、协调发展。</w:t>
      </w:r>
    </w:p>
    <w:p w14:paraId="4EE8C425">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br w:type="page"/>
      </w:r>
    </w:p>
    <w:p w14:paraId="3D99C0C7">
      <w:pPr>
        <w:pStyle w:val="5"/>
        <w:bidi w:val="0"/>
        <w:rPr>
          <w:rFonts w:hint="default" w:ascii="Times New Roman" w:hAnsi="Times New Roman" w:eastAsia="宋体" w:cs="Times New Roman"/>
          <w:color w:val="auto"/>
        </w:rPr>
      </w:pPr>
      <w:bookmarkStart w:id="2892" w:name="_Toc8943"/>
      <w:r>
        <w:rPr>
          <w:rFonts w:hint="default" w:ascii="Times New Roman" w:hAnsi="Times New Roman" w:eastAsia="宋体" w:cs="Times New Roman"/>
          <w:color w:val="auto"/>
          <w:lang w:val="en-US" w:eastAsia="zh-CN"/>
        </w:rPr>
        <w:t>10环境管理与监测计划</w:t>
      </w:r>
      <w:bookmarkEnd w:id="2892"/>
    </w:p>
    <w:p w14:paraId="0DC90E80">
      <w:pPr>
        <w:pStyle w:val="6"/>
        <w:bidi w:val="0"/>
        <w:rPr>
          <w:rFonts w:hint="default" w:ascii="Times New Roman" w:hAnsi="Times New Roman" w:eastAsia="宋体" w:cs="Times New Roman"/>
          <w:color w:val="auto"/>
        </w:rPr>
      </w:pPr>
      <w:bookmarkStart w:id="2893" w:name="_Toc3326"/>
      <w:r>
        <w:rPr>
          <w:rFonts w:hint="default" w:ascii="Times New Roman" w:hAnsi="Times New Roman" w:eastAsia="宋体" w:cs="Times New Roman"/>
          <w:color w:val="auto"/>
          <w:lang w:val="en-US" w:eastAsia="zh-CN"/>
        </w:rPr>
        <w:t>10.1 环境管理的目的</w:t>
      </w:r>
      <w:bookmarkEnd w:id="2893"/>
    </w:p>
    <w:p w14:paraId="107F17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管理是对损害环境质量的人为活动施加影响，以协调经济与环境的关系，达到既发展经济，满足人类的需要，又不超出地球生物容量极限的目的。本项目建成营运后，必然会产生一定的废水、废气、噪声、固体废物，若管理不善，处置不当，将会对环境带来一定的影响或危害，因此，企业应该作好相应的环境保护工作，加强环境管理，时时监测，发现问题及时解决，尽量减少或避免不必要的损失。</w:t>
      </w:r>
    </w:p>
    <w:p w14:paraId="59770853">
      <w:pPr>
        <w:pStyle w:val="6"/>
        <w:bidi w:val="0"/>
        <w:rPr>
          <w:rFonts w:hint="default" w:ascii="Times New Roman" w:hAnsi="Times New Roman" w:eastAsia="宋体" w:cs="Times New Roman"/>
          <w:color w:val="auto"/>
        </w:rPr>
      </w:pPr>
      <w:bookmarkStart w:id="2894" w:name="_Toc17055"/>
      <w:r>
        <w:rPr>
          <w:rFonts w:hint="default" w:ascii="Times New Roman" w:hAnsi="Times New Roman" w:eastAsia="宋体" w:cs="Times New Roman"/>
          <w:color w:val="auto"/>
          <w:lang w:val="en-US" w:eastAsia="zh-CN"/>
        </w:rPr>
        <w:t>10.2 环境管理机构</w:t>
      </w:r>
      <w:bookmarkEnd w:id="2894"/>
    </w:p>
    <w:p w14:paraId="7C1E8D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公司设置环保安全部，主要承担全公司的环保、安全管理、污染治理、对外协调等工作，本项目的环保工作由公司环保安全部负责。公司应加强本部门的专职环境保护机构力量，为专职人员创造必要的工作条件和建立相应的工作制度。其专职环境监测工作人员至少应配备 1~2 人，应有一位领导管理该部门。</w:t>
      </w:r>
    </w:p>
    <w:p w14:paraId="246B21CC">
      <w:pPr>
        <w:pStyle w:val="6"/>
        <w:bidi w:val="0"/>
        <w:rPr>
          <w:rFonts w:hint="default" w:ascii="Times New Roman" w:hAnsi="Times New Roman" w:eastAsia="宋体" w:cs="Times New Roman"/>
          <w:color w:val="auto"/>
        </w:rPr>
      </w:pPr>
      <w:bookmarkStart w:id="2895" w:name="_Toc12052"/>
      <w:r>
        <w:rPr>
          <w:rFonts w:hint="default" w:ascii="Times New Roman" w:hAnsi="Times New Roman" w:eastAsia="宋体" w:cs="Times New Roman"/>
          <w:color w:val="auto"/>
          <w:lang w:val="en-US" w:eastAsia="zh-CN"/>
        </w:rPr>
        <w:t>10.3 环境管理机构的主要职责</w:t>
      </w:r>
      <w:bookmarkEnd w:id="2895"/>
    </w:p>
    <w:p w14:paraId="1D86BEDF">
      <w:pPr>
        <w:pStyle w:val="7"/>
        <w:bidi w:val="0"/>
        <w:rPr>
          <w:rFonts w:hint="default" w:ascii="Times New Roman" w:hAnsi="Times New Roman" w:eastAsia="宋体" w:cs="Times New Roman"/>
          <w:color w:val="auto"/>
          <w:lang w:val="en-US" w:eastAsia="zh-CN"/>
        </w:rPr>
      </w:pPr>
      <w:bookmarkStart w:id="2896" w:name="_Toc30475"/>
      <w:r>
        <w:rPr>
          <w:rFonts w:hint="default" w:ascii="Times New Roman" w:hAnsi="Times New Roman" w:eastAsia="宋体" w:cs="Times New Roman"/>
          <w:color w:val="auto"/>
          <w:lang w:val="en-US" w:eastAsia="zh-CN"/>
        </w:rPr>
        <w:t>10.3.1 施工期的环境管理</w:t>
      </w:r>
      <w:bookmarkEnd w:id="2896"/>
    </w:p>
    <w:p w14:paraId="6D86EC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项目在施工期环境管理职责如下：</w:t>
      </w:r>
    </w:p>
    <w:p w14:paraId="6DE86E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控制施工期环境污染及生态破坏，杜绝野蛮施工，指导和监督检查施工过程中“三废”及噪声治理工作，使施工期对环境污染及生态破坏程度降至最小。</w:t>
      </w:r>
    </w:p>
    <w:p w14:paraId="13617107">
      <w:pPr>
        <w:pStyle w:val="7"/>
        <w:bidi w:val="0"/>
        <w:rPr>
          <w:rFonts w:hint="default" w:ascii="Times New Roman" w:hAnsi="Times New Roman" w:eastAsia="宋体" w:cs="Times New Roman"/>
          <w:color w:val="auto"/>
          <w:lang w:val="en-US" w:eastAsia="zh-CN"/>
        </w:rPr>
      </w:pPr>
      <w:bookmarkStart w:id="2897" w:name="_Toc30991"/>
      <w:r>
        <w:rPr>
          <w:rFonts w:hint="default" w:ascii="Times New Roman" w:hAnsi="Times New Roman" w:eastAsia="宋体" w:cs="Times New Roman"/>
          <w:color w:val="auto"/>
          <w:lang w:val="en-US" w:eastAsia="zh-CN"/>
        </w:rPr>
        <w:t>10.3.2 营运期的环境管理</w:t>
      </w:r>
      <w:bookmarkEnd w:id="2897"/>
      <w:r>
        <w:rPr>
          <w:rFonts w:hint="default" w:ascii="Times New Roman" w:hAnsi="Times New Roman" w:eastAsia="宋体" w:cs="Times New Roman"/>
          <w:color w:val="auto"/>
          <w:lang w:val="en-US" w:eastAsia="zh-CN"/>
        </w:rPr>
        <w:t xml:space="preserve"> </w:t>
      </w:r>
    </w:p>
    <w:p w14:paraId="2126DD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项目投入营运后，环境管理主要职责为：</w:t>
      </w:r>
    </w:p>
    <w:p w14:paraId="6A4654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（1）结合该项目的工艺贯彻落实公司的环保方针，根据公司的环境保护管理制度确定各部门、各岗位的环境保护职责和规章制度。并遵守国家、地方的有关法律、法规以及其它相关规定。</w:t>
      </w:r>
    </w:p>
    <w:p w14:paraId="280D40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（2）严格执行环保规章制度。建立健全工程运行过程中的污染源档案、环保设施和工艺流程档案。按月统计污染物排放的有关数据报表和环保设施的运行状况。</w:t>
      </w:r>
    </w:p>
    <w:p w14:paraId="5238A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（3）对环保设施、设备进行日常的监控和维护工作，并作好记录存档。</w:t>
      </w:r>
    </w:p>
    <w:p w14:paraId="11E35B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（4）做好环境保护、安全生产宣传，以及相关技术培训等工作。</w:t>
      </w:r>
    </w:p>
    <w:p w14:paraId="6A8E8F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（5）加强管理，建立废水、废气非正常排放的应急制度和响应措施，将非正常排放的影响降至最低。负责全厂危险化学品的贮运、使用的安全管理；防火防爆、防毒害的日常管理及应急处理、疏散措施的组织。</w:t>
      </w:r>
    </w:p>
    <w:p w14:paraId="5E4803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（6）配合地方监测站对厂内各废气、废水、污染源进行监测，检查固废处置情况。</w:t>
      </w:r>
    </w:p>
    <w:p w14:paraId="3AECB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（7）对项目所在区域的生态环境进行保护。</w:t>
      </w:r>
    </w:p>
    <w:p w14:paraId="5D573D9A">
      <w:pPr>
        <w:pStyle w:val="6"/>
        <w:bidi w:val="0"/>
        <w:rPr>
          <w:rFonts w:hint="default" w:ascii="Times New Roman" w:hAnsi="Times New Roman" w:eastAsia="宋体" w:cs="Times New Roman"/>
          <w:color w:val="auto"/>
        </w:rPr>
      </w:pPr>
      <w:bookmarkStart w:id="2898" w:name="_Toc8057"/>
      <w:r>
        <w:rPr>
          <w:rFonts w:hint="default" w:ascii="Times New Roman" w:hAnsi="Times New Roman" w:eastAsia="宋体" w:cs="Times New Roman"/>
          <w:color w:val="auto"/>
          <w:lang w:val="en-US" w:eastAsia="zh-CN"/>
        </w:rPr>
        <w:t>10.4 污染源监测计划建议</w:t>
      </w:r>
      <w:bookmarkEnd w:id="2898"/>
    </w:p>
    <w:p w14:paraId="1B20D1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本项目排放的主要污染物是：医疗废水、医疗废物、柴油发电机及动力设备产生的噪声等。</w:t>
      </w:r>
    </w:p>
    <w:p w14:paraId="0D2C0F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为切实控制本工程治理设施的有效地运行和“达标排放”，落实排污总量控制制度，根据《排污许可证申请与核发技术规划—医疗机构》（HJ1105-2020），本环评对拟建项目实施环境监测建议。</w:t>
      </w:r>
    </w:p>
    <w:p w14:paraId="12B22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对医院环境监测计划建议见表10.4-1。</w:t>
      </w:r>
    </w:p>
    <w:p w14:paraId="2FFE6596">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val="en-US" w:eastAsia="zh-CN" w:bidi="ar"/>
        </w:rPr>
        <w:t>表 10.4-1 环境监测计划建议</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387"/>
        <w:gridCol w:w="3650"/>
        <w:gridCol w:w="1303"/>
      </w:tblGrid>
      <w:tr w14:paraId="0B7DA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97" w:type="dxa"/>
            <w:shd w:val="clear" w:color="auto" w:fill="D7D7D7" w:themeFill="background1" w:themeFillShade="D8"/>
            <w:vAlign w:val="center"/>
          </w:tcPr>
          <w:p w14:paraId="0F2052FA">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2387" w:type="dxa"/>
            <w:shd w:val="clear" w:color="auto" w:fill="D7D7D7" w:themeFill="background1" w:themeFillShade="D8"/>
            <w:vAlign w:val="center"/>
          </w:tcPr>
          <w:p w14:paraId="07667097">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监测位置</w:t>
            </w:r>
          </w:p>
        </w:tc>
        <w:tc>
          <w:tcPr>
            <w:tcW w:w="3650" w:type="dxa"/>
            <w:shd w:val="clear" w:color="auto" w:fill="D7D7D7" w:themeFill="background1" w:themeFillShade="D8"/>
            <w:vAlign w:val="center"/>
          </w:tcPr>
          <w:p w14:paraId="1B43B540">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1303" w:type="dxa"/>
            <w:shd w:val="clear" w:color="auto" w:fill="D7D7D7" w:themeFill="background1" w:themeFillShade="D8"/>
            <w:vAlign w:val="center"/>
          </w:tcPr>
          <w:p w14:paraId="4ABC8071">
            <w:pPr>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监测频率</w:t>
            </w:r>
          </w:p>
        </w:tc>
      </w:tr>
      <w:tr w14:paraId="4D484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997" w:type="dxa"/>
            <w:vMerge w:val="restart"/>
            <w:vAlign w:val="center"/>
          </w:tcPr>
          <w:p w14:paraId="1C0833B8">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2387" w:type="dxa"/>
            <w:vMerge w:val="restart"/>
            <w:vAlign w:val="center"/>
          </w:tcPr>
          <w:p w14:paraId="61760AB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污水总排口</w:t>
            </w:r>
          </w:p>
        </w:tc>
        <w:tc>
          <w:tcPr>
            <w:tcW w:w="3650" w:type="dxa"/>
            <w:vAlign w:val="center"/>
          </w:tcPr>
          <w:p w14:paraId="65F8BE92">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流量、化学需氧量、氨氮</w:t>
            </w:r>
          </w:p>
        </w:tc>
        <w:tc>
          <w:tcPr>
            <w:tcW w:w="1303" w:type="dxa"/>
            <w:vAlign w:val="center"/>
          </w:tcPr>
          <w:p w14:paraId="62107D06">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自动监测</w:t>
            </w:r>
          </w:p>
        </w:tc>
      </w:tr>
      <w:tr w14:paraId="77119C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997" w:type="dxa"/>
            <w:vMerge w:val="continue"/>
            <w:vAlign w:val="center"/>
          </w:tcPr>
          <w:p w14:paraId="47A4E5F1">
            <w:pPr>
              <w:bidi w:val="0"/>
              <w:jc w:val="center"/>
              <w:rPr>
                <w:rFonts w:hint="default" w:ascii="Times New Roman" w:hAnsi="Times New Roman" w:eastAsia="宋体" w:cs="Times New Roman"/>
                <w:color w:val="auto"/>
                <w:sz w:val="21"/>
                <w:szCs w:val="21"/>
              </w:rPr>
            </w:pPr>
          </w:p>
        </w:tc>
        <w:tc>
          <w:tcPr>
            <w:tcW w:w="2387" w:type="dxa"/>
            <w:vMerge w:val="continue"/>
            <w:vAlign w:val="center"/>
          </w:tcPr>
          <w:p w14:paraId="19DFCD15">
            <w:pPr>
              <w:bidi w:val="0"/>
              <w:jc w:val="center"/>
              <w:rPr>
                <w:rFonts w:hint="default" w:ascii="Times New Roman" w:hAnsi="Times New Roman" w:eastAsia="宋体" w:cs="Times New Roman"/>
                <w:color w:val="auto"/>
                <w:sz w:val="21"/>
                <w:szCs w:val="21"/>
              </w:rPr>
            </w:pPr>
          </w:p>
        </w:tc>
        <w:tc>
          <w:tcPr>
            <w:tcW w:w="3650" w:type="dxa"/>
            <w:vAlign w:val="center"/>
          </w:tcPr>
          <w:p w14:paraId="4423505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w:t>
            </w:r>
          </w:p>
        </w:tc>
        <w:tc>
          <w:tcPr>
            <w:tcW w:w="1303" w:type="dxa"/>
            <w:vAlign w:val="center"/>
          </w:tcPr>
          <w:p w14:paraId="4F88F97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12小时</w:t>
            </w:r>
          </w:p>
        </w:tc>
      </w:tr>
      <w:tr w14:paraId="2C88F3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997" w:type="dxa"/>
            <w:vMerge w:val="continue"/>
            <w:vAlign w:val="center"/>
          </w:tcPr>
          <w:p w14:paraId="310EEBEC">
            <w:pPr>
              <w:bidi w:val="0"/>
              <w:jc w:val="center"/>
              <w:rPr>
                <w:rFonts w:hint="default" w:ascii="Times New Roman" w:hAnsi="Times New Roman" w:eastAsia="宋体" w:cs="Times New Roman"/>
                <w:color w:val="auto"/>
                <w:sz w:val="21"/>
                <w:szCs w:val="21"/>
                <w:lang w:val="en-US" w:eastAsia="zh-CN"/>
              </w:rPr>
            </w:pPr>
          </w:p>
        </w:tc>
        <w:tc>
          <w:tcPr>
            <w:tcW w:w="2387" w:type="dxa"/>
            <w:vMerge w:val="continue"/>
            <w:vAlign w:val="center"/>
          </w:tcPr>
          <w:p w14:paraId="424113FB">
            <w:pPr>
              <w:bidi w:val="0"/>
              <w:jc w:val="center"/>
              <w:rPr>
                <w:rFonts w:hint="default" w:ascii="Times New Roman" w:hAnsi="Times New Roman" w:eastAsia="宋体" w:cs="Times New Roman"/>
                <w:color w:val="auto"/>
                <w:sz w:val="21"/>
                <w:szCs w:val="21"/>
                <w:lang w:val="en-US" w:eastAsia="zh-CN"/>
              </w:rPr>
            </w:pPr>
          </w:p>
        </w:tc>
        <w:tc>
          <w:tcPr>
            <w:tcW w:w="3650" w:type="dxa"/>
            <w:vAlign w:val="center"/>
          </w:tcPr>
          <w:p w14:paraId="465B6291">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1303" w:type="dxa"/>
            <w:vAlign w:val="center"/>
          </w:tcPr>
          <w:p w14:paraId="4135EAE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1次/周</w:t>
            </w:r>
          </w:p>
        </w:tc>
      </w:tr>
      <w:tr w14:paraId="0F6C0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997" w:type="dxa"/>
            <w:vMerge w:val="continue"/>
            <w:vAlign w:val="center"/>
          </w:tcPr>
          <w:p w14:paraId="6FC9674B">
            <w:pPr>
              <w:bidi w:val="0"/>
              <w:jc w:val="center"/>
              <w:rPr>
                <w:rFonts w:hint="default" w:ascii="Times New Roman" w:hAnsi="Times New Roman" w:eastAsia="宋体" w:cs="Times New Roman"/>
                <w:color w:val="auto"/>
                <w:sz w:val="21"/>
                <w:szCs w:val="21"/>
                <w:lang w:val="en-US" w:eastAsia="zh-CN"/>
              </w:rPr>
            </w:pPr>
          </w:p>
        </w:tc>
        <w:tc>
          <w:tcPr>
            <w:tcW w:w="2387" w:type="dxa"/>
            <w:vMerge w:val="continue"/>
            <w:vAlign w:val="center"/>
          </w:tcPr>
          <w:p w14:paraId="56463772">
            <w:pPr>
              <w:bidi w:val="0"/>
              <w:jc w:val="center"/>
              <w:rPr>
                <w:rFonts w:hint="default" w:ascii="Times New Roman" w:hAnsi="Times New Roman" w:eastAsia="宋体" w:cs="Times New Roman"/>
                <w:color w:val="auto"/>
                <w:sz w:val="21"/>
                <w:szCs w:val="21"/>
                <w:lang w:val="en-US" w:eastAsia="zh-CN"/>
              </w:rPr>
            </w:pPr>
          </w:p>
        </w:tc>
        <w:tc>
          <w:tcPr>
            <w:tcW w:w="3650" w:type="dxa"/>
            <w:vAlign w:val="center"/>
          </w:tcPr>
          <w:p w14:paraId="155B305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粪大肠菌群</w:t>
            </w:r>
          </w:p>
        </w:tc>
        <w:tc>
          <w:tcPr>
            <w:tcW w:w="1303" w:type="dxa"/>
            <w:vAlign w:val="center"/>
          </w:tcPr>
          <w:p w14:paraId="072E24B5">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1次/月</w:t>
            </w:r>
          </w:p>
        </w:tc>
      </w:tr>
      <w:tr w14:paraId="3E39CF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997" w:type="dxa"/>
            <w:vMerge w:val="continue"/>
            <w:vAlign w:val="center"/>
          </w:tcPr>
          <w:p w14:paraId="2EBF9A8C">
            <w:pPr>
              <w:bidi w:val="0"/>
              <w:jc w:val="center"/>
              <w:rPr>
                <w:rFonts w:hint="default" w:ascii="Times New Roman" w:hAnsi="Times New Roman" w:eastAsia="宋体" w:cs="Times New Roman"/>
                <w:color w:val="auto"/>
                <w:sz w:val="21"/>
                <w:szCs w:val="21"/>
                <w:lang w:val="en-US" w:eastAsia="zh-CN"/>
              </w:rPr>
            </w:pPr>
          </w:p>
        </w:tc>
        <w:tc>
          <w:tcPr>
            <w:tcW w:w="2387" w:type="dxa"/>
            <w:vMerge w:val="continue"/>
            <w:vAlign w:val="center"/>
          </w:tcPr>
          <w:p w14:paraId="2DF66D72">
            <w:pPr>
              <w:bidi w:val="0"/>
              <w:jc w:val="center"/>
              <w:rPr>
                <w:rFonts w:hint="default" w:ascii="Times New Roman" w:hAnsi="Times New Roman" w:eastAsia="宋体" w:cs="Times New Roman"/>
                <w:color w:val="auto"/>
                <w:sz w:val="21"/>
                <w:szCs w:val="21"/>
                <w:lang w:val="en-US" w:eastAsia="zh-CN"/>
              </w:rPr>
            </w:pPr>
          </w:p>
        </w:tc>
        <w:tc>
          <w:tcPr>
            <w:tcW w:w="3650" w:type="dxa"/>
            <w:vAlign w:val="center"/>
          </w:tcPr>
          <w:p w14:paraId="6A5CE20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结核杆菌、五日生化需氧量、石油类、动植物油、阴离子表明活性剂总磷、总氰化物</w:t>
            </w:r>
          </w:p>
        </w:tc>
        <w:tc>
          <w:tcPr>
            <w:tcW w:w="1303" w:type="dxa"/>
            <w:vAlign w:val="center"/>
          </w:tcPr>
          <w:p w14:paraId="3E2D27AD">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1次/季</w:t>
            </w:r>
          </w:p>
        </w:tc>
      </w:tr>
      <w:tr w14:paraId="2C4AD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997" w:type="dxa"/>
            <w:vMerge w:val="continue"/>
            <w:vAlign w:val="center"/>
          </w:tcPr>
          <w:p w14:paraId="30498910">
            <w:pPr>
              <w:bidi w:val="0"/>
              <w:jc w:val="center"/>
              <w:rPr>
                <w:rFonts w:hint="default" w:ascii="Times New Roman" w:hAnsi="Times New Roman" w:eastAsia="宋体" w:cs="Times New Roman"/>
                <w:color w:val="auto"/>
                <w:sz w:val="21"/>
                <w:szCs w:val="21"/>
                <w:lang w:val="en-US" w:eastAsia="zh-CN"/>
              </w:rPr>
            </w:pPr>
          </w:p>
        </w:tc>
        <w:tc>
          <w:tcPr>
            <w:tcW w:w="2387" w:type="dxa"/>
            <w:vAlign w:val="center"/>
          </w:tcPr>
          <w:p w14:paraId="40D2938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预处理装置排口</w:t>
            </w:r>
          </w:p>
        </w:tc>
        <w:tc>
          <w:tcPr>
            <w:tcW w:w="3650" w:type="dxa"/>
            <w:vAlign w:val="center"/>
          </w:tcPr>
          <w:p w14:paraId="7FB66AFB">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总汞、总铬、六价铬、总镉、总砷、总铅、总银、总α、总β</w:t>
            </w:r>
          </w:p>
        </w:tc>
        <w:tc>
          <w:tcPr>
            <w:tcW w:w="1303" w:type="dxa"/>
            <w:vAlign w:val="center"/>
          </w:tcPr>
          <w:p w14:paraId="15C4F5A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1次/季</w:t>
            </w:r>
          </w:p>
        </w:tc>
      </w:tr>
      <w:tr w14:paraId="34133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7" w:type="dxa"/>
            <w:vMerge w:val="restart"/>
            <w:vAlign w:val="center"/>
          </w:tcPr>
          <w:p w14:paraId="15DE779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2387" w:type="dxa"/>
            <w:vAlign w:val="center"/>
          </w:tcPr>
          <w:p w14:paraId="08FF221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污水处理站废气排气筒</w:t>
            </w:r>
          </w:p>
        </w:tc>
        <w:tc>
          <w:tcPr>
            <w:tcW w:w="3650" w:type="dxa"/>
            <w:vAlign w:val="center"/>
          </w:tcPr>
          <w:p w14:paraId="0A780BD6">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氨气、硫化氢、臭气浓度</w:t>
            </w:r>
          </w:p>
        </w:tc>
        <w:tc>
          <w:tcPr>
            <w:tcW w:w="1303" w:type="dxa"/>
            <w:vAlign w:val="center"/>
          </w:tcPr>
          <w:p w14:paraId="316493B9">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1次/季</w:t>
            </w:r>
          </w:p>
        </w:tc>
      </w:tr>
      <w:tr w14:paraId="0A31A3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7" w:type="dxa"/>
            <w:vMerge w:val="continue"/>
            <w:vAlign w:val="center"/>
          </w:tcPr>
          <w:p w14:paraId="14F28AB3">
            <w:pPr>
              <w:bidi w:val="0"/>
              <w:jc w:val="center"/>
              <w:rPr>
                <w:rFonts w:hint="default" w:ascii="Times New Roman" w:hAnsi="Times New Roman" w:eastAsia="宋体" w:cs="Times New Roman"/>
                <w:color w:val="auto"/>
                <w:sz w:val="21"/>
                <w:szCs w:val="21"/>
                <w:lang w:val="en-US" w:eastAsia="zh-CN"/>
              </w:rPr>
            </w:pPr>
          </w:p>
        </w:tc>
        <w:tc>
          <w:tcPr>
            <w:tcW w:w="2387" w:type="dxa"/>
            <w:vAlign w:val="center"/>
          </w:tcPr>
          <w:p w14:paraId="3B335E6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污水处理站周边</w:t>
            </w:r>
          </w:p>
        </w:tc>
        <w:tc>
          <w:tcPr>
            <w:tcW w:w="3650" w:type="dxa"/>
            <w:vAlign w:val="center"/>
          </w:tcPr>
          <w:p w14:paraId="73FD609B">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氨气、硫化氢、臭气浓度、氯气、甲烷</w:t>
            </w:r>
          </w:p>
        </w:tc>
        <w:tc>
          <w:tcPr>
            <w:tcW w:w="1303" w:type="dxa"/>
            <w:vAlign w:val="center"/>
          </w:tcPr>
          <w:p w14:paraId="4CE576AA">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1次/季</w:t>
            </w:r>
          </w:p>
        </w:tc>
      </w:tr>
      <w:tr w14:paraId="1F4BF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7" w:type="dxa"/>
            <w:vAlign w:val="center"/>
          </w:tcPr>
          <w:p w14:paraId="102F427B">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387" w:type="dxa"/>
            <w:vAlign w:val="center"/>
          </w:tcPr>
          <w:p w14:paraId="29B042C2">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场</w:t>
            </w:r>
            <w:r>
              <w:rPr>
                <w:rFonts w:hint="default" w:ascii="Times New Roman" w:hAnsi="Times New Roman" w:eastAsia="宋体" w:cs="Times New Roman"/>
                <w:color w:val="auto"/>
                <w:sz w:val="21"/>
                <w:szCs w:val="21"/>
                <w:lang w:val="en-US" w:eastAsia="zh-CN"/>
              </w:rPr>
              <w:t>界</w:t>
            </w:r>
          </w:p>
        </w:tc>
        <w:tc>
          <w:tcPr>
            <w:tcW w:w="3650" w:type="dxa"/>
            <w:vAlign w:val="center"/>
          </w:tcPr>
          <w:p w14:paraId="557F0F34">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等效连续 A 声级</w:t>
            </w:r>
          </w:p>
        </w:tc>
        <w:tc>
          <w:tcPr>
            <w:tcW w:w="1303" w:type="dxa"/>
            <w:vAlign w:val="center"/>
          </w:tcPr>
          <w:p w14:paraId="5AEE7E67">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1次/季</w:t>
            </w:r>
          </w:p>
        </w:tc>
      </w:tr>
      <w:tr w14:paraId="347877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97" w:type="dxa"/>
            <w:vAlign w:val="center"/>
          </w:tcPr>
          <w:p w14:paraId="5A581E99">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w:t>
            </w:r>
          </w:p>
        </w:tc>
        <w:tc>
          <w:tcPr>
            <w:tcW w:w="2387" w:type="dxa"/>
            <w:vAlign w:val="center"/>
          </w:tcPr>
          <w:p w14:paraId="7FABD285">
            <w:pPr>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场地东南侧（下游）</w:t>
            </w:r>
          </w:p>
        </w:tc>
        <w:tc>
          <w:tcPr>
            <w:tcW w:w="3650" w:type="dxa"/>
            <w:vAlign w:val="center"/>
          </w:tcPr>
          <w:p w14:paraId="37E6FAE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bidi="ar"/>
              </w:rPr>
              <w:t>K</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、Na</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、Ca</w:t>
            </w:r>
            <w:r>
              <w:rPr>
                <w:rFonts w:hint="default" w:ascii="Times New Roman" w:hAnsi="Times New Roman" w:cs="Times New Roman"/>
                <w:color w:val="auto"/>
                <w:kern w:val="0"/>
                <w:sz w:val="21"/>
                <w:szCs w:val="21"/>
                <w:highlight w:val="none"/>
                <w:vertAlign w:val="superscript"/>
                <w:lang w:bidi="ar"/>
              </w:rPr>
              <w:t>2+</w:t>
            </w:r>
            <w:r>
              <w:rPr>
                <w:rFonts w:hint="default" w:ascii="Times New Roman" w:hAnsi="Times New Roman" w:cs="Times New Roman"/>
                <w:color w:val="auto"/>
                <w:kern w:val="0"/>
                <w:sz w:val="21"/>
                <w:szCs w:val="21"/>
                <w:highlight w:val="none"/>
                <w:lang w:bidi="ar"/>
              </w:rPr>
              <w:t>、Mg</w:t>
            </w:r>
            <w:r>
              <w:rPr>
                <w:rFonts w:hint="default" w:ascii="Times New Roman" w:hAnsi="Times New Roman" w:cs="Times New Roman"/>
                <w:color w:val="auto"/>
                <w:kern w:val="0"/>
                <w:sz w:val="21"/>
                <w:szCs w:val="21"/>
                <w:highlight w:val="none"/>
                <w:vertAlign w:val="superscript"/>
                <w:lang w:bidi="ar"/>
              </w:rPr>
              <w:t>2+</w:t>
            </w:r>
            <w:r>
              <w:rPr>
                <w:rFonts w:hint="default" w:ascii="Times New Roman" w:hAnsi="Times New Roman" w:cs="Times New Roman"/>
                <w:color w:val="auto"/>
                <w:kern w:val="0"/>
                <w:sz w:val="21"/>
                <w:szCs w:val="21"/>
                <w:highlight w:val="none"/>
                <w:lang w:bidi="ar"/>
              </w:rPr>
              <w:t>、CO</w:t>
            </w:r>
            <w:r>
              <w:rPr>
                <w:rFonts w:hint="default" w:ascii="Times New Roman" w:hAnsi="Times New Roman" w:cs="Times New Roman"/>
                <w:color w:val="auto"/>
                <w:kern w:val="0"/>
                <w:sz w:val="21"/>
                <w:szCs w:val="21"/>
                <w:highlight w:val="none"/>
                <w:vertAlign w:val="subscript"/>
                <w:lang w:bidi="ar"/>
              </w:rPr>
              <w:t>3</w:t>
            </w:r>
            <w:r>
              <w:rPr>
                <w:rFonts w:hint="default" w:ascii="Times New Roman" w:hAnsi="Times New Roman" w:cs="Times New Roman"/>
                <w:color w:val="auto"/>
                <w:kern w:val="0"/>
                <w:sz w:val="21"/>
                <w:szCs w:val="21"/>
                <w:highlight w:val="none"/>
                <w:vertAlign w:val="superscript"/>
                <w:lang w:bidi="ar"/>
              </w:rPr>
              <w:t>2-</w:t>
            </w:r>
            <w:r>
              <w:rPr>
                <w:rFonts w:hint="default" w:ascii="Times New Roman" w:hAnsi="Times New Roman" w:cs="Times New Roman"/>
                <w:color w:val="auto"/>
                <w:kern w:val="0"/>
                <w:sz w:val="21"/>
                <w:szCs w:val="21"/>
                <w:highlight w:val="none"/>
                <w:lang w:bidi="ar"/>
              </w:rPr>
              <w:t>、HCO</w:t>
            </w:r>
            <w:r>
              <w:rPr>
                <w:rFonts w:hint="default" w:ascii="Times New Roman" w:hAnsi="Times New Roman" w:cs="Times New Roman"/>
                <w:color w:val="auto"/>
                <w:kern w:val="0"/>
                <w:sz w:val="21"/>
                <w:szCs w:val="21"/>
                <w:highlight w:val="none"/>
                <w:vertAlign w:val="subscript"/>
                <w:lang w:bidi="ar"/>
              </w:rPr>
              <w:t>3</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、Cl</w:t>
            </w:r>
            <w:r>
              <w:rPr>
                <w:rFonts w:hint="default" w:ascii="Times New Roman" w:hAnsi="Times New Roman" w:cs="Times New Roman"/>
                <w:color w:val="auto"/>
                <w:kern w:val="0"/>
                <w:sz w:val="21"/>
                <w:szCs w:val="21"/>
                <w:highlight w:val="none"/>
                <w:vertAlign w:val="superscript"/>
                <w:lang w:bidi="ar"/>
              </w:rPr>
              <w:t>-</w:t>
            </w:r>
            <w:r>
              <w:rPr>
                <w:rFonts w:hint="default" w:ascii="Times New Roman" w:hAnsi="Times New Roman" w:cs="Times New Roman"/>
                <w:color w:val="auto"/>
                <w:kern w:val="0"/>
                <w:sz w:val="21"/>
                <w:szCs w:val="21"/>
                <w:highlight w:val="none"/>
                <w:lang w:bidi="ar"/>
              </w:rPr>
              <w:t>、SO</w:t>
            </w:r>
            <w:r>
              <w:rPr>
                <w:rFonts w:hint="default" w:ascii="Times New Roman" w:hAnsi="Times New Roman" w:cs="Times New Roman"/>
                <w:color w:val="auto"/>
                <w:kern w:val="0"/>
                <w:sz w:val="21"/>
                <w:szCs w:val="21"/>
                <w:highlight w:val="none"/>
                <w:vertAlign w:val="subscript"/>
                <w:lang w:bidi="ar"/>
              </w:rPr>
              <w:t>4</w:t>
            </w:r>
            <w:r>
              <w:rPr>
                <w:rFonts w:hint="default" w:ascii="Times New Roman" w:hAnsi="Times New Roman" w:cs="Times New Roman"/>
                <w:color w:val="auto"/>
                <w:kern w:val="0"/>
                <w:sz w:val="21"/>
                <w:szCs w:val="21"/>
                <w:highlight w:val="none"/>
                <w:vertAlign w:val="superscript"/>
                <w:lang w:bidi="ar"/>
              </w:rPr>
              <w:t>2-</w:t>
            </w:r>
            <w:r>
              <w:rPr>
                <w:rFonts w:hint="default" w:ascii="Times New Roman" w:hAnsi="Times New Roman" w:cs="Times New Roman"/>
                <w:color w:val="auto"/>
                <w:kern w:val="0"/>
                <w:sz w:val="21"/>
                <w:szCs w:val="21"/>
                <w:highlight w:val="none"/>
                <w:lang w:bidi="ar"/>
              </w:rPr>
              <w:t>、pH、氨氮、硝酸盐、亚硝酸盐、总硬度、溶解性总固体、高锰酸盐指数、总大肠菌群、菌落总数。</w:t>
            </w:r>
          </w:p>
        </w:tc>
        <w:tc>
          <w:tcPr>
            <w:tcW w:w="1303" w:type="dxa"/>
            <w:vAlign w:val="center"/>
          </w:tcPr>
          <w:p w14:paraId="13E85047">
            <w:pPr>
              <w:bidi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1次/</w:t>
            </w:r>
            <w:r>
              <w:rPr>
                <w:rFonts w:hint="eastAsia" w:ascii="Times New Roman" w:hAnsi="Times New Roman" w:eastAsia="宋体" w:cs="Times New Roman"/>
                <w:color w:val="auto"/>
                <w:kern w:val="0"/>
                <w:sz w:val="21"/>
                <w:szCs w:val="21"/>
                <w:lang w:val="en-US" w:eastAsia="zh-CN" w:bidi="ar"/>
              </w:rPr>
              <w:t>年</w:t>
            </w:r>
          </w:p>
        </w:tc>
      </w:tr>
    </w:tbl>
    <w:p w14:paraId="7B6C31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医院环境管理机构应将监测结果整理存档，并按规定编制成表格或报告，报送当地环保主管部门和有关行政主管部门。</w:t>
      </w:r>
    </w:p>
    <w:p w14:paraId="26BC2E36">
      <w:pPr>
        <w:pStyle w:val="6"/>
        <w:bidi w:val="0"/>
        <w:rPr>
          <w:rFonts w:hint="default" w:ascii="Times New Roman" w:hAnsi="Times New Roman" w:eastAsia="宋体" w:cs="Times New Roman"/>
          <w:color w:val="auto"/>
        </w:rPr>
      </w:pPr>
      <w:bookmarkStart w:id="2899" w:name="_Toc14411"/>
      <w:r>
        <w:rPr>
          <w:rFonts w:hint="default" w:ascii="Times New Roman" w:hAnsi="Times New Roman" w:eastAsia="宋体" w:cs="Times New Roman"/>
          <w:color w:val="auto"/>
          <w:lang w:val="en-US" w:eastAsia="zh-CN"/>
        </w:rPr>
        <w:t>10.5 环保管理、监测人员的培训计划</w:t>
      </w:r>
      <w:bookmarkEnd w:id="2899"/>
    </w:p>
    <w:p w14:paraId="426C72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从事环保工作的专职人员，应进行上岗前和日常的专业培训，环境监测人员应在环境监测专业部门，学习环境监测规范和分析技术，使其有一定的环境保护专业知识，要求其了解公司各种产品的生产工艺和产生的废气、噪声等污染的治理技术，掌握废气、噪声的监测规范和分析技能，确保废气、噪声等污染物达标排放和处理设备的正常运转。加强对从事环保工作的专职人员的环境保护法律、法规教育，提高工作责任感，杜绝人为因素造成的环保事故发生。</w:t>
      </w:r>
    </w:p>
    <w:p w14:paraId="181D2B5D">
      <w:pPr>
        <w:pStyle w:val="6"/>
        <w:bidi w:val="0"/>
        <w:rPr>
          <w:rFonts w:hint="default" w:ascii="Times New Roman" w:hAnsi="Times New Roman" w:eastAsia="宋体" w:cs="Times New Roman"/>
          <w:color w:val="auto"/>
          <w:lang w:val="en-US" w:eastAsia="zh-CN"/>
        </w:rPr>
      </w:pPr>
      <w:bookmarkStart w:id="2900" w:name="_Toc21846"/>
      <w:r>
        <w:rPr>
          <w:rFonts w:hint="default" w:ascii="Times New Roman" w:hAnsi="Times New Roman" w:eastAsia="宋体" w:cs="Times New Roman"/>
          <w:color w:val="auto"/>
          <w:lang w:val="en-US" w:eastAsia="zh-CN"/>
        </w:rPr>
        <w:t>10.6项目竣工环境保护验收</w:t>
      </w:r>
      <w:bookmarkEnd w:id="2900"/>
    </w:p>
    <w:p w14:paraId="1F2952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《建设项目环境保护管理条例》（2017.07.16 修订，2017.10.01 起施行）第三章第十七条规定“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结合工程建设环境保护要求，本工程的环境保护竣工验收具体要求见表10.6-1。</w:t>
      </w:r>
    </w:p>
    <w:p w14:paraId="59CFE4BA">
      <w:pPr>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 xml:space="preserve">表10.6-1 </w:t>
      </w:r>
      <w:r>
        <w:rPr>
          <w:rFonts w:hint="default" w:ascii="Times New Roman" w:hAnsi="Times New Roman" w:eastAsia="宋体" w:cs="Times New Roman"/>
          <w:b/>
          <w:bCs/>
          <w:color w:val="auto"/>
          <w:highlight w:val="none"/>
          <w:lang w:val="zh-CN"/>
        </w:rPr>
        <w:t>本项目竣工环境保护验收主要内容一览</w:t>
      </w:r>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149"/>
        <w:gridCol w:w="3177"/>
        <w:gridCol w:w="2130"/>
      </w:tblGrid>
      <w:tr w14:paraId="65EB9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9" w:type="dxa"/>
            <w:gridSpan w:val="2"/>
            <w:shd w:val="clear" w:color="auto" w:fill="D7D7D7" w:themeFill="background1" w:themeFillShade="D8"/>
            <w:vAlign w:val="center"/>
          </w:tcPr>
          <w:p w14:paraId="0F1031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baseline"/>
              <w:outlineLvl w:val="9"/>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2"/>
                <w:sz w:val="21"/>
                <w:szCs w:val="21"/>
                <w:highlight w:val="none"/>
                <w:lang w:eastAsia="zh-CN"/>
              </w:rPr>
              <w:t>验收</w:t>
            </w:r>
            <w:r>
              <w:rPr>
                <w:rFonts w:hint="default" w:ascii="Times New Roman" w:hAnsi="Times New Roman" w:eastAsia="宋体" w:cs="Times New Roman"/>
                <w:b/>
                <w:bCs/>
                <w:color w:val="auto"/>
                <w:kern w:val="2"/>
                <w:sz w:val="21"/>
                <w:szCs w:val="21"/>
                <w:highlight w:val="none"/>
              </w:rPr>
              <w:t>项目</w:t>
            </w:r>
          </w:p>
        </w:tc>
        <w:tc>
          <w:tcPr>
            <w:tcW w:w="3177" w:type="dxa"/>
            <w:shd w:val="clear" w:color="auto" w:fill="D7D7D7" w:themeFill="background1" w:themeFillShade="D8"/>
            <w:vAlign w:val="center"/>
          </w:tcPr>
          <w:p w14:paraId="14850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baseline"/>
              <w:outlineLvl w:val="9"/>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2"/>
                <w:sz w:val="21"/>
                <w:szCs w:val="21"/>
                <w:highlight w:val="none"/>
              </w:rPr>
              <w:t>验收环保措施</w:t>
            </w:r>
          </w:p>
        </w:tc>
        <w:tc>
          <w:tcPr>
            <w:tcW w:w="2130" w:type="dxa"/>
            <w:shd w:val="clear" w:color="auto" w:fill="D7D7D7" w:themeFill="background1" w:themeFillShade="D8"/>
            <w:vAlign w:val="center"/>
          </w:tcPr>
          <w:p w14:paraId="1A688E4A">
            <w:pPr>
              <w:keepNext w:val="0"/>
              <w:keepLines w:val="0"/>
              <w:pageBreakBefore w:val="0"/>
              <w:widowControl w:val="0"/>
              <w:kinsoku/>
              <w:wordWrap/>
              <w:overflowPunct/>
              <w:topLinePunct w:val="0"/>
              <w:autoSpaceDE/>
              <w:autoSpaceDN/>
              <w:bidi w:val="0"/>
              <w:adjustRightInd/>
              <w:snapToGrid/>
              <w:spacing w:line="240" w:lineRule="auto"/>
              <w:ind w:left="-65" w:leftChars="-31" w:right="-92" w:rightChars="-44"/>
              <w:jc w:val="center"/>
              <w:textAlignment w:val="auto"/>
              <w:outlineLvl w:val="9"/>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2"/>
                <w:sz w:val="21"/>
                <w:szCs w:val="21"/>
                <w:highlight w:val="none"/>
              </w:rPr>
              <w:t>验收标准或要求</w:t>
            </w:r>
          </w:p>
        </w:tc>
      </w:tr>
      <w:tr w14:paraId="26116C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60" w:type="dxa"/>
            <w:vMerge w:val="restart"/>
            <w:vAlign w:val="center"/>
          </w:tcPr>
          <w:p w14:paraId="43EB3628">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2"/>
                <w:sz w:val="21"/>
                <w:szCs w:val="21"/>
                <w:highlight w:val="none"/>
                <w:lang w:val="en-US" w:eastAsia="zh-CN"/>
              </w:rPr>
              <w:t>废水</w:t>
            </w:r>
          </w:p>
        </w:tc>
        <w:tc>
          <w:tcPr>
            <w:tcW w:w="2149" w:type="dxa"/>
            <w:vAlign w:val="center"/>
          </w:tcPr>
          <w:p w14:paraId="4B6F198A">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食堂废水</w:t>
            </w:r>
          </w:p>
        </w:tc>
        <w:tc>
          <w:tcPr>
            <w:tcW w:w="3177" w:type="dxa"/>
            <w:vAlign w:val="center"/>
          </w:tcPr>
          <w:p w14:paraId="755F2540">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设置一个</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隔油池</w:t>
            </w:r>
          </w:p>
        </w:tc>
        <w:tc>
          <w:tcPr>
            <w:tcW w:w="2130" w:type="dxa"/>
            <w:vMerge w:val="restart"/>
            <w:vAlign w:val="center"/>
          </w:tcPr>
          <w:p w14:paraId="090EB2C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《医疗机构水污染物排放标准》（GB18466-2005）表2预处理标准</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及</w:t>
            </w:r>
            <w:r>
              <w:rPr>
                <w:rFonts w:hint="default" w:ascii="Times New Roman" w:hAnsi="Times New Roman" w:eastAsia="宋体" w:cs="Times New Roman"/>
                <w:color w:val="auto"/>
                <w:sz w:val="21"/>
                <w:szCs w:val="21"/>
                <w:lang w:val="en-US" w:eastAsia="zh-CN"/>
              </w:rPr>
              <w:t>《污水排入城镇下水道水质标准》（GB/T31962-2015）表（1）标准</w:t>
            </w:r>
          </w:p>
        </w:tc>
      </w:tr>
      <w:tr w14:paraId="0AB48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7561C033">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75A4FC8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感染病区废水</w:t>
            </w:r>
          </w:p>
        </w:tc>
        <w:tc>
          <w:tcPr>
            <w:tcW w:w="3177" w:type="dxa"/>
            <w:vAlign w:val="center"/>
          </w:tcPr>
          <w:p w14:paraId="4333C6BE">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设置一个10m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预消毒池</w:t>
            </w:r>
          </w:p>
        </w:tc>
        <w:tc>
          <w:tcPr>
            <w:tcW w:w="2130" w:type="dxa"/>
            <w:vMerge w:val="continue"/>
            <w:vAlign w:val="center"/>
          </w:tcPr>
          <w:p w14:paraId="23E039A0">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7CD9A1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060" w:type="dxa"/>
            <w:vMerge w:val="continue"/>
            <w:vAlign w:val="center"/>
          </w:tcPr>
          <w:p w14:paraId="4F337BC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424F1B5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门急诊、医务人员及其他废水</w:t>
            </w:r>
          </w:p>
        </w:tc>
        <w:tc>
          <w:tcPr>
            <w:tcW w:w="3177" w:type="dxa"/>
            <w:vAlign w:val="center"/>
          </w:tcPr>
          <w:p w14:paraId="2B653A1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）、地埋式污水处理站（</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，一个规范化排口，明显环保标志</w:t>
            </w:r>
          </w:p>
        </w:tc>
        <w:tc>
          <w:tcPr>
            <w:tcW w:w="2130" w:type="dxa"/>
            <w:vMerge w:val="continue"/>
            <w:vAlign w:val="center"/>
          </w:tcPr>
          <w:p w14:paraId="64BE297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7295D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restart"/>
            <w:vAlign w:val="center"/>
          </w:tcPr>
          <w:p w14:paraId="2398C14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2"/>
                <w:sz w:val="21"/>
                <w:szCs w:val="21"/>
                <w:highlight w:val="none"/>
                <w:lang w:val="en-US" w:eastAsia="zh-CN"/>
              </w:rPr>
              <w:t>废气</w:t>
            </w:r>
          </w:p>
        </w:tc>
        <w:tc>
          <w:tcPr>
            <w:tcW w:w="2149" w:type="dxa"/>
            <w:vAlign w:val="center"/>
          </w:tcPr>
          <w:p w14:paraId="49664FC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食堂油烟</w:t>
            </w:r>
          </w:p>
        </w:tc>
        <w:tc>
          <w:tcPr>
            <w:tcW w:w="3177" w:type="dxa"/>
            <w:vAlign w:val="center"/>
          </w:tcPr>
          <w:p w14:paraId="3BB49D69">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油烟净化器（75%净化效率）处理后由后勤综合楼升顶排放</w:t>
            </w:r>
          </w:p>
        </w:tc>
        <w:tc>
          <w:tcPr>
            <w:tcW w:w="2130" w:type="dxa"/>
            <w:vAlign w:val="center"/>
          </w:tcPr>
          <w:p w14:paraId="53C8CE5F">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《饮食业油烟排放标准（试行）》（GB18483-2001）</w:t>
            </w:r>
          </w:p>
        </w:tc>
      </w:tr>
      <w:tr w14:paraId="36CE3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488F0CA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1128450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医废暂存间异味</w:t>
            </w:r>
          </w:p>
        </w:tc>
        <w:tc>
          <w:tcPr>
            <w:tcW w:w="3177" w:type="dxa"/>
            <w:vAlign w:val="center"/>
          </w:tcPr>
          <w:p w14:paraId="6E05BAF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专用容器及防漏胶袋密封、加强管理、定期消毒</w:t>
            </w:r>
          </w:p>
        </w:tc>
        <w:tc>
          <w:tcPr>
            <w:tcW w:w="2130" w:type="dxa"/>
            <w:vAlign w:val="center"/>
          </w:tcPr>
          <w:p w14:paraId="0D859F39">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w:t>
            </w:r>
          </w:p>
        </w:tc>
      </w:tr>
      <w:tr w14:paraId="3DD0D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00980559">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60A4A4A8">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备用柴油发电机废气</w:t>
            </w:r>
          </w:p>
        </w:tc>
        <w:tc>
          <w:tcPr>
            <w:tcW w:w="3177" w:type="dxa"/>
            <w:vAlign w:val="center"/>
          </w:tcPr>
          <w:p w14:paraId="18781D2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自带消烟除尘系统处理后排放</w:t>
            </w:r>
          </w:p>
        </w:tc>
        <w:tc>
          <w:tcPr>
            <w:tcW w:w="2130" w:type="dxa"/>
            <w:vAlign w:val="center"/>
          </w:tcPr>
          <w:p w14:paraId="28B8F7EB">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w:t>
            </w:r>
          </w:p>
        </w:tc>
      </w:tr>
      <w:tr w14:paraId="442C3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011EB893">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710DB14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color w:val="auto"/>
                <w:sz w:val="21"/>
                <w:szCs w:val="21"/>
                <w:lang w:val="en-US" w:eastAsia="zh-CN"/>
              </w:rPr>
              <w:t>熬制中药异味</w:t>
            </w:r>
          </w:p>
        </w:tc>
        <w:tc>
          <w:tcPr>
            <w:tcW w:w="3177" w:type="dxa"/>
            <w:vAlign w:val="center"/>
          </w:tcPr>
          <w:p w14:paraId="16486B8F">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机械通风、加强换气</w:t>
            </w:r>
          </w:p>
        </w:tc>
        <w:tc>
          <w:tcPr>
            <w:tcW w:w="2130" w:type="dxa"/>
            <w:vAlign w:val="center"/>
          </w:tcPr>
          <w:p w14:paraId="0F2988F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w:t>
            </w:r>
          </w:p>
        </w:tc>
      </w:tr>
      <w:tr w14:paraId="6E36F8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3F6BA5E5">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718B1C2A">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污水处理站废气</w:t>
            </w:r>
          </w:p>
        </w:tc>
        <w:tc>
          <w:tcPr>
            <w:tcW w:w="3177" w:type="dxa"/>
            <w:vAlign w:val="center"/>
          </w:tcPr>
          <w:p w14:paraId="35076ED0">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紫外消毒+活性炭吸附+25m排气筒排放</w:t>
            </w:r>
          </w:p>
        </w:tc>
        <w:tc>
          <w:tcPr>
            <w:tcW w:w="2130" w:type="dxa"/>
            <w:vAlign w:val="center"/>
          </w:tcPr>
          <w:p w14:paraId="3B71B8D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lang w:val="en-US" w:eastAsia="zh-CN"/>
              </w:rPr>
              <w:t>《恶臭污染物排放标准》（GB14554-93）</w:t>
            </w:r>
          </w:p>
        </w:tc>
      </w:tr>
      <w:tr w14:paraId="48C68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Align w:val="center"/>
          </w:tcPr>
          <w:p w14:paraId="30B5CFE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噪声</w:t>
            </w:r>
          </w:p>
        </w:tc>
        <w:tc>
          <w:tcPr>
            <w:tcW w:w="2149" w:type="dxa"/>
            <w:vAlign w:val="center"/>
          </w:tcPr>
          <w:p w14:paraId="7AF5E496">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设备噪声、人流噪声</w:t>
            </w:r>
          </w:p>
        </w:tc>
        <w:tc>
          <w:tcPr>
            <w:tcW w:w="3177" w:type="dxa"/>
            <w:vAlign w:val="center"/>
          </w:tcPr>
          <w:p w14:paraId="4047C08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选用低噪声设备、合理布局、基础减振、绿化、禁止大声喧哗及禁止鸣笛警示牌</w:t>
            </w:r>
          </w:p>
        </w:tc>
        <w:tc>
          <w:tcPr>
            <w:tcW w:w="2130" w:type="dxa"/>
            <w:vAlign w:val="center"/>
          </w:tcPr>
          <w:p w14:paraId="3522BF5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rPr>
              <w:t>《工业企业厂界环境噪声排放标准》（GB12348-2008）中</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类标准值</w:t>
            </w:r>
          </w:p>
        </w:tc>
      </w:tr>
      <w:tr w14:paraId="638739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restart"/>
            <w:vAlign w:val="center"/>
          </w:tcPr>
          <w:p w14:paraId="2FCB62E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固废</w:t>
            </w:r>
          </w:p>
        </w:tc>
        <w:tc>
          <w:tcPr>
            <w:tcW w:w="2149" w:type="dxa"/>
            <w:vAlign w:val="center"/>
          </w:tcPr>
          <w:p w14:paraId="444E256D">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生活垃圾</w:t>
            </w:r>
          </w:p>
        </w:tc>
        <w:tc>
          <w:tcPr>
            <w:tcW w:w="3177" w:type="dxa"/>
            <w:vAlign w:val="center"/>
          </w:tcPr>
          <w:p w14:paraId="5AF25BC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采购密闭式可移动垃圾收集桶，收集后交环卫部门处置。</w:t>
            </w:r>
          </w:p>
        </w:tc>
        <w:tc>
          <w:tcPr>
            <w:tcW w:w="2130" w:type="dxa"/>
            <w:vMerge w:val="restart"/>
            <w:vAlign w:val="center"/>
          </w:tcPr>
          <w:p w14:paraId="26821AF5">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2"/>
                <w:sz w:val="21"/>
                <w:szCs w:val="21"/>
                <w:highlight w:val="none"/>
                <w:lang w:eastAsia="zh-CN"/>
              </w:rPr>
              <w:t>按要求落实</w:t>
            </w:r>
          </w:p>
        </w:tc>
      </w:tr>
      <w:tr w14:paraId="6DBFED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73D95643">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14CD116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餐厨垃圾</w:t>
            </w:r>
          </w:p>
        </w:tc>
        <w:tc>
          <w:tcPr>
            <w:tcW w:w="3177" w:type="dxa"/>
            <w:vAlign w:val="center"/>
          </w:tcPr>
          <w:p w14:paraId="687569B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交由有资质单位进行收运、处置</w:t>
            </w:r>
          </w:p>
        </w:tc>
        <w:tc>
          <w:tcPr>
            <w:tcW w:w="2130" w:type="dxa"/>
            <w:vMerge w:val="continue"/>
            <w:vAlign w:val="center"/>
          </w:tcPr>
          <w:p w14:paraId="243C93F7">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75D856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6E64BB2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64DFE90B">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废弃离子交换树脂</w:t>
            </w:r>
          </w:p>
        </w:tc>
        <w:tc>
          <w:tcPr>
            <w:tcW w:w="3177" w:type="dxa"/>
            <w:vAlign w:val="center"/>
          </w:tcPr>
          <w:p w14:paraId="61688E5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Cs/>
                <w:color w:val="auto"/>
                <w:sz w:val="21"/>
                <w:szCs w:val="21"/>
                <w:highlight w:val="none"/>
                <w:lang w:eastAsia="zh-CN"/>
              </w:rPr>
              <w:t>交由厂家进行回收</w:t>
            </w:r>
            <w:r>
              <w:rPr>
                <w:rFonts w:hint="default" w:ascii="Times New Roman" w:hAnsi="Times New Roman" w:eastAsia="宋体" w:cs="Times New Roman"/>
                <w:bCs/>
                <w:color w:val="auto"/>
                <w:sz w:val="21"/>
                <w:szCs w:val="21"/>
                <w:highlight w:val="none"/>
                <w:lang w:val="en-US" w:eastAsia="zh-CN"/>
              </w:rPr>
              <w:t>或环卫部门处理</w:t>
            </w:r>
          </w:p>
        </w:tc>
        <w:tc>
          <w:tcPr>
            <w:tcW w:w="2130" w:type="dxa"/>
            <w:vMerge w:val="continue"/>
            <w:vAlign w:val="center"/>
          </w:tcPr>
          <w:p w14:paraId="077A6CA0">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3F7AA1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76B926C6">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1116FAD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医疗废物</w:t>
            </w:r>
          </w:p>
        </w:tc>
        <w:tc>
          <w:tcPr>
            <w:tcW w:w="3177" w:type="dxa"/>
            <w:vAlign w:val="center"/>
          </w:tcPr>
          <w:p w14:paraId="46AE0AEF">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暂存医废暂存间，</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c>
          <w:tcPr>
            <w:tcW w:w="2130" w:type="dxa"/>
            <w:vMerge w:val="continue"/>
            <w:vAlign w:val="center"/>
          </w:tcPr>
          <w:p w14:paraId="0BCC18E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733B1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623CD5A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5ED49156">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污泥</w:t>
            </w:r>
          </w:p>
        </w:tc>
        <w:tc>
          <w:tcPr>
            <w:tcW w:w="3177" w:type="dxa"/>
            <w:vMerge w:val="restart"/>
            <w:vAlign w:val="center"/>
          </w:tcPr>
          <w:p w14:paraId="39FFEE97">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暂存危废暂存间，</w:t>
            </w: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交由有资质单位处置</w:t>
            </w:r>
          </w:p>
        </w:tc>
        <w:tc>
          <w:tcPr>
            <w:tcW w:w="2130" w:type="dxa"/>
            <w:vMerge w:val="continue"/>
            <w:vAlign w:val="center"/>
          </w:tcPr>
          <w:p w14:paraId="7FBEF5DB">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5A535D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54562F1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5B6651EA">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i w:val="0"/>
                <w:iCs w:val="0"/>
                <w:caps w:val="0"/>
                <w:color w:val="auto"/>
                <w:spacing w:val="0"/>
                <w:kern w:val="0"/>
                <w:sz w:val="21"/>
                <w:szCs w:val="21"/>
                <w:shd w:val="clear" w:fill="FFFFFF"/>
                <w:lang w:val="en-US" w:eastAsia="zh-CN" w:bidi="ar"/>
              </w:rPr>
              <w:t>废活性炭</w:t>
            </w:r>
          </w:p>
        </w:tc>
        <w:tc>
          <w:tcPr>
            <w:tcW w:w="3177" w:type="dxa"/>
            <w:vMerge w:val="continue"/>
            <w:vAlign w:val="center"/>
          </w:tcPr>
          <w:p w14:paraId="225AC30E">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30" w:type="dxa"/>
            <w:vMerge w:val="continue"/>
            <w:vAlign w:val="center"/>
          </w:tcPr>
          <w:p w14:paraId="1C5C8D5F">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3EC947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55200840">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6C874F73">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lang w:val="en-US" w:eastAsia="zh-CN" w:bidi="ar"/>
              </w:rPr>
              <w:t>废弃紫外线灯管</w:t>
            </w:r>
          </w:p>
        </w:tc>
        <w:tc>
          <w:tcPr>
            <w:tcW w:w="3177" w:type="dxa"/>
            <w:vMerge w:val="continue"/>
            <w:vAlign w:val="center"/>
          </w:tcPr>
          <w:p w14:paraId="530078F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30" w:type="dxa"/>
            <w:vMerge w:val="continue"/>
            <w:vAlign w:val="center"/>
          </w:tcPr>
          <w:p w14:paraId="3543BB61">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7BCC2F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08FD4561">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49" w:type="dxa"/>
            <w:vAlign w:val="center"/>
          </w:tcPr>
          <w:p w14:paraId="4936D6A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sz w:val="21"/>
                <w:szCs w:val="21"/>
                <w:highlight w:val="none"/>
                <w:lang w:val="en-US" w:eastAsia="zh-CN"/>
              </w:rPr>
              <w:t>排风系</w:t>
            </w:r>
            <w:r>
              <w:rPr>
                <w:rFonts w:hint="default" w:ascii="Times New Roman" w:hAnsi="Times New Roman" w:eastAsia="宋体" w:cs="Times New Roman"/>
                <w:color w:val="auto"/>
                <w:sz w:val="21"/>
                <w:szCs w:val="21"/>
                <w:highlight w:val="none"/>
                <w:lang w:val="en-US" w:eastAsia="zh-CN"/>
              </w:rPr>
              <w:t>统更换的滤芯</w:t>
            </w:r>
          </w:p>
        </w:tc>
        <w:tc>
          <w:tcPr>
            <w:tcW w:w="3177" w:type="dxa"/>
            <w:vMerge w:val="continue"/>
            <w:vAlign w:val="center"/>
          </w:tcPr>
          <w:p w14:paraId="222E30A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2130" w:type="dxa"/>
            <w:vMerge w:val="continue"/>
            <w:vAlign w:val="center"/>
          </w:tcPr>
          <w:p w14:paraId="0C0E4622">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r w14:paraId="43A88E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9" w:type="dxa"/>
            <w:gridSpan w:val="2"/>
            <w:vAlign w:val="center"/>
          </w:tcPr>
          <w:p w14:paraId="52748AB5">
            <w:pPr>
              <w:pStyle w:val="19"/>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地下水、土壤防治</w:t>
            </w:r>
          </w:p>
        </w:tc>
        <w:tc>
          <w:tcPr>
            <w:tcW w:w="3177" w:type="dxa"/>
            <w:vAlign w:val="center"/>
          </w:tcPr>
          <w:p w14:paraId="4F3418BF">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i w:val="0"/>
                <w:iCs w:val="0"/>
                <w:caps w:val="0"/>
                <w:color w:val="auto"/>
                <w:spacing w:val="0"/>
                <w:kern w:val="0"/>
                <w:sz w:val="21"/>
                <w:szCs w:val="21"/>
                <w:shd w:val="clear" w:fill="FFFFFF"/>
                <w:vertAlign w:val="baseline"/>
                <w:lang w:val="en-US" w:eastAsia="zh-CN" w:bidi="ar"/>
              </w:rPr>
              <w:t>分区防渗措施，污水处理站、污水预处理池、医废暂存间、危废暂存间等地面重点防渗，确保</w:t>
            </w:r>
            <w:r>
              <w:rPr>
                <w:rFonts w:hint="default" w:ascii="Times New Roman" w:hAnsi="Times New Roman" w:eastAsia="宋体" w:cs="Times New Roman"/>
                <w:color w:val="auto"/>
                <w:kern w:val="0"/>
                <w:sz w:val="21"/>
                <w:szCs w:val="21"/>
                <w:lang w:val="en-US" w:eastAsia="zh-CN" w:bidi="ar"/>
              </w:rPr>
              <w:t>等效粘土防渗层Mb≥6m，K≤1×10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cm/s；或参照GB18598执行。门诊楼、急诊楼、住院楼、医技楼、发电机房、液氧站等一般防渗，确保等效粘土防渗层Mb≥1.5m，K≤1×10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Times New Roman" w:hAnsi="Times New Roman" w:eastAsia="宋体" w:cs="Times New Roman"/>
                <w:color w:val="auto"/>
                <w:kern w:val="0"/>
                <w:sz w:val="21"/>
                <w:szCs w:val="21"/>
                <w:lang w:val="en-US" w:eastAsia="zh-CN" w:bidi="ar"/>
              </w:rPr>
              <w:t>；或参照</w:t>
            </w:r>
            <w:r>
              <w:rPr>
                <w:rFonts w:hint="default" w:ascii="Times New Roman" w:hAnsi="Times New Roman" w:eastAsia="宋体" w:cs="Times New Roman"/>
                <w:color w:val="auto"/>
                <w:kern w:val="0"/>
                <w:sz w:val="21"/>
                <w:szCs w:val="21"/>
                <w:lang w:val="en-US" w:eastAsia="zh-CN" w:bidi="ar"/>
              </w:rPr>
              <w:t>GB1859 执行。</w:t>
            </w:r>
          </w:p>
        </w:tc>
        <w:tc>
          <w:tcPr>
            <w:tcW w:w="2130" w:type="dxa"/>
            <w:vAlign w:val="center"/>
          </w:tcPr>
          <w:p w14:paraId="317A2F46">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2"/>
                <w:sz w:val="21"/>
                <w:szCs w:val="21"/>
                <w:highlight w:val="none"/>
                <w:lang w:eastAsia="zh-CN"/>
              </w:rPr>
              <w:t>按要求落实</w:t>
            </w:r>
          </w:p>
        </w:tc>
      </w:tr>
      <w:tr w14:paraId="79CB9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restart"/>
            <w:vAlign w:val="center"/>
          </w:tcPr>
          <w:p w14:paraId="03A5FB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eastAsia="zh-CN"/>
              </w:rPr>
              <w:t>环境风险</w:t>
            </w:r>
          </w:p>
        </w:tc>
        <w:tc>
          <w:tcPr>
            <w:tcW w:w="2149" w:type="dxa"/>
            <w:vAlign w:val="center"/>
          </w:tcPr>
          <w:p w14:paraId="5174FA94">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风险防范</w:t>
            </w:r>
          </w:p>
        </w:tc>
        <w:tc>
          <w:tcPr>
            <w:tcW w:w="3177" w:type="dxa"/>
            <w:vAlign w:val="center"/>
          </w:tcPr>
          <w:p w14:paraId="15290B5B">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Cs/>
                <w:color w:val="auto"/>
                <w:sz w:val="21"/>
                <w:szCs w:val="21"/>
                <w:highlight w:val="none"/>
                <w:vertAlign w:val="baseline"/>
                <w:lang w:val="en-US" w:eastAsia="zh-CN"/>
              </w:rPr>
              <w:t>污水处理设施、应急事故池、消防水池、医废暂存间和危废暂存间作重点防渗；设置1座</w:t>
            </w:r>
            <w:r>
              <w:rPr>
                <w:rFonts w:hint="eastAsia" w:ascii="Times New Roman" w:hAnsi="Times New Roman" w:eastAsia="宋体" w:cs="Times New Roman"/>
                <w:bCs/>
                <w:color w:val="auto"/>
                <w:sz w:val="21"/>
                <w:szCs w:val="21"/>
                <w:highlight w:val="none"/>
                <w:vertAlign w:val="baseline"/>
                <w:lang w:val="en-US" w:eastAsia="zh-CN"/>
              </w:rPr>
              <w:t>24</w:t>
            </w:r>
            <w:r>
              <w:rPr>
                <w:rFonts w:hint="default" w:ascii="Times New Roman" w:hAnsi="Times New Roman" w:eastAsia="宋体" w:cs="Times New Roman"/>
                <w:bCs/>
                <w:color w:val="auto"/>
                <w:sz w:val="21"/>
                <w:szCs w:val="21"/>
                <w:highlight w:val="none"/>
                <w:vertAlign w:val="baseline"/>
                <w:lang w:val="en-US" w:eastAsia="zh-CN"/>
              </w:rPr>
              <w:t>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应急事故池；配备灭火器等消防设施，设置消防水池</w:t>
            </w:r>
            <w:r>
              <w:rPr>
                <w:rFonts w:hint="eastAsia" w:ascii="Times New Roman" w:hAnsi="Times New Roman" w:eastAsia="宋体" w:cs="Times New Roman"/>
                <w:bCs/>
                <w:color w:val="auto"/>
                <w:sz w:val="21"/>
                <w:szCs w:val="21"/>
                <w:highlight w:val="none"/>
                <w:vertAlign w:val="baseline"/>
                <w:lang w:val="en-US" w:eastAsia="zh-CN"/>
              </w:rPr>
              <w:t>1550</w:t>
            </w:r>
            <w:r>
              <w:rPr>
                <w:rFonts w:hint="default" w:ascii="Times New Roman" w:hAnsi="Times New Roman" w:eastAsia="宋体" w:cs="Times New Roman"/>
                <w:bCs/>
                <w:color w:val="auto"/>
                <w:sz w:val="21"/>
                <w:szCs w:val="21"/>
                <w:highlight w:val="none"/>
                <w:vertAlign w:val="baseli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w:t>
            </w:r>
          </w:p>
        </w:tc>
        <w:tc>
          <w:tcPr>
            <w:tcW w:w="2130" w:type="dxa"/>
            <w:vMerge w:val="restart"/>
            <w:vAlign w:val="center"/>
          </w:tcPr>
          <w:p w14:paraId="620F59B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2"/>
                <w:sz w:val="21"/>
                <w:szCs w:val="21"/>
                <w:highlight w:val="none"/>
                <w:lang w:eastAsia="zh-CN"/>
              </w:rPr>
              <w:t>按要求落实</w:t>
            </w:r>
          </w:p>
        </w:tc>
      </w:tr>
      <w:tr w14:paraId="77EC8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0" w:type="dxa"/>
            <w:vMerge w:val="continue"/>
            <w:vAlign w:val="center"/>
          </w:tcPr>
          <w:p w14:paraId="11E42D7E">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c>
          <w:tcPr>
            <w:tcW w:w="5326" w:type="dxa"/>
            <w:gridSpan w:val="2"/>
            <w:vAlign w:val="center"/>
          </w:tcPr>
          <w:p w14:paraId="36B257AC">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设置有健全的环境管理机构，制定完善环境风险管理制度。</w:t>
            </w:r>
          </w:p>
        </w:tc>
        <w:tc>
          <w:tcPr>
            <w:tcW w:w="2130" w:type="dxa"/>
            <w:vMerge w:val="continue"/>
            <w:vAlign w:val="center"/>
          </w:tcPr>
          <w:p w14:paraId="48A0CE9D">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vertAlign w:val="baseline"/>
                <w:lang w:val="en-US" w:eastAsia="zh-CN" w:bidi="ar"/>
              </w:rPr>
            </w:pPr>
          </w:p>
        </w:tc>
      </w:tr>
    </w:tbl>
    <w:p w14:paraId="79D8967A">
      <w:pPr>
        <w:pStyle w:val="6"/>
        <w:bidi w:val="0"/>
        <w:rPr>
          <w:rFonts w:hint="default" w:ascii="Times New Roman" w:hAnsi="Times New Roman" w:eastAsia="宋体" w:cs="Times New Roman"/>
          <w:color w:val="auto"/>
          <w:lang w:val="en-US" w:eastAsia="zh-CN"/>
        </w:rPr>
      </w:pPr>
      <w:bookmarkStart w:id="2901" w:name="_Toc25759"/>
      <w:r>
        <w:rPr>
          <w:rFonts w:hint="default" w:ascii="Times New Roman" w:hAnsi="Times New Roman" w:eastAsia="宋体" w:cs="Times New Roman"/>
          <w:color w:val="auto"/>
          <w:lang w:val="en-US" w:eastAsia="zh-CN"/>
        </w:rPr>
        <w:t>10.7总量控制</w:t>
      </w:r>
      <w:bookmarkEnd w:id="2901"/>
    </w:p>
    <w:p w14:paraId="0A4CB1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902" w:name="_Toc18497"/>
      <w:bookmarkStart w:id="2903" w:name="_Toc32268"/>
      <w:bookmarkStart w:id="2904" w:name="_Toc27772"/>
      <w:bookmarkStart w:id="2905" w:name="_Toc27834"/>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（1）废气</w:t>
      </w:r>
      <w:bookmarkEnd w:id="2902"/>
      <w:bookmarkEnd w:id="2903"/>
      <w:bookmarkEnd w:id="2904"/>
      <w:bookmarkEnd w:id="2905"/>
    </w:p>
    <w:p w14:paraId="556125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sz w:val="24"/>
          <w:szCs w:val="24"/>
          <w:highlight w:val="none"/>
          <w:lang w:eastAsia="zh-CN"/>
        </w:rPr>
        <w:t>根据环评有关规范、环保管理部门要求</w:t>
      </w:r>
      <w:r>
        <w:rPr>
          <w:rFonts w:hint="default" w:ascii="Times New Roman" w:hAnsi="Times New Roman" w:eastAsia="宋体" w:cs="Times New Roman"/>
          <w:color w:val="auto"/>
          <w:sz w:val="24"/>
          <w:szCs w:val="24"/>
          <w:highlight w:val="none"/>
        </w:rPr>
        <w:t>，结合工程分析，</w:t>
      </w:r>
      <w:r>
        <w:rPr>
          <w:rFonts w:hint="default" w:ascii="Times New Roman" w:hAnsi="Times New Roman" w:eastAsia="宋体" w:cs="Times New Roman"/>
          <w:color w:val="auto"/>
          <w:sz w:val="24"/>
          <w:szCs w:val="24"/>
          <w:highlight w:val="none"/>
          <w:lang w:eastAsia="zh-CN"/>
        </w:rPr>
        <w:t>本项目实施后</w:t>
      </w:r>
      <w:r>
        <w:rPr>
          <w:rFonts w:hint="default" w:ascii="Times New Roman" w:hAnsi="Times New Roman" w:eastAsia="宋体" w:cs="Times New Roman"/>
          <w:color w:val="auto"/>
          <w:sz w:val="24"/>
          <w:szCs w:val="24"/>
          <w:highlight w:val="none"/>
          <w:lang w:val="en-US" w:eastAsia="zh-CN"/>
        </w:rPr>
        <w:t>无需纳入总量控制指标的污染物，故本项目不设置废气总量控制指标</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w:t>
      </w:r>
    </w:p>
    <w:p w14:paraId="5C6690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906" w:name="_Toc16450"/>
      <w:bookmarkStart w:id="2907" w:name="_Toc14069"/>
      <w:bookmarkStart w:id="2908" w:name="_Toc20500"/>
      <w:bookmarkStart w:id="2909" w:name="_Toc4427"/>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（2）废水</w:t>
      </w:r>
      <w:bookmarkEnd w:id="2906"/>
      <w:bookmarkEnd w:id="2907"/>
      <w:bookmarkEnd w:id="2908"/>
      <w:bookmarkEnd w:id="2909"/>
    </w:p>
    <w:p w14:paraId="588C11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感染楼及发热楼门诊及住院废水经消毒预处理后进入化粪池处理后进入院内污水处理站；非感染门急诊、住院废水及医务人员废水经化粪池处理后进入院内污水处理站；食堂废水经隔油池处理后排入院内污水处理站处理；</w:t>
      </w:r>
      <w:r>
        <w:rPr>
          <w:rFonts w:hint="default" w:ascii="Times New Roman" w:hAnsi="Times New Roman" w:eastAsia="宋体" w:cs="Times New Roman"/>
          <w:color w:val="auto"/>
          <w:sz w:val="24"/>
          <w:szCs w:val="24"/>
          <w:lang w:val="en-US" w:eastAsia="zh-CN"/>
        </w:rPr>
        <w:t>项目污水处理规模</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vertAlign w:val="baseline"/>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污水经院内污水处理站处理达《医疗机构水污染物排放标准》（GB18466-2015）预处理标准及《污水排入城镇下水道水质标准》（GB/T31962-2015）表（1）标准后排入西南侧市政管网，排入大英县城市生活污水处理厂出水达到《四川省岷江、沱江流域水污染物排放标准》（DB51/2311-2016）中“城镇污水处理厂”标准，其中TP、粪大肠菌群数、石油类等指标达《地表水环境质量标准》（GB3838-2002）III类相关要求</w:t>
      </w:r>
      <w:r>
        <w:rPr>
          <w:rFonts w:hint="default" w:ascii="Times New Roman" w:hAnsi="Times New Roman" w:eastAsia="宋体" w:cs="Times New Roman"/>
          <w:color w:val="auto"/>
          <w:sz w:val="24"/>
          <w:szCs w:val="24"/>
          <w:lang w:val="en-US" w:eastAsia="zh-CN"/>
        </w:rPr>
        <w:t>后排入郪江。</w:t>
      </w:r>
    </w:p>
    <w:p w14:paraId="09D2BF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项目总排口污染物排放量：</w:t>
      </w:r>
    </w:p>
    <w:p w14:paraId="02C2FF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COD：</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250</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365</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eastAsia="zh-CN"/>
        </w:rPr>
        <w:t>-6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lang w:eastAsia="zh-CN"/>
        </w:rPr>
        <w:t>t/a</w:t>
      </w:r>
    </w:p>
    <w:p w14:paraId="77DF69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氨氮：</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365</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eastAsia="zh-CN"/>
        </w:rPr>
        <w:t>-6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lang w:eastAsia="zh-CN"/>
        </w:rPr>
        <w:t>t/a</w:t>
      </w:r>
    </w:p>
    <w:p w14:paraId="415AE8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总磷：800</w:t>
      </w:r>
      <w:r>
        <w:rPr>
          <w:rFonts w:hint="default" w:ascii="Times New Roman" w:hAnsi="Times New Roman" w:cs="Times New Roman"/>
          <w:sz w:val="24"/>
          <w:szCs w:val="24"/>
          <w:lang w:eastAsia="zh-CN"/>
        </w:rPr>
        <w:t>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d</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mg/L×</w:t>
      </w:r>
      <w:r>
        <w:rPr>
          <w:rFonts w:hint="default" w:ascii="Times New Roman" w:hAnsi="Times New Roman" w:cs="Times New Roman"/>
          <w:sz w:val="24"/>
          <w:szCs w:val="24"/>
          <w:lang w:val="en-US" w:eastAsia="zh-CN"/>
        </w:rPr>
        <w:t>365</w:t>
      </w:r>
      <w:r>
        <w:rPr>
          <w:rFonts w:hint="default" w:ascii="Times New Roman" w:hAnsi="Times New Roman" w:cs="Times New Roman"/>
          <w:sz w:val="24"/>
          <w:szCs w:val="24"/>
          <w:lang w:eastAsia="zh-CN"/>
        </w:rPr>
        <w:t>×10-6=</w:t>
      </w:r>
      <w:r>
        <w:rPr>
          <w:rFonts w:hint="default" w:ascii="Times New Roman" w:hAnsi="Times New Roman" w:cs="Times New Roman"/>
          <w:sz w:val="24"/>
          <w:szCs w:val="24"/>
          <w:lang w:val="en-US" w:eastAsia="zh-CN"/>
        </w:rPr>
        <w:t>1.17</w:t>
      </w:r>
      <w:r>
        <w:rPr>
          <w:rFonts w:hint="default" w:ascii="Times New Roman" w:hAnsi="Times New Roman" w:cs="Times New Roman"/>
          <w:sz w:val="24"/>
          <w:szCs w:val="24"/>
          <w:lang w:eastAsia="zh-CN"/>
        </w:rPr>
        <w:t>t/a</w:t>
      </w:r>
    </w:p>
    <w:p w14:paraId="31F74D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大英县城市生活污水处理厂</w:t>
      </w:r>
      <w:r>
        <w:rPr>
          <w:rFonts w:hint="default" w:ascii="Times New Roman" w:hAnsi="Times New Roman" w:eastAsia="宋体" w:cs="Times New Roman"/>
          <w:color w:val="auto"/>
          <w:sz w:val="24"/>
          <w:szCs w:val="24"/>
          <w:lang w:eastAsia="zh-CN"/>
        </w:rPr>
        <w:t>污染物排放量：</w:t>
      </w:r>
    </w:p>
    <w:p w14:paraId="6ADA6B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lang w:val="en-US" w:eastAsia="zh-CN"/>
        </w:rPr>
        <w:t>30000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365</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328.5</w:t>
      </w:r>
      <w:r>
        <w:rPr>
          <w:rFonts w:hint="default" w:ascii="Times New Roman" w:hAnsi="Times New Roman" w:eastAsia="宋体" w:cs="Times New Roman"/>
          <w:color w:val="auto"/>
          <w:sz w:val="24"/>
          <w:szCs w:val="24"/>
          <w:lang w:eastAsia="zh-CN"/>
        </w:rPr>
        <w:t>t/a</w:t>
      </w:r>
    </w:p>
    <w:p w14:paraId="45C2F6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氨氮：</w:t>
      </w:r>
      <w:r>
        <w:rPr>
          <w:rFonts w:hint="default" w:ascii="Times New Roman" w:hAnsi="Times New Roman" w:eastAsia="宋体" w:cs="Times New Roman"/>
          <w:color w:val="auto"/>
          <w:sz w:val="24"/>
          <w:szCs w:val="24"/>
          <w:lang w:val="en-US" w:eastAsia="zh-CN"/>
        </w:rPr>
        <w:t>30000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365</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16.43</w:t>
      </w:r>
      <w:r>
        <w:rPr>
          <w:rFonts w:hint="default" w:ascii="Times New Roman" w:hAnsi="Times New Roman" w:eastAsia="宋体" w:cs="Times New Roman"/>
          <w:color w:val="auto"/>
          <w:sz w:val="24"/>
          <w:szCs w:val="24"/>
          <w:lang w:eastAsia="zh-CN"/>
        </w:rPr>
        <w:t>t/a</w:t>
      </w:r>
    </w:p>
    <w:p w14:paraId="4023EE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总磷：</w:t>
      </w:r>
      <w:r>
        <w:rPr>
          <w:rFonts w:hint="default" w:ascii="Times New Roman" w:hAnsi="Times New Roman" w:eastAsia="宋体" w:cs="Times New Roman"/>
          <w:color w:val="auto"/>
          <w:sz w:val="24"/>
          <w:szCs w:val="24"/>
          <w:lang w:val="en-US" w:eastAsia="zh-CN"/>
        </w:rPr>
        <w:t>30000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365</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vertAlign w:val="superscript"/>
          <w:lang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lang w:eastAsia="zh-CN"/>
        </w:rPr>
        <w:t>t/a</w:t>
      </w:r>
    </w:p>
    <w:p w14:paraId="7C464E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因废水最终进入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大英县城市生活污水处理厂</w:t>
      </w:r>
      <w:r>
        <w:rPr>
          <w:rFonts w:hint="default" w:ascii="Times New Roman" w:hAnsi="Times New Roman" w:eastAsia="宋体" w:cs="Times New Roman"/>
          <w:color w:val="auto"/>
          <w:sz w:val="24"/>
          <w:szCs w:val="24"/>
          <w:lang w:eastAsia="zh-CN"/>
        </w:rPr>
        <w:t>处理，项目水污染物总量控制指标计入</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大英县城市生活污水处理厂</w:t>
      </w:r>
      <w:r>
        <w:rPr>
          <w:rFonts w:hint="default" w:ascii="Times New Roman" w:hAnsi="Times New Roman" w:eastAsia="宋体" w:cs="Times New Roman"/>
          <w:color w:val="auto"/>
          <w:sz w:val="24"/>
          <w:szCs w:val="24"/>
          <w:lang w:eastAsia="zh-CN"/>
        </w:rPr>
        <w:t>的总量控制指标内，故本项目不单独设置水污染物总量控制指标。</w:t>
      </w:r>
    </w:p>
    <w:p w14:paraId="2902A6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bookmarkStart w:id="2910" w:name="_Toc28783"/>
      <w:bookmarkStart w:id="2911" w:name="_Toc9694"/>
      <w:bookmarkStart w:id="2912" w:name="_Toc10884"/>
      <w:bookmarkStart w:id="2913" w:name="_Toc25423"/>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（3）固体废物</w:t>
      </w:r>
      <w:bookmarkEnd w:id="2910"/>
      <w:bookmarkEnd w:id="2911"/>
      <w:bookmarkEnd w:id="2912"/>
      <w:bookmarkEnd w:id="2913"/>
    </w:p>
    <w:p w14:paraId="07B0AD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固体废物及危险废物全部妥善处置，处置率达100％。</w:t>
      </w:r>
    </w:p>
    <w:p w14:paraId="10B8EE16">
      <w:pPr>
        <w:pStyle w:val="6"/>
        <w:bidi w:val="0"/>
        <w:rPr>
          <w:rFonts w:hint="default" w:ascii="Times New Roman" w:hAnsi="Times New Roman" w:eastAsia="宋体" w:cs="Times New Roman"/>
          <w:color w:val="auto"/>
          <w:lang w:val="en-US" w:eastAsia="zh-CN"/>
        </w:rPr>
      </w:pPr>
      <w:bookmarkStart w:id="2914" w:name="_Toc25877"/>
      <w:r>
        <w:rPr>
          <w:rFonts w:hint="default" w:ascii="Times New Roman" w:hAnsi="Times New Roman" w:eastAsia="宋体" w:cs="Times New Roman"/>
          <w:color w:val="auto"/>
          <w:lang w:val="en-US" w:eastAsia="zh-CN"/>
        </w:rPr>
        <w:t>10.8排污口规范化设置</w:t>
      </w:r>
      <w:bookmarkEnd w:id="2914"/>
    </w:p>
    <w:p w14:paraId="409B32DF">
      <w:pPr>
        <w:pStyle w:val="7"/>
        <w:bidi w:val="0"/>
        <w:rPr>
          <w:rFonts w:hint="default" w:ascii="Times New Roman" w:hAnsi="Times New Roman" w:eastAsia="宋体" w:cs="Times New Roman"/>
          <w:color w:val="auto"/>
        </w:rPr>
      </w:pPr>
      <w:bookmarkStart w:id="2915" w:name="_Toc4982"/>
      <w:r>
        <w:rPr>
          <w:rFonts w:hint="default" w:ascii="Times New Roman" w:hAnsi="Times New Roman" w:eastAsia="宋体" w:cs="Times New Roman"/>
          <w:color w:val="auto"/>
          <w:lang w:val="en-US" w:eastAsia="zh-CN"/>
        </w:rPr>
        <w:t>10.8.1排污口设置要求</w:t>
      </w:r>
      <w:bookmarkEnd w:id="2915"/>
    </w:p>
    <w:p w14:paraId="5A8884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国家环保部《排污口规范化整治技术要求（试行）》的技术要求，企业排污口必须符合污染物集中排放、便于采集样品、便于计量监测、便于日常现场监督检查的要求。设置环境保护图形标志牌，排污口的规范化符合当地环境监理部门的有关要求。</w:t>
      </w:r>
    </w:p>
    <w:p w14:paraId="0A4BB7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本项目设置一个废气排放口、一个废水间接排放口和雨水排口。</w:t>
      </w:r>
    </w:p>
    <w:p w14:paraId="67616BFE">
      <w:pPr>
        <w:pStyle w:val="7"/>
        <w:bidi w:val="0"/>
        <w:rPr>
          <w:rFonts w:hint="default" w:ascii="Times New Roman" w:hAnsi="Times New Roman" w:eastAsia="宋体" w:cs="Times New Roman"/>
          <w:color w:val="auto"/>
        </w:rPr>
      </w:pPr>
      <w:bookmarkStart w:id="2916" w:name="_Toc21671"/>
      <w:r>
        <w:rPr>
          <w:rFonts w:hint="default" w:ascii="Times New Roman" w:hAnsi="Times New Roman" w:eastAsia="宋体" w:cs="Times New Roman"/>
          <w:color w:val="auto"/>
          <w:lang w:val="en-US" w:eastAsia="zh-CN"/>
        </w:rPr>
        <w:t>10.8.2排污口管理原则</w:t>
      </w:r>
      <w:bookmarkEnd w:id="2916"/>
    </w:p>
    <w:p w14:paraId="7DA918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（1）向环境排放污染物的排放口必须按有关技术要求规范化设置；</w:t>
      </w:r>
    </w:p>
    <w:p w14:paraId="4DF3D6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（2）排污口应便于采样与计量监测，便于日常监测检查，应有观测、取样、维修通道；</w:t>
      </w:r>
    </w:p>
    <w:p w14:paraId="288080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（3）如实向环保管理部门申报排污口数量、位置及所排放的主要污染物种类、浓度、排放去向等情况。</w:t>
      </w:r>
    </w:p>
    <w:p w14:paraId="6B645534">
      <w:pPr>
        <w:pStyle w:val="7"/>
        <w:bidi w:val="0"/>
        <w:rPr>
          <w:rFonts w:hint="default" w:ascii="Times New Roman" w:hAnsi="Times New Roman" w:eastAsia="宋体" w:cs="Times New Roman"/>
          <w:color w:val="auto"/>
          <w:lang w:val="en-US" w:eastAsia="zh-CN"/>
        </w:rPr>
      </w:pPr>
      <w:bookmarkStart w:id="2917" w:name="_Toc13761"/>
      <w:r>
        <w:rPr>
          <w:rFonts w:hint="default" w:ascii="Times New Roman" w:hAnsi="Times New Roman" w:eastAsia="宋体" w:cs="Times New Roman"/>
          <w:color w:val="auto"/>
          <w:lang w:val="en-US" w:eastAsia="zh-CN"/>
        </w:rPr>
        <w:t>10.8.3排污口立标管理</w:t>
      </w:r>
      <w:bookmarkEnd w:id="2917"/>
    </w:p>
    <w:p w14:paraId="0A9C88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保护图形标志》（GB15562.1-1995）等的规定，企业所有排放口，必须按照“便于计量监测、便于日常现场监督检查”的原则和规范化要求，设置与之相适应的环境保护图形标志牌。标志牌外观质量要求标志牌、立柱无明显变形，标志牌无气泡，膜或搪瓷无脱落。图案清晰，色泽一致，不得有明显缺损。标志牌表面不应有开裂、脱落及其他破损。</w:t>
      </w:r>
    </w:p>
    <w:p w14:paraId="22981419">
      <w:pPr>
        <w:pStyle w:val="11"/>
        <w:tabs>
          <w:tab w:val="left" w:pos="1425"/>
        </w:tabs>
        <w:spacing w:before="0" w:after="0" w:line="240" w:lineRule="auto"/>
        <w:ind w:right="0"/>
        <w:jc w:val="center"/>
        <w:outlineLvl w:val="1"/>
        <w:rPr>
          <w:rFonts w:hint="default" w:ascii="Times New Roman" w:hAnsi="Times New Roman" w:eastAsia="宋体" w:cs="Times New Roman"/>
          <w:b/>
          <w:color w:val="auto"/>
          <w:kern w:val="2"/>
          <w:sz w:val="21"/>
          <w:szCs w:val="21"/>
          <w:highlight w:val="none"/>
          <w:lang w:val="zh-CN"/>
        </w:rPr>
      </w:pPr>
      <w:bookmarkStart w:id="2918" w:name="_Toc25403"/>
      <w:bookmarkStart w:id="2919" w:name="_Toc495"/>
      <w:bookmarkStart w:id="2920" w:name="_Toc2172"/>
      <w:bookmarkStart w:id="2921" w:name="_Toc9720"/>
      <w:bookmarkStart w:id="2922" w:name="_Toc19180"/>
      <w:bookmarkStart w:id="2923" w:name="_Toc19414"/>
      <w:bookmarkStart w:id="2924" w:name="_Toc22705"/>
      <w:r>
        <w:rPr>
          <w:rFonts w:hint="default" w:ascii="Times New Roman" w:hAnsi="Times New Roman" w:eastAsia="宋体" w:cs="Times New Roman"/>
          <w:b/>
          <w:color w:val="auto"/>
          <w:kern w:val="2"/>
          <w:sz w:val="21"/>
          <w:szCs w:val="21"/>
          <w:highlight w:val="none"/>
        </w:rPr>
        <w:t>表</w:t>
      </w:r>
      <w:r>
        <w:rPr>
          <w:rFonts w:hint="default" w:ascii="Times New Roman" w:hAnsi="Times New Roman" w:eastAsia="宋体" w:cs="Times New Roman"/>
          <w:b/>
          <w:color w:val="auto"/>
          <w:kern w:val="2"/>
          <w:sz w:val="21"/>
          <w:szCs w:val="21"/>
          <w:highlight w:val="none"/>
          <w:lang w:val="en-US" w:eastAsia="zh-CN"/>
        </w:rPr>
        <w:t>10.8-1</w:t>
      </w:r>
      <w:r>
        <w:rPr>
          <w:rFonts w:hint="default" w:ascii="Times New Roman" w:hAnsi="Times New Roman" w:eastAsia="宋体" w:cs="Times New Roman"/>
          <w:b/>
          <w:color w:val="auto"/>
          <w:kern w:val="2"/>
          <w:sz w:val="21"/>
          <w:szCs w:val="21"/>
          <w:highlight w:val="none"/>
        </w:rPr>
        <w:t xml:space="preserve"> </w:t>
      </w:r>
      <w:r>
        <w:rPr>
          <w:rFonts w:hint="default" w:ascii="Times New Roman" w:hAnsi="Times New Roman" w:eastAsia="宋体" w:cs="Times New Roman"/>
          <w:b/>
          <w:color w:val="auto"/>
          <w:kern w:val="2"/>
          <w:sz w:val="21"/>
          <w:szCs w:val="21"/>
          <w:highlight w:val="none"/>
          <w:lang w:val="zh-CN"/>
        </w:rPr>
        <w:t>环境保护图形标志</w:t>
      </w:r>
      <w:bookmarkEnd w:id="2918"/>
      <w:bookmarkEnd w:id="2919"/>
      <w:bookmarkEnd w:id="2920"/>
      <w:bookmarkEnd w:id="2921"/>
      <w:bookmarkEnd w:id="2922"/>
      <w:bookmarkEnd w:id="2923"/>
      <w:bookmarkEnd w:id="2924"/>
    </w:p>
    <w:tbl>
      <w:tblPr>
        <w:tblStyle w:val="2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14:paraId="61BF65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7D7D7" w:themeFill="background1" w:themeFillShade="D8"/>
            <w:vAlign w:val="center"/>
          </w:tcPr>
          <w:p w14:paraId="35AEF548">
            <w:pPr>
              <w:adjustRightInd w:val="0"/>
              <w:snapToGrid w:val="0"/>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Cs w:val="21"/>
                <w:highlight w:val="none"/>
                <w:lang w:val="en-US" w:eastAsia="zh-CN"/>
              </w:rPr>
              <w:t>序号</w:t>
            </w:r>
          </w:p>
        </w:tc>
        <w:tc>
          <w:tcPr>
            <w:tcW w:w="2129" w:type="dxa"/>
            <w:shd w:val="clear" w:color="auto" w:fill="D7D7D7" w:themeFill="background1" w:themeFillShade="D8"/>
            <w:vAlign w:val="center"/>
          </w:tcPr>
          <w:p w14:paraId="72073653">
            <w:pPr>
              <w:adjustRightInd w:val="0"/>
              <w:snapToGrid w:val="0"/>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Cs w:val="21"/>
                <w:highlight w:val="none"/>
                <w:lang w:val="en-US" w:eastAsia="zh-CN"/>
              </w:rPr>
              <w:t>提示图形符号</w:t>
            </w:r>
          </w:p>
        </w:tc>
        <w:tc>
          <w:tcPr>
            <w:tcW w:w="2129" w:type="dxa"/>
            <w:shd w:val="clear" w:color="auto" w:fill="D7D7D7" w:themeFill="background1" w:themeFillShade="D8"/>
            <w:vAlign w:val="center"/>
          </w:tcPr>
          <w:p w14:paraId="7F165C8B">
            <w:pPr>
              <w:adjustRightInd w:val="0"/>
              <w:snapToGrid w:val="0"/>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Cs w:val="21"/>
                <w:highlight w:val="none"/>
                <w:lang w:val="en-US" w:eastAsia="zh-CN"/>
              </w:rPr>
              <w:t>名称</w:t>
            </w:r>
          </w:p>
        </w:tc>
        <w:tc>
          <w:tcPr>
            <w:tcW w:w="2129" w:type="dxa"/>
            <w:shd w:val="clear" w:color="auto" w:fill="D7D7D7" w:themeFill="background1" w:themeFillShade="D8"/>
            <w:vAlign w:val="center"/>
          </w:tcPr>
          <w:p w14:paraId="62103FD0">
            <w:pPr>
              <w:adjustRightInd w:val="0"/>
              <w:snapToGrid w:val="0"/>
              <w:jc w:val="center"/>
              <w:rPr>
                <w:rFonts w:hint="default" w:ascii="Times New Roman" w:hAnsi="Times New Roman" w:eastAsia="宋体" w:cs="Times New Roman"/>
                <w:b/>
                <w:bCs/>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b/>
                <w:bCs/>
                <w:color w:val="auto"/>
                <w:szCs w:val="21"/>
                <w:highlight w:val="none"/>
                <w:lang w:val="en-US" w:eastAsia="zh-CN"/>
              </w:rPr>
              <w:t>功能</w:t>
            </w:r>
          </w:p>
        </w:tc>
      </w:tr>
      <w:tr w14:paraId="0D8975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23F4A0C0">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1</w:t>
            </w:r>
          </w:p>
        </w:tc>
        <w:tc>
          <w:tcPr>
            <w:tcW w:w="2129" w:type="dxa"/>
            <w:vAlign w:val="center"/>
          </w:tcPr>
          <w:p w14:paraId="07AD07DC">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pacing w:val="6"/>
                <w:kern w:val="0"/>
                <w:sz w:val="32"/>
                <w:szCs w:val="32"/>
                <w:highlight w:val="none"/>
              </w:rPr>
              <w:drawing>
                <wp:inline distT="0" distB="0" distL="114300" distR="114300">
                  <wp:extent cx="983615" cy="1002030"/>
                  <wp:effectExtent l="0" t="0" r="6985" b="1270"/>
                  <wp:docPr id="49" name="图片 9" descr="fdd2cff367da60388cdac5a525ce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fdd2cff367da60388cdac5a525cef6c"/>
                          <pic:cNvPicPr>
                            <a:picLocks noChangeAspect="1"/>
                          </pic:cNvPicPr>
                        </pic:nvPicPr>
                        <pic:blipFill>
                          <a:blip r:embed="rId36"/>
                          <a:stretch>
                            <a:fillRect/>
                          </a:stretch>
                        </pic:blipFill>
                        <pic:spPr>
                          <a:xfrm>
                            <a:off x="0" y="0"/>
                            <a:ext cx="983615" cy="1002030"/>
                          </a:xfrm>
                          <a:prstGeom prst="rect">
                            <a:avLst/>
                          </a:prstGeom>
                          <a:noFill/>
                          <a:ln>
                            <a:noFill/>
                          </a:ln>
                        </pic:spPr>
                      </pic:pic>
                    </a:graphicData>
                  </a:graphic>
                </wp:inline>
              </w:drawing>
            </w:r>
          </w:p>
        </w:tc>
        <w:tc>
          <w:tcPr>
            <w:tcW w:w="2129" w:type="dxa"/>
            <w:vAlign w:val="center"/>
          </w:tcPr>
          <w:p w14:paraId="34814619">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污水排放口</w:t>
            </w:r>
          </w:p>
        </w:tc>
        <w:tc>
          <w:tcPr>
            <w:tcW w:w="2129" w:type="dxa"/>
            <w:vAlign w:val="center"/>
          </w:tcPr>
          <w:p w14:paraId="74259BB7">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表示污水向水体排放</w:t>
            </w:r>
          </w:p>
        </w:tc>
      </w:tr>
      <w:tr w14:paraId="0B4FED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0BCF550E">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2</w:t>
            </w:r>
          </w:p>
        </w:tc>
        <w:tc>
          <w:tcPr>
            <w:tcW w:w="2129" w:type="dxa"/>
            <w:vAlign w:val="center"/>
          </w:tcPr>
          <w:p w14:paraId="3934E08D">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drawing>
                <wp:inline distT="0" distB="0" distL="114300" distR="114300">
                  <wp:extent cx="960755" cy="960755"/>
                  <wp:effectExtent l="0" t="0" r="4445" b="4445"/>
                  <wp:docPr id="51" name="图片 10" descr="提示-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提示-废气"/>
                          <pic:cNvPicPr>
                            <a:picLocks noChangeAspect="1"/>
                          </pic:cNvPicPr>
                        </pic:nvPicPr>
                        <pic:blipFill>
                          <a:blip r:embed="rId37"/>
                          <a:stretch>
                            <a:fillRect/>
                          </a:stretch>
                        </pic:blipFill>
                        <pic:spPr>
                          <a:xfrm>
                            <a:off x="0" y="0"/>
                            <a:ext cx="960755" cy="960755"/>
                          </a:xfrm>
                          <a:prstGeom prst="rect">
                            <a:avLst/>
                          </a:prstGeom>
                          <a:noFill/>
                          <a:ln>
                            <a:noFill/>
                          </a:ln>
                        </pic:spPr>
                      </pic:pic>
                    </a:graphicData>
                  </a:graphic>
                </wp:inline>
              </w:drawing>
            </w:r>
          </w:p>
        </w:tc>
        <w:tc>
          <w:tcPr>
            <w:tcW w:w="2129" w:type="dxa"/>
            <w:vAlign w:val="center"/>
          </w:tcPr>
          <w:p w14:paraId="74982523">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废气排放口</w:t>
            </w:r>
          </w:p>
        </w:tc>
        <w:tc>
          <w:tcPr>
            <w:tcW w:w="2129" w:type="dxa"/>
            <w:vAlign w:val="center"/>
          </w:tcPr>
          <w:p w14:paraId="19A5A08B">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表示大气向大气环境排放</w:t>
            </w:r>
          </w:p>
        </w:tc>
      </w:tr>
      <w:tr w14:paraId="68BE0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379870D6">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3</w:t>
            </w:r>
          </w:p>
        </w:tc>
        <w:tc>
          <w:tcPr>
            <w:tcW w:w="2129" w:type="dxa"/>
            <w:vAlign w:val="center"/>
          </w:tcPr>
          <w:p w14:paraId="666C8B8A">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drawing>
                <wp:inline distT="0" distB="0" distL="114300" distR="114300">
                  <wp:extent cx="970915" cy="967740"/>
                  <wp:effectExtent l="0" t="0" r="6985" b="10160"/>
                  <wp:docPr id="54" name="图片 11" descr="提示-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提示-噪声"/>
                          <pic:cNvPicPr>
                            <a:picLocks noChangeAspect="1"/>
                          </pic:cNvPicPr>
                        </pic:nvPicPr>
                        <pic:blipFill>
                          <a:blip r:embed="rId38"/>
                          <a:stretch>
                            <a:fillRect/>
                          </a:stretch>
                        </pic:blipFill>
                        <pic:spPr>
                          <a:xfrm>
                            <a:off x="0" y="0"/>
                            <a:ext cx="970915" cy="967740"/>
                          </a:xfrm>
                          <a:prstGeom prst="rect">
                            <a:avLst/>
                          </a:prstGeom>
                          <a:noFill/>
                          <a:ln>
                            <a:noFill/>
                          </a:ln>
                        </pic:spPr>
                      </pic:pic>
                    </a:graphicData>
                  </a:graphic>
                </wp:inline>
              </w:drawing>
            </w:r>
          </w:p>
        </w:tc>
        <w:tc>
          <w:tcPr>
            <w:tcW w:w="2129" w:type="dxa"/>
            <w:vAlign w:val="center"/>
          </w:tcPr>
          <w:p w14:paraId="5D1A6AFC">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噪声排放源</w:t>
            </w:r>
          </w:p>
        </w:tc>
        <w:tc>
          <w:tcPr>
            <w:tcW w:w="2129" w:type="dxa"/>
            <w:vAlign w:val="center"/>
          </w:tcPr>
          <w:p w14:paraId="53337B03">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表示噪声向外环境排放</w:t>
            </w:r>
          </w:p>
        </w:tc>
      </w:tr>
      <w:tr w14:paraId="1DF9F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14:paraId="6E976619">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4</w:t>
            </w:r>
          </w:p>
        </w:tc>
        <w:tc>
          <w:tcPr>
            <w:tcW w:w="2129" w:type="dxa"/>
            <w:vAlign w:val="center"/>
          </w:tcPr>
          <w:p w14:paraId="4BE5871F">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drawing>
                <wp:inline distT="0" distB="0" distL="114300" distR="114300">
                  <wp:extent cx="958850" cy="950595"/>
                  <wp:effectExtent l="0" t="0" r="6350" b="1905"/>
                  <wp:docPr id="56" name="图片 12" descr="提示-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descr="提示-一般固废"/>
                          <pic:cNvPicPr>
                            <a:picLocks noChangeAspect="1"/>
                          </pic:cNvPicPr>
                        </pic:nvPicPr>
                        <pic:blipFill>
                          <a:blip r:embed="rId39"/>
                          <a:stretch>
                            <a:fillRect/>
                          </a:stretch>
                        </pic:blipFill>
                        <pic:spPr>
                          <a:xfrm>
                            <a:off x="0" y="0"/>
                            <a:ext cx="958850" cy="950595"/>
                          </a:xfrm>
                          <a:prstGeom prst="rect">
                            <a:avLst/>
                          </a:prstGeom>
                          <a:noFill/>
                          <a:ln>
                            <a:noFill/>
                          </a:ln>
                        </pic:spPr>
                      </pic:pic>
                    </a:graphicData>
                  </a:graphic>
                </wp:inline>
              </w:drawing>
            </w:r>
          </w:p>
        </w:tc>
        <w:tc>
          <w:tcPr>
            <w:tcW w:w="2129" w:type="dxa"/>
            <w:vAlign w:val="center"/>
          </w:tcPr>
          <w:p w14:paraId="2B4F366F">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一般固体废物</w:t>
            </w:r>
          </w:p>
        </w:tc>
        <w:tc>
          <w:tcPr>
            <w:tcW w:w="2129" w:type="dxa"/>
            <w:vAlign w:val="center"/>
          </w:tcPr>
          <w:p w14:paraId="6CDE41AC">
            <w:pPr>
              <w:adjustRightInd w:val="0"/>
              <w:snapToGrid w:val="0"/>
              <w:jc w:val="center"/>
              <w:rPr>
                <w:rFonts w:hint="default" w:ascii="Times New Roman" w:hAnsi="Times New Roman" w:eastAsia="宋体" w:cs="Times New Roman"/>
                <w:i w:val="0"/>
                <w:iCs w:val="0"/>
                <w:caps w:val="0"/>
                <w:color w:val="auto"/>
                <w:spacing w:val="0"/>
                <w:kern w:val="0"/>
                <w:sz w:val="24"/>
                <w:szCs w:val="24"/>
                <w:shd w:val="clear" w:fill="FFFFFF"/>
                <w:vertAlign w:val="baseline"/>
                <w:lang w:val="en-US" w:eastAsia="zh-CN" w:bidi="ar"/>
              </w:rPr>
            </w:pPr>
            <w:r>
              <w:rPr>
                <w:rFonts w:hint="default" w:ascii="Times New Roman" w:hAnsi="Times New Roman" w:eastAsia="宋体" w:cs="Times New Roman"/>
                <w:color w:val="auto"/>
                <w:szCs w:val="21"/>
                <w:highlight w:val="none"/>
                <w:lang w:val="en-US" w:eastAsia="zh-CN"/>
              </w:rPr>
              <w:t>表示一般固体废物贮存、迟滞处置场</w:t>
            </w:r>
          </w:p>
        </w:tc>
      </w:tr>
    </w:tbl>
    <w:p w14:paraId="4EBAF04E">
      <w:pPr>
        <w:pStyle w:val="6"/>
        <w:bidi w:val="0"/>
        <w:rPr>
          <w:rFonts w:hint="default" w:ascii="Times New Roman" w:hAnsi="Times New Roman" w:eastAsia="宋体" w:cs="Times New Roman"/>
          <w:color w:val="auto"/>
          <w:lang w:val="en-US" w:eastAsia="zh-CN"/>
        </w:rPr>
      </w:pPr>
    </w:p>
    <w:p w14:paraId="2A323A39">
      <w:pPr>
        <w:pStyle w:val="6"/>
        <w:bidi w:val="0"/>
        <w:rPr>
          <w:rFonts w:hint="default" w:ascii="Times New Roman" w:hAnsi="Times New Roman" w:eastAsia="宋体" w:cs="Times New Roman"/>
          <w:color w:val="auto"/>
          <w:lang w:val="en-US" w:eastAsia="zh-CN"/>
        </w:rPr>
      </w:pPr>
    </w:p>
    <w:p w14:paraId="2C6D118A">
      <w:pPr>
        <w:pStyle w:val="6"/>
        <w:bidi w:val="0"/>
        <w:rPr>
          <w:rFonts w:hint="default" w:ascii="Times New Roman" w:hAnsi="Times New Roman" w:eastAsia="宋体" w:cs="Times New Roman"/>
          <w:color w:val="auto"/>
        </w:rPr>
      </w:pPr>
      <w:bookmarkStart w:id="2925" w:name="_Toc20854"/>
      <w:r>
        <w:rPr>
          <w:rFonts w:hint="default" w:ascii="Times New Roman" w:hAnsi="Times New Roman" w:eastAsia="宋体" w:cs="Times New Roman"/>
          <w:color w:val="auto"/>
          <w:lang w:val="en-US" w:eastAsia="zh-CN"/>
        </w:rPr>
        <w:t>10.9信息公开制度</w:t>
      </w:r>
      <w:bookmarkEnd w:id="2925"/>
    </w:p>
    <w:p w14:paraId="6937DA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根据《建设项目环境影响评价信息公开机制方案》、《企业事业单位环境信息公开办法》中的相关规定，本项目建设单位应当向社会公开以下信息：</w:t>
      </w:r>
    </w:p>
    <w:p w14:paraId="1D6971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（1）基础信息，包括单位名称、组织机构代码、法定代表人、生产地址、联系方式，以及生产经营和管理服务的主要内容、产品及规模；</w:t>
      </w:r>
    </w:p>
    <w:p w14:paraId="213AAD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（2）排污信息，包括主要污染物及特征污染物的名称、排放方式、排放口数量和分布情况、排放浓度和总量、超标情况，以及执行的污染物排放标准、核定的排放总量；</w:t>
      </w:r>
    </w:p>
    <w:p w14:paraId="5BE5B4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（3）防治污染设施的建设和运行情况；</w:t>
      </w:r>
    </w:p>
    <w:p w14:paraId="627849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（4）建设项目环境影响评价及其他环境保护行政许可情况；</w:t>
      </w:r>
    </w:p>
    <w:p w14:paraId="652335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（5）突发环境事件应急预案。</w:t>
      </w:r>
    </w:p>
    <w:p w14:paraId="4FF19D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p>
    <w:p w14:paraId="2641E7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p>
    <w:p w14:paraId="6986ECC1">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570FB224">
      <w:pPr>
        <w:pStyle w:val="5"/>
        <w:bidi w:val="0"/>
        <w:rPr>
          <w:rFonts w:hint="default" w:ascii="Times New Roman" w:hAnsi="Times New Roman" w:eastAsia="宋体" w:cs="Times New Roman"/>
          <w:color w:val="auto"/>
        </w:rPr>
      </w:pPr>
      <w:bookmarkStart w:id="2926" w:name="_Toc6916"/>
      <w:r>
        <w:rPr>
          <w:rFonts w:hint="default" w:ascii="Times New Roman" w:hAnsi="Times New Roman" w:eastAsia="宋体" w:cs="Times New Roman"/>
          <w:color w:val="auto"/>
          <w:lang w:val="en-US" w:eastAsia="zh-CN"/>
        </w:rPr>
        <w:t>11结论及建议</w:t>
      </w:r>
      <w:bookmarkEnd w:id="2926"/>
    </w:p>
    <w:p w14:paraId="382DC81D">
      <w:pPr>
        <w:pStyle w:val="6"/>
        <w:bidi w:val="0"/>
        <w:rPr>
          <w:rFonts w:hint="default" w:ascii="Times New Roman" w:hAnsi="Times New Roman" w:eastAsia="宋体" w:cs="Times New Roman"/>
          <w:color w:val="auto"/>
        </w:rPr>
      </w:pPr>
      <w:bookmarkStart w:id="2927" w:name="_Toc13513"/>
      <w:r>
        <w:rPr>
          <w:rFonts w:hint="default" w:ascii="Times New Roman" w:hAnsi="Times New Roman" w:eastAsia="宋体" w:cs="Times New Roman"/>
          <w:color w:val="auto"/>
          <w:lang w:val="en-US" w:eastAsia="zh-CN"/>
        </w:rPr>
        <w:t>11.1 项目概况</w:t>
      </w:r>
      <w:bookmarkEnd w:id="2927"/>
    </w:p>
    <w:p w14:paraId="5597FB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fill="FFFFFF"/>
          <w:lang w:val="en-US" w:eastAsia="zh-CN" w:bidi="ar"/>
        </w:rPr>
      </w:pPr>
      <w:r>
        <w:rPr>
          <w:rFonts w:hint="default" w:ascii="Times New Roman" w:hAnsi="Times New Roman" w:eastAsia="宋体" w:cs="Times New Roman"/>
          <w:color w:val="auto"/>
          <w:kern w:val="0"/>
          <w:sz w:val="24"/>
          <w:szCs w:val="24"/>
          <w:lang w:val="en-US" w:eastAsia="zh-CN" w:bidi="ar"/>
        </w:rPr>
        <w:t>项目位于</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遂宁市大英县文旅产业园区（E105.258213，N30.599787）</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项目</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总用地面积70284.55平方米，设置床位1100张。建设内容由1栋门急诊医技住院综合楼（1#楼）、1栋后勤楼（2#楼）、1栋感染楼（3#楼）和1栋发热楼（4#楼）组成。配套建设锅炉房，液氧站，污水处理站等辅助设施。设置机动车位1428个，非机动车位2921个。</w:t>
      </w:r>
    </w:p>
    <w:p w14:paraId="35FA0669">
      <w:pPr>
        <w:pStyle w:val="6"/>
        <w:bidi w:val="0"/>
        <w:rPr>
          <w:rFonts w:hint="default" w:ascii="Times New Roman" w:hAnsi="Times New Roman" w:eastAsia="宋体" w:cs="Times New Roman"/>
          <w:color w:val="auto"/>
        </w:rPr>
      </w:pPr>
      <w:bookmarkStart w:id="2928" w:name="_Toc6748"/>
      <w:r>
        <w:rPr>
          <w:rFonts w:hint="default" w:ascii="Times New Roman" w:hAnsi="Times New Roman" w:eastAsia="宋体" w:cs="Times New Roman"/>
          <w:color w:val="auto"/>
          <w:lang w:val="en-US" w:eastAsia="zh-CN"/>
        </w:rPr>
        <w:t>11.2 环境质量现状</w:t>
      </w:r>
      <w:bookmarkEnd w:id="2928"/>
    </w:p>
    <w:p w14:paraId="407587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本项目环境质量现状监测数据可知：项目所在地地表水符合《地表水环境质量标准》（GB3838-2002）中的Ⅲ类水域标准；地下水各项目监测指标均满足《地下水质量标准》（GB/T14848-2017）III类水域标准要求。项目所在地环境空气质量良好，监测的各种污染因子均满足《环境空气质量标准》（GB3095-2012）中二级标准要求；评价区域声环境质量良好，各测点噪声值均满足《声环境质量标准》（GB3096-2008）2类标准要求。</w:t>
      </w:r>
    </w:p>
    <w:p w14:paraId="232B4D81">
      <w:pPr>
        <w:pStyle w:val="6"/>
        <w:bidi w:val="0"/>
        <w:rPr>
          <w:rFonts w:hint="default" w:ascii="Times New Roman" w:hAnsi="Times New Roman" w:eastAsia="宋体" w:cs="Times New Roman"/>
          <w:color w:val="auto"/>
        </w:rPr>
      </w:pPr>
      <w:bookmarkStart w:id="2929" w:name="_Toc20082"/>
      <w:r>
        <w:rPr>
          <w:rFonts w:hint="default" w:ascii="Times New Roman" w:hAnsi="Times New Roman" w:eastAsia="宋体" w:cs="Times New Roman"/>
          <w:color w:val="auto"/>
          <w:lang w:val="en-US" w:eastAsia="zh-CN"/>
        </w:rPr>
        <w:t>11.3相关政策符合性</w:t>
      </w:r>
      <w:bookmarkEnd w:id="2929"/>
      <w:r>
        <w:rPr>
          <w:rFonts w:hint="default" w:ascii="Times New Roman" w:hAnsi="Times New Roman" w:eastAsia="宋体" w:cs="Times New Roman"/>
          <w:color w:val="auto"/>
          <w:lang w:val="en-US" w:eastAsia="zh-CN"/>
        </w:rPr>
        <w:t xml:space="preserve"> </w:t>
      </w:r>
    </w:p>
    <w:p w14:paraId="0048BA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属于基本医疗服务设施建设项目，属于《产业结构调整指导目录（2019年本）》中第一类“鼓励类”中第三十七条“卫生健康”中第5款“医疗卫生服务设施建设”。因此，本项目符合国家现行产业政策要求。本项目属于《当前国家重点鼓励发展的产业、产品和技术目录》中基本医疗服务设施建设鼓励发展项目。同时，本项目建设不属于国土资源部“关于发布实施《限制用地项目目录（2012年本）》和《禁止用地项目目录》（2012年本）的通知”规定的项目。</w:t>
      </w:r>
    </w:p>
    <w:p w14:paraId="14AD42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本项目于2022年8月18日取得了大英县发展和改革局出具的《关关于大英县医疗救治救援中心建设项目、大英县人民医院住院综合楼建设项目、大英县人民医院外科大楼建设项目、大英县人民医院综合智能地下停车场建设项目、大英县人民医院救治能力提升项目整合的批复》（大发改许可[2022]368号），具体详见附件。</w:t>
      </w:r>
    </w:p>
    <w:p w14:paraId="77E01D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综上分析，项目符合国家产业政策。</w:t>
      </w:r>
    </w:p>
    <w:p w14:paraId="437160DE">
      <w:pPr>
        <w:pStyle w:val="6"/>
        <w:bidi w:val="0"/>
        <w:rPr>
          <w:rFonts w:hint="default" w:ascii="Times New Roman" w:hAnsi="Times New Roman" w:eastAsia="宋体" w:cs="Times New Roman"/>
          <w:color w:val="auto"/>
        </w:rPr>
      </w:pPr>
      <w:bookmarkStart w:id="2930" w:name="_Toc19317"/>
      <w:r>
        <w:rPr>
          <w:rFonts w:hint="default" w:ascii="Times New Roman" w:hAnsi="Times New Roman" w:eastAsia="宋体" w:cs="Times New Roman"/>
          <w:color w:val="auto"/>
          <w:lang w:val="en-US" w:eastAsia="zh-CN"/>
        </w:rPr>
        <w:t>11.4 项目主要环境影响</w:t>
      </w:r>
      <w:bookmarkEnd w:id="2930"/>
      <w:r>
        <w:rPr>
          <w:rFonts w:hint="default" w:ascii="Times New Roman" w:hAnsi="Times New Roman" w:eastAsia="宋体" w:cs="Times New Roman"/>
          <w:color w:val="auto"/>
          <w:lang w:val="en-US" w:eastAsia="zh-CN"/>
        </w:rPr>
        <w:t xml:space="preserve"> </w:t>
      </w:r>
    </w:p>
    <w:p w14:paraId="16B411B8">
      <w:pPr>
        <w:pStyle w:val="7"/>
        <w:bidi w:val="0"/>
        <w:rPr>
          <w:rFonts w:hint="default" w:ascii="Times New Roman" w:hAnsi="Times New Roman" w:eastAsia="宋体" w:cs="Times New Roman"/>
          <w:color w:val="auto"/>
          <w:lang w:val="en-US" w:eastAsia="zh-CN"/>
        </w:rPr>
      </w:pPr>
      <w:bookmarkStart w:id="2931" w:name="_Toc29068"/>
      <w:r>
        <w:rPr>
          <w:rFonts w:hint="default" w:ascii="Times New Roman" w:hAnsi="Times New Roman" w:eastAsia="宋体" w:cs="Times New Roman"/>
          <w:color w:val="auto"/>
          <w:lang w:val="en-US" w:eastAsia="zh-CN"/>
        </w:rPr>
        <w:t>11.4.1废水</w:t>
      </w:r>
      <w:bookmarkEnd w:id="2931"/>
    </w:p>
    <w:p w14:paraId="77CFA4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项目运营后医院废水总最大排放量为</w:t>
      </w:r>
      <w:r>
        <w:rPr>
          <w:rFonts w:hint="eastAsia" w:ascii="Times New Roman" w:hAnsi="Times New Roman" w:eastAsia="宋体" w:cs="Times New Roman"/>
          <w:color w:val="auto"/>
          <w:kern w:val="0"/>
          <w:sz w:val="24"/>
          <w:szCs w:val="24"/>
          <w:lang w:val="en-US" w:eastAsia="zh-CN" w:bidi="ar"/>
        </w:rPr>
        <w:t>704.02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/d，污水处理站设计处理规模为</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/d，因此能够满足本项目废水处理要求。</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感染楼及发热楼门诊及住院废水经消毒预处理后进入化粪池处理后进入院内污水处理站，非感染门急诊、住院废水及医务人员废水经化粪池处理后进入院内污水处理站，进入化粪池废水量为</w:t>
      </w:r>
      <w:r>
        <w:rPr>
          <w:rFonts w:hint="eastAsia" w:ascii="Times New Roman" w:hAnsi="Times New Roman" w:eastAsia="宋体" w:cs="Times New Roman"/>
          <w:i w:val="0"/>
          <w:iCs w:val="0"/>
          <w:caps w:val="0"/>
          <w:color w:val="auto"/>
          <w:spacing w:val="0"/>
          <w:kern w:val="0"/>
          <w:sz w:val="24"/>
          <w:szCs w:val="24"/>
          <w:shd w:val="clear" w:fill="FFFFFF"/>
          <w:lang w:val="en-US" w:eastAsia="zh-CN" w:bidi="ar"/>
        </w:rPr>
        <w:t>541.48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/d，设置</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/d的化粪池</w:t>
      </w:r>
      <w:r>
        <w:rPr>
          <w:rFonts w:hint="default" w:ascii="Times New Roman" w:hAnsi="Times New Roman" w:eastAsia="宋体" w:cs="Times New Roman"/>
          <w:i w:val="0"/>
          <w:iCs w:val="0"/>
          <w:caps w:val="0"/>
          <w:color w:val="auto"/>
          <w:spacing w:val="0"/>
          <w:kern w:val="0"/>
          <w:sz w:val="24"/>
          <w:szCs w:val="24"/>
          <w:shd w:val="clear" w:fill="FFFFFF"/>
          <w:lang w:val="en-US" w:eastAsia="zh-CN" w:bidi="ar"/>
        </w:rPr>
        <w:t>；食堂废水经隔油池处理后排入院内污水处理站处理；所有废水经污水处理站处理达《医疗机构水污染物排放标准》（GB18466-2005）表2预处理标准及《污水排入城镇下水道水质标准》（GB/T31962-2015）表（1）标准后进入大英县城市生活污水处理厂。</w:t>
      </w:r>
      <w:r>
        <w:rPr>
          <w:rFonts w:hint="default" w:ascii="Times New Roman" w:hAnsi="Times New Roman" w:eastAsia="宋体" w:cs="Times New Roman"/>
          <w:color w:val="auto"/>
          <w:kern w:val="0"/>
          <w:sz w:val="24"/>
          <w:szCs w:val="24"/>
          <w:lang w:val="en-US" w:eastAsia="zh-CN" w:bidi="ar"/>
        </w:rPr>
        <w:t>本项目污水处理站工艺采用“格栅+调节池+水解酸化池+接触氧化池+沉淀池+接触消毒池”，处理工艺能够满足《医院污水处理工程技术规范》（HJ2029-2013）相关要求。</w:t>
      </w:r>
    </w:p>
    <w:p w14:paraId="4EA124FD">
      <w:pPr>
        <w:pStyle w:val="7"/>
        <w:bidi w:val="0"/>
        <w:rPr>
          <w:rFonts w:hint="default" w:ascii="Times New Roman" w:hAnsi="Times New Roman" w:eastAsia="宋体" w:cs="Times New Roman"/>
          <w:color w:val="auto"/>
          <w:lang w:val="en-US" w:eastAsia="zh-CN"/>
        </w:rPr>
      </w:pPr>
      <w:bookmarkStart w:id="2932" w:name="_Toc11544"/>
      <w:r>
        <w:rPr>
          <w:rFonts w:hint="default" w:ascii="Times New Roman" w:hAnsi="Times New Roman" w:eastAsia="宋体" w:cs="Times New Roman"/>
          <w:color w:val="auto"/>
          <w:lang w:val="en-US" w:eastAsia="zh-CN"/>
        </w:rPr>
        <w:t>11.4.2地下水</w:t>
      </w:r>
      <w:bookmarkEnd w:id="2932"/>
    </w:p>
    <w:p w14:paraId="15030C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（1）重点防渗区：医废暂存间、危废暂存间防渗层为至少1米厚粘土层，或2mm厚高密度聚乙烯，或至少2mm厚的其它人工材料，渗透系数≤10</w:t>
      </w:r>
      <w:r>
        <w:rPr>
          <w:rFonts w:hint="default" w:ascii="Times New Roman" w:hAnsi="Times New Roman" w:eastAsia="宋体" w:cs="Times New Roman"/>
          <w:color w:val="auto"/>
          <w:kern w:val="0"/>
          <w:sz w:val="24"/>
          <w:szCs w:val="24"/>
          <w:vertAlign w:val="superscript"/>
          <w:lang w:val="en-US" w:eastAsia="zh-CN" w:bidi="ar"/>
        </w:rPr>
        <w:t>-10</w:t>
      </w:r>
      <w:r>
        <w:rPr>
          <w:rFonts w:hint="default" w:ascii="Times New Roman" w:hAnsi="Times New Roman" w:eastAsia="宋体" w:cs="Times New Roman"/>
          <w:color w:val="auto"/>
          <w:kern w:val="0"/>
          <w:sz w:val="24"/>
          <w:szCs w:val="24"/>
          <w:lang w:val="en-US" w:eastAsia="zh-CN" w:bidi="ar"/>
        </w:rPr>
        <w:t>cm/s。污水处理站、污水预处理池、应急事故池、消防水池确保等效黏土防渗层MB≥6.0m，K≤1×10</w:t>
      </w:r>
      <w:r>
        <w:rPr>
          <w:rFonts w:hint="default" w:ascii="Times New Roman" w:hAnsi="Times New Roman" w:eastAsia="宋体" w:cs="Times New Roman"/>
          <w:color w:val="auto"/>
          <w:kern w:val="0"/>
          <w:sz w:val="24"/>
          <w:szCs w:val="24"/>
          <w:vertAlign w:val="superscript"/>
          <w:lang w:val="en-US" w:eastAsia="zh-CN" w:bidi="ar"/>
        </w:rPr>
        <w:t>-7</w:t>
      </w:r>
      <w:r>
        <w:rPr>
          <w:rFonts w:hint="default" w:ascii="Times New Roman" w:hAnsi="Times New Roman" w:eastAsia="宋体" w:cs="Times New Roman"/>
          <w:color w:val="auto"/>
          <w:kern w:val="0"/>
          <w:sz w:val="24"/>
          <w:szCs w:val="24"/>
          <w:lang w:val="en-US" w:eastAsia="zh-CN" w:bidi="ar"/>
        </w:rPr>
        <w:t>cm/s；或参照GB18598执行。</w:t>
      </w:r>
    </w:p>
    <w:p w14:paraId="576AEA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（2）一般防渗区：门诊楼、急诊楼、住院楼、医技楼、发电机房、液氧站等一般防渗，确保等效粘土防渗层Mb≥1.5m，K≤1×10</w:t>
      </w:r>
      <w:r>
        <w:rPr>
          <w:rFonts w:hint="default" w:ascii="Times New Roman" w:hAnsi="Times New Roman" w:eastAsia="宋体" w:cs="Times New Roman"/>
          <w:color w:val="auto"/>
          <w:kern w:val="0"/>
          <w:sz w:val="24"/>
          <w:szCs w:val="24"/>
          <w:vertAlign w:val="superscript"/>
          <w:lang w:val="en-US" w:eastAsia="zh-CN" w:bidi="ar"/>
        </w:rPr>
        <w:t>-7</w:t>
      </w:r>
      <w:r>
        <w:rPr>
          <w:rFonts w:hint="default" w:ascii="Times New Roman" w:hAnsi="Times New Roman" w:eastAsia="宋体" w:cs="Times New Roman"/>
          <w:color w:val="auto"/>
          <w:kern w:val="0"/>
          <w:sz w:val="24"/>
          <w:szCs w:val="24"/>
          <w:lang w:val="en-US" w:eastAsia="zh-CN" w:bidi="ar"/>
        </w:rPr>
        <w:t>cm/sGB1859 执行。</w:t>
      </w:r>
    </w:p>
    <w:p w14:paraId="48F0B0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（3）简单防渗：道路等其他区域进行一般地面硬化。</w:t>
      </w:r>
    </w:p>
    <w:p w14:paraId="208A19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本项目在采取以上措施的基础上，对地下水环境的影响较小。</w:t>
      </w:r>
    </w:p>
    <w:p w14:paraId="1150B0D4">
      <w:pPr>
        <w:pStyle w:val="7"/>
        <w:bidi w:val="0"/>
        <w:rPr>
          <w:rFonts w:hint="default" w:ascii="Times New Roman" w:hAnsi="Times New Roman" w:eastAsia="宋体" w:cs="Times New Roman"/>
          <w:color w:val="auto"/>
          <w:lang w:val="en-US" w:eastAsia="zh-CN"/>
        </w:rPr>
      </w:pPr>
      <w:bookmarkStart w:id="2933" w:name="_Toc8560"/>
      <w:r>
        <w:rPr>
          <w:rFonts w:hint="default" w:ascii="Times New Roman" w:hAnsi="Times New Roman" w:eastAsia="宋体" w:cs="Times New Roman"/>
          <w:color w:val="auto"/>
          <w:lang w:val="en-US" w:eastAsia="zh-CN"/>
        </w:rPr>
        <w:t>11.4.3废气</w:t>
      </w:r>
      <w:bookmarkEnd w:id="2933"/>
    </w:p>
    <w:p w14:paraId="16C484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污水处理站废气：污水处理站地埋密闭设置，其产生的臭气由抽风装置统一收集后经“紫外消毒+活性炭吸附系统”处理后由引至1#楼裙楼楼顶排放，排气筒25m。</w:t>
      </w:r>
      <w:r>
        <w:rPr>
          <w:rFonts w:hint="eastAsia" w:ascii="Times New Roman" w:hAnsi="Times New Roman" w:eastAsia="宋体" w:cs="Times New Roman"/>
          <w:color w:val="auto"/>
          <w:kern w:val="0"/>
          <w:sz w:val="24"/>
          <w:szCs w:val="24"/>
          <w:lang w:val="en-US" w:eastAsia="zh-CN" w:bidi="ar"/>
        </w:rPr>
        <w:t>感染病区污水预处理池地埋设置，产生的恶臭无组织排放。采取以上措施后，污水处理站恶臭对周边环境保护目标影响较小。</w:t>
      </w:r>
    </w:p>
    <w:p w14:paraId="370693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固废暂存间异味：生活垃圾暂存间异味采取垃圾日产日清、收集箱设置在通风条件良好地方等措施；医废暂存间通过对暂存的废物进行袋装或桶装密闭暂存、加强暂存间内通风、缩短暂存间内废物的存储时间（一般不超过48小时）、签订危废处理协议并及时转运处置、定期进行消毒、紫外灭菌等措施。</w:t>
      </w:r>
    </w:p>
    <w:p w14:paraId="7EDC2B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食堂油烟：经油烟净化装置（处理效率75%）处理后由后勤楼楼顶排放。</w:t>
      </w:r>
    </w:p>
    <w:p w14:paraId="4FC8CB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汽车尾气：地下车库设置机械排风系统，排放口位于绿化带，远离敏感目标。</w:t>
      </w:r>
    </w:p>
    <w:p w14:paraId="511F6D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备用柴油发电机废气：经自带过滤网消烟装置处理后排放。</w:t>
      </w:r>
    </w:p>
    <w:p w14:paraId="6CDF93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熬制中药异味：机械排风，加强通风。</w:t>
      </w:r>
    </w:p>
    <w:p w14:paraId="5B7D20D7">
      <w:pPr>
        <w:pStyle w:val="7"/>
        <w:bidi w:val="0"/>
        <w:rPr>
          <w:rFonts w:hint="default" w:ascii="Times New Roman" w:hAnsi="Times New Roman" w:eastAsia="宋体" w:cs="Times New Roman"/>
          <w:color w:val="auto"/>
          <w:lang w:val="en-US" w:eastAsia="zh-CN"/>
        </w:rPr>
      </w:pPr>
      <w:bookmarkStart w:id="2934" w:name="_Toc32291"/>
      <w:r>
        <w:rPr>
          <w:rFonts w:hint="default" w:ascii="Times New Roman" w:hAnsi="Times New Roman" w:eastAsia="宋体" w:cs="Times New Roman"/>
          <w:color w:val="auto"/>
          <w:lang w:val="en-US" w:eastAsia="zh-CN"/>
        </w:rPr>
        <w:t>11.4.4噪声</w:t>
      </w:r>
      <w:bookmarkEnd w:id="2934"/>
    </w:p>
    <w:p w14:paraId="42BF20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建成运营后主要有以下两类噪声：一是机动车及人员活动产生的生活噪声，属低噪声源，噪声级小于55dB(A)，通过加强管理，对外界影响较小。二是公辅设施设备噪声，污水站水泵、备用发电机等。由预测结果可知，场界噪声可达《工业企业厂界环境噪声排放标准》（GB12348-2008）的 2 类标准，达标排放</w:t>
      </w:r>
      <w:r>
        <w:rPr>
          <w:rFonts w:hint="eastAsia" w:ascii="Times New Roman" w:hAnsi="Times New Roman" w:eastAsia="宋体" w:cs="Times New Roman"/>
          <w:color w:val="auto"/>
          <w:kern w:val="0"/>
          <w:sz w:val="24"/>
          <w:szCs w:val="24"/>
          <w:lang w:val="en-US" w:eastAsia="zh-CN" w:bidi="ar"/>
        </w:rPr>
        <w:t>，对周边声环境保护目标影响较小。</w:t>
      </w:r>
    </w:p>
    <w:p w14:paraId="7C160400">
      <w:pPr>
        <w:pStyle w:val="7"/>
        <w:bidi w:val="0"/>
        <w:rPr>
          <w:rFonts w:hint="default" w:ascii="Times New Roman" w:hAnsi="Times New Roman" w:eastAsia="宋体" w:cs="Times New Roman"/>
          <w:color w:val="auto"/>
          <w:lang w:val="en-US" w:eastAsia="zh-CN"/>
        </w:rPr>
      </w:pPr>
      <w:bookmarkStart w:id="2935" w:name="_Toc28357"/>
      <w:r>
        <w:rPr>
          <w:rFonts w:hint="default" w:ascii="Times New Roman" w:hAnsi="Times New Roman" w:eastAsia="宋体" w:cs="Times New Roman"/>
          <w:color w:val="auto"/>
          <w:lang w:val="en-US" w:eastAsia="zh-CN"/>
        </w:rPr>
        <w:t>11.4.5固废</w:t>
      </w:r>
      <w:bookmarkEnd w:id="2935"/>
    </w:p>
    <w:p w14:paraId="76DCE7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本项目一般固废包括医院职工办公生活垃圾、餐厨垃圾、废</w:t>
      </w:r>
      <w:r>
        <w:rPr>
          <w:rFonts w:hint="eastAsia" w:ascii="Times New Roman" w:hAnsi="Times New Roman" w:eastAsia="宋体" w:cs="Times New Roman"/>
          <w:color w:val="auto"/>
          <w:kern w:val="0"/>
          <w:sz w:val="24"/>
          <w:szCs w:val="24"/>
          <w:lang w:val="en-US" w:eastAsia="zh-CN" w:bidi="ar"/>
        </w:rPr>
        <w:t>离子交换树脂</w:t>
      </w:r>
      <w:r>
        <w:rPr>
          <w:rFonts w:hint="default" w:ascii="Times New Roman" w:hAnsi="Times New Roman" w:eastAsia="宋体" w:cs="Times New Roman"/>
          <w:color w:val="auto"/>
          <w:kern w:val="0"/>
          <w:sz w:val="24"/>
          <w:szCs w:val="24"/>
          <w:lang w:val="en-US" w:eastAsia="zh-CN" w:bidi="ar"/>
        </w:rPr>
        <w:t>等；危险废物包括医疗废物、污水站污泥、废活性炭及废弃紫外线灯管等。</w:t>
      </w:r>
    </w:p>
    <w:p w14:paraId="2821AB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（1）一般固废</w:t>
      </w:r>
    </w:p>
    <w:p w14:paraId="58B16B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生活垃圾统一经垃圾桶收集后，委托当地环卫部门清运处置。餐厨垃圾须用塑料桶单独收集，交由有资质单位进行收运、处置，做到日产日清。废</w:t>
      </w:r>
      <w:r>
        <w:rPr>
          <w:rFonts w:hint="eastAsia" w:ascii="Times New Roman" w:hAnsi="Times New Roman" w:eastAsia="宋体" w:cs="Times New Roman"/>
          <w:color w:val="auto"/>
          <w:kern w:val="0"/>
          <w:sz w:val="24"/>
          <w:szCs w:val="24"/>
          <w:lang w:val="en-US" w:eastAsia="zh-CN" w:bidi="ar"/>
        </w:rPr>
        <w:t>离子交换树脂交由厂家回收</w:t>
      </w:r>
      <w:r>
        <w:rPr>
          <w:rFonts w:hint="default" w:ascii="Times New Roman" w:hAnsi="Times New Roman" w:eastAsia="宋体" w:cs="Times New Roman"/>
          <w:color w:val="auto"/>
          <w:kern w:val="0"/>
          <w:sz w:val="24"/>
          <w:szCs w:val="24"/>
          <w:lang w:val="en-US" w:eastAsia="zh-CN" w:bidi="ar"/>
        </w:rPr>
        <w:t>。</w:t>
      </w:r>
    </w:p>
    <w:p w14:paraId="38FA55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（2）危险废物</w:t>
      </w:r>
    </w:p>
    <w:p w14:paraId="10F27C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拟建项目产生的危险废物有医疗废物、污水站污泥、废活性炭、废弃紫外线灯管及更换的空气滤芯等。</w:t>
      </w:r>
    </w:p>
    <w:p w14:paraId="27D3FC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医疗固废应置于专用容器收集（多采用专用医疗垃圾收集桶），暂存于医疗废物暂存间内，医疗废物暂存间应设置明显警示标识，由有资质单位定期清运并负责处理处置；污水处理站污泥采用石灰消毒，再经离心式脱水机脱水，密闭封装后交中节能（攀枝花）清洁技术发展有限公司处置。废活性炭、废弃紫外线灯管及排风系统更换的滤芯作为危废集中收集后交有资质单位处置。</w:t>
      </w:r>
    </w:p>
    <w:p w14:paraId="571AEAB8">
      <w:pPr>
        <w:pStyle w:val="6"/>
        <w:bidi w:val="0"/>
        <w:rPr>
          <w:rFonts w:hint="default" w:ascii="Times New Roman" w:hAnsi="Times New Roman" w:eastAsia="宋体" w:cs="Times New Roman"/>
          <w:color w:val="auto"/>
          <w:lang w:val="en-US" w:eastAsia="zh-CN"/>
        </w:rPr>
      </w:pPr>
      <w:bookmarkStart w:id="2936" w:name="_Toc11484"/>
    </w:p>
    <w:p w14:paraId="6E23FE41">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11.5 环境风险</w:t>
      </w:r>
      <w:bookmarkEnd w:id="2936"/>
    </w:p>
    <w:p w14:paraId="1806BF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风险识别以及分析，项目设计及施工过程将严格按照国家及行业有关标准、规范进行，严格按本报告提出的分区防渗措施进行隐蔽工程施工，并拍照、视频记录。建成后，制定完善的安全管理、降低风险的规章制度，并制定完善的突发环境应急预案报生态环境部门备案。综合分析，项目环境风险在可控范围内，项目环境风险可接受。</w:t>
      </w:r>
    </w:p>
    <w:p w14:paraId="1685036D">
      <w:pPr>
        <w:pStyle w:val="6"/>
        <w:bidi w:val="0"/>
        <w:rPr>
          <w:rFonts w:hint="default" w:ascii="Times New Roman" w:hAnsi="Times New Roman" w:eastAsia="宋体" w:cs="Times New Roman"/>
          <w:color w:val="auto"/>
        </w:rPr>
      </w:pPr>
      <w:bookmarkStart w:id="2937" w:name="_Toc5645"/>
      <w:r>
        <w:rPr>
          <w:rFonts w:hint="default" w:ascii="Times New Roman" w:hAnsi="Times New Roman" w:eastAsia="宋体" w:cs="Times New Roman"/>
          <w:color w:val="auto"/>
          <w:lang w:val="en-US" w:eastAsia="zh-CN"/>
        </w:rPr>
        <w:t>11.6 总量控制</w:t>
      </w:r>
      <w:bookmarkEnd w:id="2937"/>
    </w:p>
    <w:p w14:paraId="4B4535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建设成后废气主要为污水处理站恶臭、医废暂存间异味气体、柴油发电机废气和食堂油烟，因此，本项目不设置废气总量控制指标；废水排入市政管网最终进入大英县城市生活污水处理厂处理，项目总量控制指标纳入大英县城市生活污水处理厂总量控制考核，本项目不单设总量控制指标。</w:t>
      </w:r>
    </w:p>
    <w:p w14:paraId="6DE2EDE3">
      <w:pPr>
        <w:pStyle w:val="6"/>
        <w:bidi w:val="0"/>
        <w:rPr>
          <w:rFonts w:hint="default" w:ascii="Times New Roman" w:hAnsi="Times New Roman" w:eastAsia="宋体" w:cs="Times New Roman"/>
          <w:color w:val="auto"/>
        </w:rPr>
      </w:pPr>
      <w:bookmarkStart w:id="2938" w:name="_Toc13771"/>
      <w:r>
        <w:rPr>
          <w:rFonts w:hint="default" w:ascii="Times New Roman" w:hAnsi="Times New Roman" w:eastAsia="宋体" w:cs="Times New Roman"/>
          <w:color w:val="auto"/>
          <w:lang w:val="en-US" w:eastAsia="zh-CN"/>
        </w:rPr>
        <w:t>11.7 环境经济损益分析</w:t>
      </w:r>
      <w:bookmarkEnd w:id="2938"/>
    </w:p>
    <w:p w14:paraId="0DC02D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本项目做到了社会效益、经济效益和环境效益的同步发展，说明环保措施方案经济上是可行的。</w:t>
      </w:r>
    </w:p>
    <w:p w14:paraId="10894F2E">
      <w:pPr>
        <w:pStyle w:val="6"/>
        <w:bidi w:val="0"/>
        <w:rPr>
          <w:rFonts w:hint="default" w:ascii="Times New Roman" w:hAnsi="Times New Roman" w:eastAsia="宋体" w:cs="Times New Roman"/>
          <w:color w:val="auto"/>
        </w:rPr>
      </w:pPr>
      <w:bookmarkStart w:id="2939" w:name="_Toc13203"/>
      <w:r>
        <w:rPr>
          <w:rFonts w:hint="default" w:ascii="Times New Roman" w:hAnsi="Times New Roman" w:eastAsia="宋体" w:cs="Times New Roman"/>
          <w:color w:val="auto"/>
          <w:lang w:val="en-US" w:eastAsia="zh-CN"/>
        </w:rPr>
        <w:t>11.8 公众意见采纳情况</w:t>
      </w:r>
      <w:bookmarkEnd w:id="2939"/>
    </w:p>
    <w:p w14:paraId="558986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公众参与办法》（部令第4号，2019年1月1日），编制环境影响报告书的建设项目，建设单位应公开有关环境影响评价的信息，征求公众意见。建设单位于2022年8月23日在大英县人民政府网站上（网址：</w:t>
      </w: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HYPERLINK "https://www.daying.gov.cn/hpgs/-/articles/35005098.shtml"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kern w:val="0"/>
          <w:sz w:val="24"/>
          <w:szCs w:val="24"/>
          <w:lang w:val="en-US" w:eastAsia="zh-CN" w:bidi="ar"/>
        </w:rPr>
        <w:t>https://www.daying.gov.cn/hpgs/-/articles/35005098.shtml</w:t>
      </w:r>
      <w:r>
        <w:rPr>
          <w:rFonts w:hint="default" w:ascii="Times New Roman" w:hAnsi="Times New Roman" w:eastAsia="宋体" w:cs="Times New Roman"/>
          <w:color w:val="auto"/>
          <w:kern w:val="0"/>
          <w:sz w:val="24"/>
          <w:szCs w:val="24"/>
          <w:lang w:val="en-US" w:eastAsia="zh-CN" w:bidi="ar"/>
        </w:rPr>
        <w:fldChar w:fldCharType="end"/>
      </w:r>
      <w:r>
        <w:rPr>
          <w:rFonts w:hint="default" w:ascii="Times New Roman" w:hAnsi="Times New Roman" w:eastAsia="宋体" w:cs="Times New Roman"/>
          <w:color w:val="auto"/>
          <w:kern w:val="0"/>
          <w:sz w:val="24"/>
          <w:szCs w:val="24"/>
          <w:lang w:val="en-US" w:eastAsia="zh-CN" w:bidi="ar"/>
        </w:rPr>
        <w:t>）进行了第一次环境影响评价信息公示，公示时间为2022年8月23日至2022年9月5日（公示时间10个工作日）。第一次公示主要内容包括建设项目的基本信息、建设单位和环评单位的名称和联系方式、公众意见表的网络链接、提交公众意见表的方式和途径等。</w:t>
      </w:r>
    </w:p>
    <w:p w14:paraId="3DB18A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环评报告初稿完成后，建设单位于 2022 年10月14日在项目工程部、和喜·公园里小区、报纸（读者报登报2次，2022年10月14日和2022年10月19日各一次）、大英县人民政府网站（网址：</w:t>
      </w: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HYPERLINK "https://www.daying.gov."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kern w:val="0"/>
          <w:sz w:val="24"/>
          <w:szCs w:val="24"/>
          <w:lang w:val="en-US" w:eastAsia="zh-CN" w:bidi="ar"/>
        </w:rPr>
        <w:t>https://www.daying.gov.</w:t>
      </w:r>
      <w:r>
        <w:rPr>
          <w:rFonts w:hint="default" w:ascii="Times New Roman" w:hAnsi="Times New Roman" w:eastAsia="宋体" w:cs="Times New Roman"/>
          <w:color w:val="auto"/>
          <w:kern w:val="0"/>
          <w:sz w:val="24"/>
          <w:szCs w:val="24"/>
          <w:lang w:val="en-US" w:eastAsia="zh-CN" w:bidi="ar"/>
        </w:rPr>
        <w:fldChar w:fldCharType="end"/>
      </w:r>
    </w:p>
    <w:p w14:paraId="3885985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cn/hpgs/-/articles/36994550.shtml）三种方式同步进行第二次环境影响评价信息公示，公示时间2022 年10月13日至2022年10月26日（（公示时间10个工作日）），环境影响报告书征求意见稿公示内容包含项目基本情况、建设项目可能造成的影响，报告书网络链接及公众查阅纸质报告的方式和途径、征求意见的公众范围、公众提交意见的方式和途径。项目第一次及第二次公示期间无人提出意见或建议。</w:t>
      </w:r>
    </w:p>
    <w:p w14:paraId="0797D09D">
      <w:pPr>
        <w:pStyle w:val="6"/>
        <w:bidi w:val="0"/>
        <w:rPr>
          <w:rFonts w:hint="default" w:ascii="Times New Roman" w:hAnsi="Times New Roman" w:eastAsia="宋体" w:cs="Times New Roman"/>
          <w:color w:val="auto"/>
          <w:lang w:val="en-US" w:eastAsia="zh-CN"/>
        </w:rPr>
      </w:pPr>
      <w:bookmarkStart w:id="2940" w:name="_Toc5730"/>
      <w:r>
        <w:rPr>
          <w:rFonts w:hint="default" w:ascii="Times New Roman" w:hAnsi="Times New Roman" w:eastAsia="宋体" w:cs="Times New Roman"/>
          <w:color w:val="auto"/>
          <w:lang w:val="en-US" w:eastAsia="zh-CN"/>
        </w:rPr>
        <w:t>10.9综合结论</w:t>
      </w:r>
      <w:bookmarkEnd w:id="2940"/>
    </w:p>
    <w:p w14:paraId="082D5E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大英县医疗救治救援中心综合建设项目符合国家产业政策，其选址合理。项目区域周边无大的环境制约因素，废气、污水、噪声、固废拟采取的污染防治措施技术可靠、经济可行。项目的营运具有良好的经济、社会和环境效益。只要项目认真落实本报告书中提出的各项污染防治对策措施，保证环境保护措施的有效运行，确保污染物稳定达标排放，并严格按照环评要求进行环境风险防范，从环保角度而言，本项目建设可行。</w:t>
      </w:r>
    </w:p>
    <w:p w14:paraId="63CCF745">
      <w:pPr>
        <w:pStyle w:val="6"/>
        <w:bidi w:val="0"/>
        <w:rPr>
          <w:rFonts w:hint="default" w:ascii="Times New Roman" w:hAnsi="Times New Roman" w:eastAsia="宋体" w:cs="Times New Roman"/>
          <w:color w:val="auto"/>
        </w:rPr>
      </w:pPr>
      <w:bookmarkStart w:id="2941" w:name="_Toc16367"/>
      <w:r>
        <w:rPr>
          <w:rFonts w:hint="default" w:ascii="Times New Roman" w:hAnsi="Times New Roman" w:eastAsia="宋体" w:cs="Times New Roman"/>
          <w:color w:val="auto"/>
          <w:lang w:val="en-US" w:eastAsia="zh-CN"/>
        </w:rPr>
        <w:t>11.10 建议</w:t>
      </w:r>
      <w:bookmarkEnd w:id="2941"/>
    </w:p>
    <w:p w14:paraId="1A1960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为确保各类污染物达标排放、各项环保设施的稳定运行、最大限度减少污染物外排量和生态破坏，本评价提出如下建议：</w:t>
      </w:r>
    </w:p>
    <w:p w14:paraId="0FFB47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（1）严格执行环保“三同时”制度，认真落实环保资金，确保本评价提出的各类环保设施与主体工程同时投入运行。</w:t>
      </w:r>
    </w:p>
    <w:p w14:paraId="729616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color w:val="auto"/>
          <w:kern w:val="0"/>
          <w:sz w:val="24"/>
          <w:szCs w:val="24"/>
          <w:lang w:val="en-US" w:eastAsia="zh-CN" w:bidi="ar"/>
        </w:rPr>
      </w:pPr>
      <w:bookmarkStart w:id="2942" w:name="_Toc23047"/>
      <w:bookmarkStart w:id="2943" w:name="_Toc30633"/>
      <w:bookmarkStart w:id="2944" w:name="_Toc32060"/>
      <w:bookmarkStart w:id="2945" w:name="_Toc1687"/>
      <w:r>
        <w:rPr>
          <w:rFonts w:hint="default" w:ascii="Times New Roman" w:hAnsi="Times New Roman" w:eastAsia="宋体" w:cs="Times New Roman"/>
          <w:color w:val="auto"/>
          <w:kern w:val="0"/>
          <w:sz w:val="24"/>
          <w:szCs w:val="24"/>
          <w:lang w:val="en-US" w:eastAsia="zh-CN" w:bidi="ar"/>
        </w:rPr>
        <w:t>（2）加强设备维护、维修工作，确保各类环保设施正常运行。</w:t>
      </w:r>
      <w:bookmarkEnd w:id="2942"/>
      <w:bookmarkEnd w:id="2943"/>
      <w:bookmarkEnd w:id="2944"/>
      <w:bookmarkEnd w:id="2945"/>
    </w:p>
    <w:p w14:paraId="4682E9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建设单位应严格遵守国家环境保护的法律、法规，成立专门的环境保护管理机构，建立健全的环境管理制度和环境保护岗位责任制，认真搞好环境保护宣传和教育，提高全员的环保意识，减少人为环境污染和生态破坏。</w:t>
      </w:r>
    </w:p>
    <w:p w14:paraId="271836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p>
    <w:p w14:paraId="138FE5B9">
      <w:pPr>
        <w:pStyle w:val="2"/>
        <w:rPr>
          <w:rFonts w:hint="default" w:ascii="Times New Roman" w:hAnsi="Times New Roman" w:eastAsia="宋体" w:cs="Times New Roman"/>
          <w:color w:val="auto"/>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319FC">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DF35C">
    <w:pPr>
      <w:pStyle w:val="14"/>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09AC4">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1A09AC4">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A6850">
    <w:pPr>
      <w:pStyle w:val="14"/>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52451">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B852451">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9E080">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9CA5">
    <w:pPr>
      <w:pStyle w:val="15"/>
      <w:pBdr>
        <w:bottom w:val="single" w:color="auto" w:sz="4" w:space="1"/>
      </w:pBdr>
      <w:jc w:val="center"/>
    </w:pPr>
    <w:r>
      <w:rPr>
        <w:rFonts w:hint="eastAsia"/>
        <w:b/>
        <w:bCs/>
        <w:sz w:val="24"/>
        <w:szCs w:val="24"/>
        <w:lang w:val="en-US" w:eastAsia="zh-CN"/>
      </w:rPr>
      <w:t>大英县医疗救治救援中心综合建设项目环境影响报告书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841640"/>
    <w:multiLevelType w:val="singleLevel"/>
    <w:tmpl w:val="CC841640"/>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2FE3872F"/>
    <w:multiLevelType w:val="singleLevel"/>
    <w:tmpl w:val="2FE3872F"/>
    <w:lvl w:ilvl="0" w:tentative="0">
      <w:start w:val="2"/>
      <w:numFmt w:val="decimal"/>
      <w:suff w:val="nothing"/>
      <w:lvlText w:val="（%1）"/>
      <w:lvlJc w:val="left"/>
    </w:lvl>
  </w:abstractNum>
  <w:abstractNum w:abstractNumId="2">
    <w:nsid w:val="4E4E8050"/>
    <w:multiLevelType w:val="singleLevel"/>
    <w:tmpl w:val="4E4E8050"/>
    <w:lvl w:ilvl="0" w:tentative="0">
      <w:start w:val="1"/>
      <w:numFmt w:val="upperLetter"/>
      <w:suff w:val="nothing"/>
      <w:lvlText w:val="%1、"/>
      <w:lvlJc w:val="left"/>
    </w:lvl>
  </w:abstractNum>
  <w:abstractNum w:abstractNumId="3">
    <w:nsid w:val="5B50D7CD"/>
    <w:multiLevelType w:val="singleLevel"/>
    <w:tmpl w:val="5B50D7CD"/>
    <w:lvl w:ilvl="0" w:tentative="0">
      <w:start w:val="1"/>
      <w:numFmt w:val="upperLetter"/>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TA2NWZlNGYxN2NhMWU3YTRjYjkxMTc4NjI4N2EifQ=="/>
  </w:docVars>
  <w:rsids>
    <w:rsidRoot w:val="00172A27"/>
    <w:rsid w:val="000273CC"/>
    <w:rsid w:val="00104F3C"/>
    <w:rsid w:val="002A241A"/>
    <w:rsid w:val="002D0883"/>
    <w:rsid w:val="002E01C1"/>
    <w:rsid w:val="003C11CB"/>
    <w:rsid w:val="00522102"/>
    <w:rsid w:val="007C2CDB"/>
    <w:rsid w:val="007C717F"/>
    <w:rsid w:val="009E0D18"/>
    <w:rsid w:val="00A44EF8"/>
    <w:rsid w:val="00B76409"/>
    <w:rsid w:val="00D22DFE"/>
    <w:rsid w:val="00D743B5"/>
    <w:rsid w:val="01075571"/>
    <w:rsid w:val="01131F44"/>
    <w:rsid w:val="01176EA7"/>
    <w:rsid w:val="0127637F"/>
    <w:rsid w:val="012E3DA7"/>
    <w:rsid w:val="013E3F7C"/>
    <w:rsid w:val="014871CD"/>
    <w:rsid w:val="014D0B1B"/>
    <w:rsid w:val="014E3892"/>
    <w:rsid w:val="01514167"/>
    <w:rsid w:val="01583748"/>
    <w:rsid w:val="015B6D94"/>
    <w:rsid w:val="016F45ED"/>
    <w:rsid w:val="018207C5"/>
    <w:rsid w:val="01841C3E"/>
    <w:rsid w:val="01852063"/>
    <w:rsid w:val="01891B53"/>
    <w:rsid w:val="018F2EE2"/>
    <w:rsid w:val="01C04E49"/>
    <w:rsid w:val="01C34939"/>
    <w:rsid w:val="01CA216C"/>
    <w:rsid w:val="01CB4239"/>
    <w:rsid w:val="01DA0BEB"/>
    <w:rsid w:val="01E44FDB"/>
    <w:rsid w:val="01F47ED3"/>
    <w:rsid w:val="01F56A78"/>
    <w:rsid w:val="01FB40D3"/>
    <w:rsid w:val="021F7DC1"/>
    <w:rsid w:val="02290C40"/>
    <w:rsid w:val="023870D5"/>
    <w:rsid w:val="02592A5F"/>
    <w:rsid w:val="02830FB3"/>
    <w:rsid w:val="02847B9A"/>
    <w:rsid w:val="02922A4D"/>
    <w:rsid w:val="02A5520C"/>
    <w:rsid w:val="02B365A2"/>
    <w:rsid w:val="02B82331"/>
    <w:rsid w:val="02C40969"/>
    <w:rsid w:val="02CD1F13"/>
    <w:rsid w:val="02CE5ECA"/>
    <w:rsid w:val="03062EF5"/>
    <w:rsid w:val="032502EA"/>
    <w:rsid w:val="03394EB3"/>
    <w:rsid w:val="033A6E93"/>
    <w:rsid w:val="034B4BE6"/>
    <w:rsid w:val="0350438A"/>
    <w:rsid w:val="035C5045"/>
    <w:rsid w:val="035F56D1"/>
    <w:rsid w:val="0365214C"/>
    <w:rsid w:val="03653EFA"/>
    <w:rsid w:val="036D1000"/>
    <w:rsid w:val="036D4B44"/>
    <w:rsid w:val="036F49C1"/>
    <w:rsid w:val="03726617"/>
    <w:rsid w:val="037B74D7"/>
    <w:rsid w:val="037C716B"/>
    <w:rsid w:val="038D16A3"/>
    <w:rsid w:val="038D75F5"/>
    <w:rsid w:val="03925D37"/>
    <w:rsid w:val="03B877E7"/>
    <w:rsid w:val="03C055D4"/>
    <w:rsid w:val="03CE7CF1"/>
    <w:rsid w:val="03D766D9"/>
    <w:rsid w:val="03DD6186"/>
    <w:rsid w:val="0414147C"/>
    <w:rsid w:val="042A0CA0"/>
    <w:rsid w:val="04446205"/>
    <w:rsid w:val="045D72C7"/>
    <w:rsid w:val="046248DD"/>
    <w:rsid w:val="0475638A"/>
    <w:rsid w:val="04846E71"/>
    <w:rsid w:val="04877EA0"/>
    <w:rsid w:val="04926409"/>
    <w:rsid w:val="04A15406"/>
    <w:rsid w:val="04AE367F"/>
    <w:rsid w:val="04C40A71"/>
    <w:rsid w:val="04D82740"/>
    <w:rsid w:val="04EC4DC2"/>
    <w:rsid w:val="05062162"/>
    <w:rsid w:val="0520422F"/>
    <w:rsid w:val="052D0A47"/>
    <w:rsid w:val="056703FD"/>
    <w:rsid w:val="057B0FFA"/>
    <w:rsid w:val="05974252"/>
    <w:rsid w:val="05B50225"/>
    <w:rsid w:val="05C3315A"/>
    <w:rsid w:val="05F759DF"/>
    <w:rsid w:val="05FD666C"/>
    <w:rsid w:val="06277B8D"/>
    <w:rsid w:val="06287461"/>
    <w:rsid w:val="06431CCA"/>
    <w:rsid w:val="06432B56"/>
    <w:rsid w:val="06516F6C"/>
    <w:rsid w:val="067531D4"/>
    <w:rsid w:val="06772910"/>
    <w:rsid w:val="069944C1"/>
    <w:rsid w:val="069D1BFD"/>
    <w:rsid w:val="069D35E7"/>
    <w:rsid w:val="06B17456"/>
    <w:rsid w:val="06D82C35"/>
    <w:rsid w:val="06DE626A"/>
    <w:rsid w:val="06DF448D"/>
    <w:rsid w:val="07091040"/>
    <w:rsid w:val="07454BDF"/>
    <w:rsid w:val="075168CB"/>
    <w:rsid w:val="075221DC"/>
    <w:rsid w:val="07752435"/>
    <w:rsid w:val="077706A0"/>
    <w:rsid w:val="07794418"/>
    <w:rsid w:val="079923C4"/>
    <w:rsid w:val="079B5CFE"/>
    <w:rsid w:val="079C3C62"/>
    <w:rsid w:val="07AF7E3A"/>
    <w:rsid w:val="07B40FAC"/>
    <w:rsid w:val="07BA233A"/>
    <w:rsid w:val="07D653C6"/>
    <w:rsid w:val="07E775D3"/>
    <w:rsid w:val="080D690E"/>
    <w:rsid w:val="083A66F8"/>
    <w:rsid w:val="0869623A"/>
    <w:rsid w:val="088C1F29"/>
    <w:rsid w:val="08955281"/>
    <w:rsid w:val="08A70B11"/>
    <w:rsid w:val="08B66FA6"/>
    <w:rsid w:val="08BF22FE"/>
    <w:rsid w:val="08BF40AC"/>
    <w:rsid w:val="08CF60D9"/>
    <w:rsid w:val="08EF1717"/>
    <w:rsid w:val="08FB3460"/>
    <w:rsid w:val="090D2CD0"/>
    <w:rsid w:val="09125008"/>
    <w:rsid w:val="091361A6"/>
    <w:rsid w:val="0914662C"/>
    <w:rsid w:val="092108C3"/>
    <w:rsid w:val="092B1742"/>
    <w:rsid w:val="0936095B"/>
    <w:rsid w:val="094822F4"/>
    <w:rsid w:val="09567D7A"/>
    <w:rsid w:val="09656CA1"/>
    <w:rsid w:val="096A4085"/>
    <w:rsid w:val="09713A12"/>
    <w:rsid w:val="09726D79"/>
    <w:rsid w:val="097747A1"/>
    <w:rsid w:val="099359FF"/>
    <w:rsid w:val="09A3577C"/>
    <w:rsid w:val="09AA4D5C"/>
    <w:rsid w:val="09B52F85"/>
    <w:rsid w:val="09B9503D"/>
    <w:rsid w:val="09BA4874"/>
    <w:rsid w:val="09CC40BF"/>
    <w:rsid w:val="09D26061"/>
    <w:rsid w:val="0A0005F0"/>
    <w:rsid w:val="0A0A455B"/>
    <w:rsid w:val="0A0D1B9A"/>
    <w:rsid w:val="0A110938"/>
    <w:rsid w:val="0A1641A0"/>
    <w:rsid w:val="0A1F7DCE"/>
    <w:rsid w:val="0A257BE8"/>
    <w:rsid w:val="0A40121D"/>
    <w:rsid w:val="0A5C592B"/>
    <w:rsid w:val="0A60366D"/>
    <w:rsid w:val="0A67104D"/>
    <w:rsid w:val="0A827D76"/>
    <w:rsid w:val="0A877C44"/>
    <w:rsid w:val="0A9F4195"/>
    <w:rsid w:val="0AA413E9"/>
    <w:rsid w:val="0AD35BED"/>
    <w:rsid w:val="0ADF4592"/>
    <w:rsid w:val="0AE41BA8"/>
    <w:rsid w:val="0AE95411"/>
    <w:rsid w:val="0AFA761E"/>
    <w:rsid w:val="0B0052A5"/>
    <w:rsid w:val="0B04224A"/>
    <w:rsid w:val="0B054E62"/>
    <w:rsid w:val="0B21104E"/>
    <w:rsid w:val="0B364128"/>
    <w:rsid w:val="0B6D4294"/>
    <w:rsid w:val="0B9A4000"/>
    <w:rsid w:val="0B9C061A"/>
    <w:rsid w:val="0B9E4418"/>
    <w:rsid w:val="0BAB4DBC"/>
    <w:rsid w:val="0BCC6C4E"/>
    <w:rsid w:val="0BEB6F66"/>
    <w:rsid w:val="0BF73B5D"/>
    <w:rsid w:val="0C281F69"/>
    <w:rsid w:val="0C2873AE"/>
    <w:rsid w:val="0C3152C1"/>
    <w:rsid w:val="0C4072D7"/>
    <w:rsid w:val="0C41127C"/>
    <w:rsid w:val="0C452B1A"/>
    <w:rsid w:val="0C504748"/>
    <w:rsid w:val="0C6F61CA"/>
    <w:rsid w:val="0C775615"/>
    <w:rsid w:val="0C7E7348"/>
    <w:rsid w:val="0C823D01"/>
    <w:rsid w:val="0C851169"/>
    <w:rsid w:val="0C8D626F"/>
    <w:rsid w:val="0C917B0E"/>
    <w:rsid w:val="0C9A166B"/>
    <w:rsid w:val="0C9C332A"/>
    <w:rsid w:val="0CA830A9"/>
    <w:rsid w:val="0CB11F5E"/>
    <w:rsid w:val="0CCF6888"/>
    <w:rsid w:val="0CE03370"/>
    <w:rsid w:val="0CF63E15"/>
    <w:rsid w:val="0D032E9B"/>
    <w:rsid w:val="0D064D53"/>
    <w:rsid w:val="0D135004"/>
    <w:rsid w:val="0D1F15BD"/>
    <w:rsid w:val="0D336E17"/>
    <w:rsid w:val="0D3C44F0"/>
    <w:rsid w:val="0D3D7C96"/>
    <w:rsid w:val="0D531267"/>
    <w:rsid w:val="0D55718F"/>
    <w:rsid w:val="0D7B7E36"/>
    <w:rsid w:val="0D9E4A36"/>
    <w:rsid w:val="0DAB132C"/>
    <w:rsid w:val="0DB71C93"/>
    <w:rsid w:val="0DC12675"/>
    <w:rsid w:val="0DC65EDD"/>
    <w:rsid w:val="0DC91529"/>
    <w:rsid w:val="0DD203DE"/>
    <w:rsid w:val="0DE146DF"/>
    <w:rsid w:val="0E1455CD"/>
    <w:rsid w:val="0E4F1A2E"/>
    <w:rsid w:val="0E5434E9"/>
    <w:rsid w:val="0E762AE8"/>
    <w:rsid w:val="0E8611C8"/>
    <w:rsid w:val="0E937489"/>
    <w:rsid w:val="0EC51CF1"/>
    <w:rsid w:val="0ECA5559"/>
    <w:rsid w:val="0ED25388"/>
    <w:rsid w:val="0ED34D8A"/>
    <w:rsid w:val="0EE505E5"/>
    <w:rsid w:val="0EE77DA1"/>
    <w:rsid w:val="0EF65FA2"/>
    <w:rsid w:val="0F0530C6"/>
    <w:rsid w:val="0F106A88"/>
    <w:rsid w:val="0F136BDA"/>
    <w:rsid w:val="0F197245"/>
    <w:rsid w:val="0F1B4006"/>
    <w:rsid w:val="0F20161D"/>
    <w:rsid w:val="0F2509E1"/>
    <w:rsid w:val="0F281BB8"/>
    <w:rsid w:val="0F4F78B0"/>
    <w:rsid w:val="0F5734CF"/>
    <w:rsid w:val="0F6239E3"/>
    <w:rsid w:val="0F6C3993"/>
    <w:rsid w:val="0F6F7A00"/>
    <w:rsid w:val="0F7D25CB"/>
    <w:rsid w:val="0FA83AEC"/>
    <w:rsid w:val="0FB6184B"/>
    <w:rsid w:val="0FB90D84"/>
    <w:rsid w:val="0FBD1836"/>
    <w:rsid w:val="0FC4644C"/>
    <w:rsid w:val="0FCD54D6"/>
    <w:rsid w:val="0FD109F9"/>
    <w:rsid w:val="0FD81E68"/>
    <w:rsid w:val="0FE8038D"/>
    <w:rsid w:val="0FF22FB9"/>
    <w:rsid w:val="0FFB39EF"/>
    <w:rsid w:val="10090303"/>
    <w:rsid w:val="10727C56"/>
    <w:rsid w:val="1081433D"/>
    <w:rsid w:val="1085047C"/>
    <w:rsid w:val="10986AEB"/>
    <w:rsid w:val="10AF09EA"/>
    <w:rsid w:val="10C5422A"/>
    <w:rsid w:val="10DB1C9F"/>
    <w:rsid w:val="10DF6E84"/>
    <w:rsid w:val="10F1501F"/>
    <w:rsid w:val="110D797F"/>
    <w:rsid w:val="112A7044"/>
    <w:rsid w:val="11391A49"/>
    <w:rsid w:val="11427629"/>
    <w:rsid w:val="11677D5A"/>
    <w:rsid w:val="11945855"/>
    <w:rsid w:val="11BC387F"/>
    <w:rsid w:val="11CB3AC2"/>
    <w:rsid w:val="11CE6AD1"/>
    <w:rsid w:val="11CE746F"/>
    <w:rsid w:val="11D33E13"/>
    <w:rsid w:val="11D706B9"/>
    <w:rsid w:val="11DA02A7"/>
    <w:rsid w:val="11E22BBA"/>
    <w:rsid w:val="11EC7CCD"/>
    <w:rsid w:val="11FC1127"/>
    <w:rsid w:val="11FC3C7B"/>
    <w:rsid w:val="121B373E"/>
    <w:rsid w:val="12502219"/>
    <w:rsid w:val="125126B4"/>
    <w:rsid w:val="125515DD"/>
    <w:rsid w:val="12582E7C"/>
    <w:rsid w:val="12654A39"/>
    <w:rsid w:val="12786E06"/>
    <w:rsid w:val="127D7035"/>
    <w:rsid w:val="1296128E"/>
    <w:rsid w:val="129E0479"/>
    <w:rsid w:val="12B5065D"/>
    <w:rsid w:val="12D22C2E"/>
    <w:rsid w:val="12E64A46"/>
    <w:rsid w:val="12F17558"/>
    <w:rsid w:val="1308160F"/>
    <w:rsid w:val="130A34E7"/>
    <w:rsid w:val="130E484D"/>
    <w:rsid w:val="13135720"/>
    <w:rsid w:val="1319766D"/>
    <w:rsid w:val="1323348A"/>
    <w:rsid w:val="1351097C"/>
    <w:rsid w:val="135B6B83"/>
    <w:rsid w:val="137912FC"/>
    <w:rsid w:val="138A1B49"/>
    <w:rsid w:val="138A52B7"/>
    <w:rsid w:val="13BD10C8"/>
    <w:rsid w:val="13E32138"/>
    <w:rsid w:val="13F27F40"/>
    <w:rsid w:val="1407190A"/>
    <w:rsid w:val="140D3B2D"/>
    <w:rsid w:val="14245177"/>
    <w:rsid w:val="143C0CA7"/>
    <w:rsid w:val="144D6A10"/>
    <w:rsid w:val="1456683B"/>
    <w:rsid w:val="145F25F4"/>
    <w:rsid w:val="14651C86"/>
    <w:rsid w:val="146916AE"/>
    <w:rsid w:val="148D1503"/>
    <w:rsid w:val="148D32B1"/>
    <w:rsid w:val="149363ED"/>
    <w:rsid w:val="14A0354C"/>
    <w:rsid w:val="14FE5F5C"/>
    <w:rsid w:val="15015A4D"/>
    <w:rsid w:val="150D2643"/>
    <w:rsid w:val="152A0AFF"/>
    <w:rsid w:val="152A4FA3"/>
    <w:rsid w:val="1530464E"/>
    <w:rsid w:val="1537321C"/>
    <w:rsid w:val="15393438"/>
    <w:rsid w:val="154222ED"/>
    <w:rsid w:val="15453B8B"/>
    <w:rsid w:val="1549629B"/>
    <w:rsid w:val="15542020"/>
    <w:rsid w:val="155E4C4D"/>
    <w:rsid w:val="15601E59"/>
    <w:rsid w:val="156272CA"/>
    <w:rsid w:val="15725B0C"/>
    <w:rsid w:val="158C5316"/>
    <w:rsid w:val="15A308B2"/>
    <w:rsid w:val="15AD5A80"/>
    <w:rsid w:val="15BC77BA"/>
    <w:rsid w:val="15BD308B"/>
    <w:rsid w:val="15BE4B4E"/>
    <w:rsid w:val="15BF393E"/>
    <w:rsid w:val="15C251DC"/>
    <w:rsid w:val="15C9656A"/>
    <w:rsid w:val="15F335E7"/>
    <w:rsid w:val="15FF3D3A"/>
    <w:rsid w:val="1605735B"/>
    <w:rsid w:val="16115567"/>
    <w:rsid w:val="161355EE"/>
    <w:rsid w:val="162A2BB3"/>
    <w:rsid w:val="16351E52"/>
    <w:rsid w:val="163C048F"/>
    <w:rsid w:val="163F4A7E"/>
    <w:rsid w:val="16495EC0"/>
    <w:rsid w:val="1672708F"/>
    <w:rsid w:val="16893F4C"/>
    <w:rsid w:val="16985257"/>
    <w:rsid w:val="16A3500D"/>
    <w:rsid w:val="16AB5C70"/>
    <w:rsid w:val="16B5089D"/>
    <w:rsid w:val="16C3120C"/>
    <w:rsid w:val="16CA6DA1"/>
    <w:rsid w:val="16D068C0"/>
    <w:rsid w:val="16D90A2F"/>
    <w:rsid w:val="16DC4732"/>
    <w:rsid w:val="16E64EFA"/>
    <w:rsid w:val="16EB0762"/>
    <w:rsid w:val="16F92E7F"/>
    <w:rsid w:val="17033CFE"/>
    <w:rsid w:val="172637E2"/>
    <w:rsid w:val="172C7ABC"/>
    <w:rsid w:val="17326391"/>
    <w:rsid w:val="174301E0"/>
    <w:rsid w:val="17431B15"/>
    <w:rsid w:val="176C53FF"/>
    <w:rsid w:val="17840FA8"/>
    <w:rsid w:val="1787048B"/>
    <w:rsid w:val="17B2302E"/>
    <w:rsid w:val="17BC4996"/>
    <w:rsid w:val="17BE66B3"/>
    <w:rsid w:val="17C52D61"/>
    <w:rsid w:val="17FE3ED2"/>
    <w:rsid w:val="18043214"/>
    <w:rsid w:val="180F1325"/>
    <w:rsid w:val="18194E5B"/>
    <w:rsid w:val="18371EB1"/>
    <w:rsid w:val="183F7B02"/>
    <w:rsid w:val="186405ED"/>
    <w:rsid w:val="18707572"/>
    <w:rsid w:val="188D6BE7"/>
    <w:rsid w:val="18A1732B"/>
    <w:rsid w:val="18B3705E"/>
    <w:rsid w:val="18C13529"/>
    <w:rsid w:val="18CE57E9"/>
    <w:rsid w:val="18CF2C0D"/>
    <w:rsid w:val="18D55226"/>
    <w:rsid w:val="18F64A8A"/>
    <w:rsid w:val="18FE1172"/>
    <w:rsid w:val="190115AA"/>
    <w:rsid w:val="19063631"/>
    <w:rsid w:val="1912054B"/>
    <w:rsid w:val="19181366"/>
    <w:rsid w:val="19235F91"/>
    <w:rsid w:val="19297320"/>
    <w:rsid w:val="192F0DDA"/>
    <w:rsid w:val="193A32DB"/>
    <w:rsid w:val="19402492"/>
    <w:rsid w:val="1954439D"/>
    <w:rsid w:val="195F3CB4"/>
    <w:rsid w:val="19634836"/>
    <w:rsid w:val="19666E36"/>
    <w:rsid w:val="19784B89"/>
    <w:rsid w:val="198729C4"/>
    <w:rsid w:val="198D5EB3"/>
    <w:rsid w:val="19B23522"/>
    <w:rsid w:val="19C659EC"/>
    <w:rsid w:val="19EE2754"/>
    <w:rsid w:val="19F33BB6"/>
    <w:rsid w:val="19F636A6"/>
    <w:rsid w:val="1A0F1779"/>
    <w:rsid w:val="1A1B309C"/>
    <w:rsid w:val="1A2114F1"/>
    <w:rsid w:val="1A312E6E"/>
    <w:rsid w:val="1A6B6059"/>
    <w:rsid w:val="1A703458"/>
    <w:rsid w:val="1A7071CB"/>
    <w:rsid w:val="1A840CB2"/>
    <w:rsid w:val="1AC13CB4"/>
    <w:rsid w:val="1AC178FE"/>
    <w:rsid w:val="1AC92C2E"/>
    <w:rsid w:val="1AFD0A64"/>
    <w:rsid w:val="1B02691D"/>
    <w:rsid w:val="1B0911B7"/>
    <w:rsid w:val="1B124510"/>
    <w:rsid w:val="1B32630D"/>
    <w:rsid w:val="1B397CEE"/>
    <w:rsid w:val="1B3F2E2B"/>
    <w:rsid w:val="1B650AE3"/>
    <w:rsid w:val="1B835408"/>
    <w:rsid w:val="1B8F437C"/>
    <w:rsid w:val="1BA717D5"/>
    <w:rsid w:val="1BD23DB7"/>
    <w:rsid w:val="1BF43C15"/>
    <w:rsid w:val="1C073948"/>
    <w:rsid w:val="1C40430A"/>
    <w:rsid w:val="1C44694B"/>
    <w:rsid w:val="1C4E7BFF"/>
    <w:rsid w:val="1C502276"/>
    <w:rsid w:val="1C547A1A"/>
    <w:rsid w:val="1C715266"/>
    <w:rsid w:val="1C837C6F"/>
    <w:rsid w:val="1CAD1404"/>
    <w:rsid w:val="1CB6711D"/>
    <w:rsid w:val="1CCD20B8"/>
    <w:rsid w:val="1CE20B23"/>
    <w:rsid w:val="1CE249B0"/>
    <w:rsid w:val="1CF23B33"/>
    <w:rsid w:val="1D2F5149"/>
    <w:rsid w:val="1D3544E5"/>
    <w:rsid w:val="1D57752E"/>
    <w:rsid w:val="1D666D95"/>
    <w:rsid w:val="1D890267"/>
    <w:rsid w:val="1D983E8B"/>
    <w:rsid w:val="1D9F3948"/>
    <w:rsid w:val="1D9F5E03"/>
    <w:rsid w:val="1DC54682"/>
    <w:rsid w:val="1DCA2E80"/>
    <w:rsid w:val="1DEC41D0"/>
    <w:rsid w:val="1DF95513"/>
    <w:rsid w:val="1E0B6B14"/>
    <w:rsid w:val="1E0D2D11"/>
    <w:rsid w:val="1E196020"/>
    <w:rsid w:val="1E2A22F5"/>
    <w:rsid w:val="1E3D3907"/>
    <w:rsid w:val="1E530088"/>
    <w:rsid w:val="1E5817D5"/>
    <w:rsid w:val="1E6D33C6"/>
    <w:rsid w:val="1E8E65A3"/>
    <w:rsid w:val="1E9911BB"/>
    <w:rsid w:val="1EC10726"/>
    <w:rsid w:val="1EC73863"/>
    <w:rsid w:val="1ECB5101"/>
    <w:rsid w:val="1EE2069D"/>
    <w:rsid w:val="1EFA0816"/>
    <w:rsid w:val="1F106593"/>
    <w:rsid w:val="1F282554"/>
    <w:rsid w:val="1F32678F"/>
    <w:rsid w:val="1F394DBF"/>
    <w:rsid w:val="1F3C7DAD"/>
    <w:rsid w:val="1F461FF1"/>
    <w:rsid w:val="1F4B7AAA"/>
    <w:rsid w:val="1F4C5B16"/>
    <w:rsid w:val="1F6B0E21"/>
    <w:rsid w:val="1F707A57"/>
    <w:rsid w:val="1F7763D6"/>
    <w:rsid w:val="1F82670B"/>
    <w:rsid w:val="1FB301B8"/>
    <w:rsid w:val="1FBD15B5"/>
    <w:rsid w:val="1FD20711"/>
    <w:rsid w:val="1FDC6E9A"/>
    <w:rsid w:val="1FE12702"/>
    <w:rsid w:val="1FE530DF"/>
    <w:rsid w:val="1FEA15B7"/>
    <w:rsid w:val="20104D96"/>
    <w:rsid w:val="20124FB2"/>
    <w:rsid w:val="20190B4B"/>
    <w:rsid w:val="2033439C"/>
    <w:rsid w:val="204109E0"/>
    <w:rsid w:val="20457135"/>
    <w:rsid w:val="2063580D"/>
    <w:rsid w:val="206F25E0"/>
    <w:rsid w:val="20937EA1"/>
    <w:rsid w:val="209F1AEB"/>
    <w:rsid w:val="20DD4AF0"/>
    <w:rsid w:val="210B3A03"/>
    <w:rsid w:val="210E20A1"/>
    <w:rsid w:val="215A276C"/>
    <w:rsid w:val="216B497A"/>
    <w:rsid w:val="217355DC"/>
    <w:rsid w:val="21747CD2"/>
    <w:rsid w:val="21781B73"/>
    <w:rsid w:val="2181419D"/>
    <w:rsid w:val="21821CC3"/>
    <w:rsid w:val="2186530F"/>
    <w:rsid w:val="21BD3CB3"/>
    <w:rsid w:val="21C9596D"/>
    <w:rsid w:val="21CD3ED2"/>
    <w:rsid w:val="21E25450"/>
    <w:rsid w:val="22173A61"/>
    <w:rsid w:val="222039B6"/>
    <w:rsid w:val="222E6603"/>
    <w:rsid w:val="223E2636"/>
    <w:rsid w:val="22484CBB"/>
    <w:rsid w:val="22590F60"/>
    <w:rsid w:val="2265303A"/>
    <w:rsid w:val="22916662"/>
    <w:rsid w:val="229200FF"/>
    <w:rsid w:val="22A159CC"/>
    <w:rsid w:val="22B66234"/>
    <w:rsid w:val="22BD2FB3"/>
    <w:rsid w:val="230F6D23"/>
    <w:rsid w:val="231132FF"/>
    <w:rsid w:val="23142AB9"/>
    <w:rsid w:val="23180CEC"/>
    <w:rsid w:val="231F1064"/>
    <w:rsid w:val="232079E6"/>
    <w:rsid w:val="2348022F"/>
    <w:rsid w:val="23752A5C"/>
    <w:rsid w:val="237A2BC2"/>
    <w:rsid w:val="238E3A20"/>
    <w:rsid w:val="2393047F"/>
    <w:rsid w:val="239E369C"/>
    <w:rsid w:val="23BA1BE8"/>
    <w:rsid w:val="23CB16FF"/>
    <w:rsid w:val="23D46168"/>
    <w:rsid w:val="23F31FF5"/>
    <w:rsid w:val="23F76E61"/>
    <w:rsid w:val="24171C81"/>
    <w:rsid w:val="242A41CC"/>
    <w:rsid w:val="24431BDE"/>
    <w:rsid w:val="24457704"/>
    <w:rsid w:val="24511899"/>
    <w:rsid w:val="24521E21"/>
    <w:rsid w:val="248C64D6"/>
    <w:rsid w:val="249B5E79"/>
    <w:rsid w:val="24A85EE5"/>
    <w:rsid w:val="24B228BF"/>
    <w:rsid w:val="24B86831"/>
    <w:rsid w:val="24C26FA6"/>
    <w:rsid w:val="24D25416"/>
    <w:rsid w:val="24E72569"/>
    <w:rsid w:val="24F42ED8"/>
    <w:rsid w:val="25046AA6"/>
    <w:rsid w:val="251F04F4"/>
    <w:rsid w:val="252319CD"/>
    <w:rsid w:val="25493224"/>
    <w:rsid w:val="257D7D42"/>
    <w:rsid w:val="2591032D"/>
    <w:rsid w:val="25A141D9"/>
    <w:rsid w:val="25C127B2"/>
    <w:rsid w:val="25CA126D"/>
    <w:rsid w:val="25E4418B"/>
    <w:rsid w:val="26127ABA"/>
    <w:rsid w:val="263F63D5"/>
    <w:rsid w:val="26656210"/>
    <w:rsid w:val="266911AA"/>
    <w:rsid w:val="26702988"/>
    <w:rsid w:val="267918E7"/>
    <w:rsid w:val="26804A23"/>
    <w:rsid w:val="2688125E"/>
    <w:rsid w:val="26A824C5"/>
    <w:rsid w:val="26B50445"/>
    <w:rsid w:val="26CA0394"/>
    <w:rsid w:val="26D6731F"/>
    <w:rsid w:val="26D703BB"/>
    <w:rsid w:val="271E5FEA"/>
    <w:rsid w:val="272C4BAB"/>
    <w:rsid w:val="273B57AB"/>
    <w:rsid w:val="274D2AA1"/>
    <w:rsid w:val="27583E46"/>
    <w:rsid w:val="27651E6B"/>
    <w:rsid w:val="277A31ED"/>
    <w:rsid w:val="277F4CDB"/>
    <w:rsid w:val="277F62A9"/>
    <w:rsid w:val="279D33D4"/>
    <w:rsid w:val="279E5E91"/>
    <w:rsid w:val="27A91D58"/>
    <w:rsid w:val="27B14B3F"/>
    <w:rsid w:val="27CB3E4F"/>
    <w:rsid w:val="27E366FA"/>
    <w:rsid w:val="27E965F8"/>
    <w:rsid w:val="27F21951"/>
    <w:rsid w:val="27F80D1D"/>
    <w:rsid w:val="27FC457D"/>
    <w:rsid w:val="2815088A"/>
    <w:rsid w:val="281F64BE"/>
    <w:rsid w:val="282C42AE"/>
    <w:rsid w:val="28304AFE"/>
    <w:rsid w:val="283E4C16"/>
    <w:rsid w:val="288503DE"/>
    <w:rsid w:val="288B7ED6"/>
    <w:rsid w:val="288D78CB"/>
    <w:rsid w:val="288E0F4E"/>
    <w:rsid w:val="28920A3E"/>
    <w:rsid w:val="28991DCC"/>
    <w:rsid w:val="289E7654"/>
    <w:rsid w:val="28D9666D"/>
    <w:rsid w:val="28DB4ED5"/>
    <w:rsid w:val="28DD71BF"/>
    <w:rsid w:val="28EC78EA"/>
    <w:rsid w:val="28F33BD2"/>
    <w:rsid w:val="28FB2A87"/>
    <w:rsid w:val="291C66BC"/>
    <w:rsid w:val="29447FC3"/>
    <w:rsid w:val="294C28E5"/>
    <w:rsid w:val="294C79FA"/>
    <w:rsid w:val="29622B06"/>
    <w:rsid w:val="296F6FD1"/>
    <w:rsid w:val="297A6669"/>
    <w:rsid w:val="29946A38"/>
    <w:rsid w:val="2996630C"/>
    <w:rsid w:val="29A46C7B"/>
    <w:rsid w:val="29A7676B"/>
    <w:rsid w:val="29B328DF"/>
    <w:rsid w:val="29B53E69"/>
    <w:rsid w:val="29BC6C83"/>
    <w:rsid w:val="29E259F5"/>
    <w:rsid w:val="29E32F33"/>
    <w:rsid w:val="29E4351B"/>
    <w:rsid w:val="29E928DF"/>
    <w:rsid w:val="29F36631"/>
    <w:rsid w:val="29F666F3"/>
    <w:rsid w:val="2A195C85"/>
    <w:rsid w:val="2A1F27A5"/>
    <w:rsid w:val="2A2E29E8"/>
    <w:rsid w:val="2A467D32"/>
    <w:rsid w:val="2A6E404E"/>
    <w:rsid w:val="2A6F57B4"/>
    <w:rsid w:val="2AA169FC"/>
    <w:rsid w:val="2AC0716E"/>
    <w:rsid w:val="2AD57308"/>
    <w:rsid w:val="2ADB4165"/>
    <w:rsid w:val="2AF07C9E"/>
    <w:rsid w:val="2B084612"/>
    <w:rsid w:val="2B1E0CAF"/>
    <w:rsid w:val="2B2B1B0B"/>
    <w:rsid w:val="2B3B360F"/>
    <w:rsid w:val="2B545B6B"/>
    <w:rsid w:val="2B6109B1"/>
    <w:rsid w:val="2B631296"/>
    <w:rsid w:val="2B683CD8"/>
    <w:rsid w:val="2B69724D"/>
    <w:rsid w:val="2B717030"/>
    <w:rsid w:val="2B746B21"/>
    <w:rsid w:val="2B7803BF"/>
    <w:rsid w:val="2B803219"/>
    <w:rsid w:val="2B8300D1"/>
    <w:rsid w:val="2B960845"/>
    <w:rsid w:val="2BA001EC"/>
    <w:rsid w:val="2BBB64FD"/>
    <w:rsid w:val="2BEF4305"/>
    <w:rsid w:val="2BF47BC7"/>
    <w:rsid w:val="2BFB4B4C"/>
    <w:rsid w:val="2C0564E9"/>
    <w:rsid w:val="2C387018"/>
    <w:rsid w:val="2C46158D"/>
    <w:rsid w:val="2C4B162F"/>
    <w:rsid w:val="2C4B6E30"/>
    <w:rsid w:val="2C506C46"/>
    <w:rsid w:val="2C66335D"/>
    <w:rsid w:val="2C994A91"/>
    <w:rsid w:val="2CA376BD"/>
    <w:rsid w:val="2CCF7BC9"/>
    <w:rsid w:val="2CD77367"/>
    <w:rsid w:val="2CDC497D"/>
    <w:rsid w:val="2CF00348"/>
    <w:rsid w:val="2D095047"/>
    <w:rsid w:val="2D0B3CC9"/>
    <w:rsid w:val="2D280F3A"/>
    <w:rsid w:val="2D2A3A58"/>
    <w:rsid w:val="2D2E54AB"/>
    <w:rsid w:val="2D355E3C"/>
    <w:rsid w:val="2D744BB6"/>
    <w:rsid w:val="2D74779D"/>
    <w:rsid w:val="2D86669E"/>
    <w:rsid w:val="2D8A19E2"/>
    <w:rsid w:val="2D9D3074"/>
    <w:rsid w:val="2DA21448"/>
    <w:rsid w:val="2DAC07F4"/>
    <w:rsid w:val="2DB065D4"/>
    <w:rsid w:val="2DB11966"/>
    <w:rsid w:val="2DB33BE0"/>
    <w:rsid w:val="2DC07DFB"/>
    <w:rsid w:val="2DE955A4"/>
    <w:rsid w:val="2DEC44D5"/>
    <w:rsid w:val="2E262354"/>
    <w:rsid w:val="2E2A1718"/>
    <w:rsid w:val="2E3353CE"/>
    <w:rsid w:val="2E35513F"/>
    <w:rsid w:val="2E3B3926"/>
    <w:rsid w:val="2E7C6418"/>
    <w:rsid w:val="2E803CDF"/>
    <w:rsid w:val="2E821554"/>
    <w:rsid w:val="2E8B43DD"/>
    <w:rsid w:val="2E8E614B"/>
    <w:rsid w:val="2E913546"/>
    <w:rsid w:val="2EA21F41"/>
    <w:rsid w:val="2EAC2B1A"/>
    <w:rsid w:val="2EBE6832"/>
    <w:rsid w:val="2EE01601"/>
    <w:rsid w:val="2EE66ADC"/>
    <w:rsid w:val="2EEE4E16"/>
    <w:rsid w:val="2EF05516"/>
    <w:rsid w:val="2EF6629B"/>
    <w:rsid w:val="2F0B32F8"/>
    <w:rsid w:val="2F394933"/>
    <w:rsid w:val="2F3E7229"/>
    <w:rsid w:val="2F476406"/>
    <w:rsid w:val="2F6552D5"/>
    <w:rsid w:val="2F745341"/>
    <w:rsid w:val="2F7D1D48"/>
    <w:rsid w:val="2F7E1D1C"/>
    <w:rsid w:val="2F860BD0"/>
    <w:rsid w:val="2F8B146B"/>
    <w:rsid w:val="2F974B8C"/>
    <w:rsid w:val="2FB92D54"/>
    <w:rsid w:val="2FDB3FE5"/>
    <w:rsid w:val="2FE53727"/>
    <w:rsid w:val="2FE71A7E"/>
    <w:rsid w:val="2FEA5603"/>
    <w:rsid w:val="2FED1CAC"/>
    <w:rsid w:val="2FEF017F"/>
    <w:rsid w:val="2FF95846"/>
    <w:rsid w:val="300A1801"/>
    <w:rsid w:val="30114FA0"/>
    <w:rsid w:val="302C5AA2"/>
    <w:rsid w:val="303038FF"/>
    <w:rsid w:val="304F751B"/>
    <w:rsid w:val="306058C5"/>
    <w:rsid w:val="30B15DD3"/>
    <w:rsid w:val="30C419B0"/>
    <w:rsid w:val="30D37E45"/>
    <w:rsid w:val="30DD0CC4"/>
    <w:rsid w:val="30E00386"/>
    <w:rsid w:val="30F50A08"/>
    <w:rsid w:val="30FE1366"/>
    <w:rsid w:val="30FE3FBB"/>
    <w:rsid w:val="310B3A83"/>
    <w:rsid w:val="31172428"/>
    <w:rsid w:val="311A6C35"/>
    <w:rsid w:val="311D0F11"/>
    <w:rsid w:val="31295CB7"/>
    <w:rsid w:val="312E6075"/>
    <w:rsid w:val="31413001"/>
    <w:rsid w:val="3159659D"/>
    <w:rsid w:val="31682C84"/>
    <w:rsid w:val="318D6246"/>
    <w:rsid w:val="319677F1"/>
    <w:rsid w:val="31AD0696"/>
    <w:rsid w:val="31BB38C3"/>
    <w:rsid w:val="31D504E7"/>
    <w:rsid w:val="31EB11BF"/>
    <w:rsid w:val="32304484"/>
    <w:rsid w:val="32313075"/>
    <w:rsid w:val="323B0398"/>
    <w:rsid w:val="32496611"/>
    <w:rsid w:val="326362A1"/>
    <w:rsid w:val="32A25D21"/>
    <w:rsid w:val="32AE46C6"/>
    <w:rsid w:val="32B617CD"/>
    <w:rsid w:val="32BD63B6"/>
    <w:rsid w:val="32BE4628"/>
    <w:rsid w:val="32CE73F5"/>
    <w:rsid w:val="32D54349"/>
    <w:rsid w:val="32FF13C6"/>
    <w:rsid w:val="330F38EF"/>
    <w:rsid w:val="33171DBF"/>
    <w:rsid w:val="33291F9F"/>
    <w:rsid w:val="33354DE7"/>
    <w:rsid w:val="334039A9"/>
    <w:rsid w:val="33423060"/>
    <w:rsid w:val="335313EB"/>
    <w:rsid w:val="33686F6B"/>
    <w:rsid w:val="336A6582"/>
    <w:rsid w:val="33706108"/>
    <w:rsid w:val="338213DC"/>
    <w:rsid w:val="33863895"/>
    <w:rsid w:val="33895B66"/>
    <w:rsid w:val="33927C6E"/>
    <w:rsid w:val="33BF2903"/>
    <w:rsid w:val="33D003D2"/>
    <w:rsid w:val="340B78F6"/>
    <w:rsid w:val="341625FE"/>
    <w:rsid w:val="34225E05"/>
    <w:rsid w:val="343905B2"/>
    <w:rsid w:val="343C3F54"/>
    <w:rsid w:val="344A61E6"/>
    <w:rsid w:val="348C6EF7"/>
    <w:rsid w:val="34951FE2"/>
    <w:rsid w:val="34BF2BBB"/>
    <w:rsid w:val="34E04134"/>
    <w:rsid w:val="34FF026D"/>
    <w:rsid w:val="350E39CC"/>
    <w:rsid w:val="3513554F"/>
    <w:rsid w:val="35332C60"/>
    <w:rsid w:val="35377484"/>
    <w:rsid w:val="35380BBF"/>
    <w:rsid w:val="3545783E"/>
    <w:rsid w:val="35523A2F"/>
    <w:rsid w:val="356C32BC"/>
    <w:rsid w:val="35773495"/>
    <w:rsid w:val="357D19C7"/>
    <w:rsid w:val="35847960"/>
    <w:rsid w:val="35885CAA"/>
    <w:rsid w:val="358D4A67"/>
    <w:rsid w:val="359978AF"/>
    <w:rsid w:val="35BC6C18"/>
    <w:rsid w:val="35CE677A"/>
    <w:rsid w:val="35E0075A"/>
    <w:rsid w:val="35F40F8A"/>
    <w:rsid w:val="35FB549E"/>
    <w:rsid w:val="36105F41"/>
    <w:rsid w:val="361C5DEB"/>
    <w:rsid w:val="3623361D"/>
    <w:rsid w:val="363E3FB3"/>
    <w:rsid w:val="364A0BAA"/>
    <w:rsid w:val="364F7F6E"/>
    <w:rsid w:val="365437D6"/>
    <w:rsid w:val="365B2DB7"/>
    <w:rsid w:val="36985DB9"/>
    <w:rsid w:val="369972A5"/>
    <w:rsid w:val="36A24542"/>
    <w:rsid w:val="36B44275"/>
    <w:rsid w:val="36C118C7"/>
    <w:rsid w:val="36DB70C1"/>
    <w:rsid w:val="36EE5F15"/>
    <w:rsid w:val="36EE6E0B"/>
    <w:rsid w:val="37070849"/>
    <w:rsid w:val="37447AFC"/>
    <w:rsid w:val="37461371"/>
    <w:rsid w:val="37684B66"/>
    <w:rsid w:val="37BE35FD"/>
    <w:rsid w:val="3849635A"/>
    <w:rsid w:val="3856655E"/>
    <w:rsid w:val="3862042D"/>
    <w:rsid w:val="388760E5"/>
    <w:rsid w:val="38877E93"/>
    <w:rsid w:val="388E6EB6"/>
    <w:rsid w:val="38912AC0"/>
    <w:rsid w:val="38AD71CE"/>
    <w:rsid w:val="38D44413"/>
    <w:rsid w:val="38DE1A7D"/>
    <w:rsid w:val="38F51FB5"/>
    <w:rsid w:val="39113C01"/>
    <w:rsid w:val="3922196A"/>
    <w:rsid w:val="393E158B"/>
    <w:rsid w:val="395A7356"/>
    <w:rsid w:val="39616936"/>
    <w:rsid w:val="396310BC"/>
    <w:rsid w:val="39672100"/>
    <w:rsid w:val="396B624B"/>
    <w:rsid w:val="397523E2"/>
    <w:rsid w:val="39CE564E"/>
    <w:rsid w:val="39DB4D3F"/>
    <w:rsid w:val="39E84998"/>
    <w:rsid w:val="39F72AA6"/>
    <w:rsid w:val="3A52627F"/>
    <w:rsid w:val="3A7E0E22"/>
    <w:rsid w:val="3A842F21"/>
    <w:rsid w:val="3A881B4D"/>
    <w:rsid w:val="3A8C34F5"/>
    <w:rsid w:val="3A9D44F8"/>
    <w:rsid w:val="3AA7481D"/>
    <w:rsid w:val="3B000D0D"/>
    <w:rsid w:val="3B203383"/>
    <w:rsid w:val="3B2A2EBA"/>
    <w:rsid w:val="3B5F50F7"/>
    <w:rsid w:val="3B657F1A"/>
    <w:rsid w:val="3B673FAC"/>
    <w:rsid w:val="3B714E2B"/>
    <w:rsid w:val="3B755E1C"/>
    <w:rsid w:val="3B7C7A57"/>
    <w:rsid w:val="3B8763FC"/>
    <w:rsid w:val="3BCC3E0F"/>
    <w:rsid w:val="3BD31641"/>
    <w:rsid w:val="3BE4509D"/>
    <w:rsid w:val="3C065573"/>
    <w:rsid w:val="3C132CEC"/>
    <w:rsid w:val="3C382EA6"/>
    <w:rsid w:val="3C3F0879"/>
    <w:rsid w:val="3C467EDC"/>
    <w:rsid w:val="3C491158"/>
    <w:rsid w:val="3C4B567C"/>
    <w:rsid w:val="3C4E6B01"/>
    <w:rsid w:val="3C5376C9"/>
    <w:rsid w:val="3C616FBF"/>
    <w:rsid w:val="3C834E15"/>
    <w:rsid w:val="3CCB6F50"/>
    <w:rsid w:val="3CDA3B31"/>
    <w:rsid w:val="3CE753A4"/>
    <w:rsid w:val="3CF6307E"/>
    <w:rsid w:val="3D00361B"/>
    <w:rsid w:val="3D1C7A6A"/>
    <w:rsid w:val="3D263B7E"/>
    <w:rsid w:val="3DFB619C"/>
    <w:rsid w:val="3E0028BE"/>
    <w:rsid w:val="3E087AFF"/>
    <w:rsid w:val="3E135D25"/>
    <w:rsid w:val="3E247F32"/>
    <w:rsid w:val="3E300685"/>
    <w:rsid w:val="3E3A53D6"/>
    <w:rsid w:val="3E3C1720"/>
    <w:rsid w:val="3E587BDC"/>
    <w:rsid w:val="3E5C71BE"/>
    <w:rsid w:val="3E6B5B61"/>
    <w:rsid w:val="3E7B1D30"/>
    <w:rsid w:val="3E7D08A4"/>
    <w:rsid w:val="3E7F1C53"/>
    <w:rsid w:val="3E8420C0"/>
    <w:rsid w:val="3E84358E"/>
    <w:rsid w:val="3E8804C1"/>
    <w:rsid w:val="3E8D4867"/>
    <w:rsid w:val="3E9926CE"/>
    <w:rsid w:val="3EB63280"/>
    <w:rsid w:val="3EBA45CD"/>
    <w:rsid w:val="3ECA0ADA"/>
    <w:rsid w:val="3ED6747E"/>
    <w:rsid w:val="3EDA1C30"/>
    <w:rsid w:val="3EF23B8C"/>
    <w:rsid w:val="3F0F473E"/>
    <w:rsid w:val="3F116709"/>
    <w:rsid w:val="3F15089E"/>
    <w:rsid w:val="3F24079A"/>
    <w:rsid w:val="3F3423F7"/>
    <w:rsid w:val="3F592485"/>
    <w:rsid w:val="3F6A7BC7"/>
    <w:rsid w:val="3F6E3246"/>
    <w:rsid w:val="3F93711E"/>
    <w:rsid w:val="3FAA77CD"/>
    <w:rsid w:val="3FAC6431"/>
    <w:rsid w:val="3FB672B0"/>
    <w:rsid w:val="3FBB1AFC"/>
    <w:rsid w:val="3FBB501D"/>
    <w:rsid w:val="3FD22942"/>
    <w:rsid w:val="3FE51248"/>
    <w:rsid w:val="3FF74D1A"/>
    <w:rsid w:val="40167D4F"/>
    <w:rsid w:val="402A3D42"/>
    <w:rsid w:val="403C3AF9"/>
    <w:rsid w:val="404B17A6"/>
    <w:rsid w:val="40730CFD"/>
    <w:rsid w:val="409F1AF2"/>
    <w:rsid w:val="40AB527F"/>
    <w:rsid w:val="40AF29F5"/>
    <w:rsid w:val="40B01F51"/>
    <w:rsid w:val="40E51BFB"/>
    <w:rsid w:val="40EC35AD"/>
    <w:rsid w:val="40FC6F44"/>
    <w:rsid w:val="40FF07E3"/>
    <w:rsid w:val="410858E9"/>
    <w:rsid w:val="410B7A2A"/>
    <w:rsid w:val="4110479E"/>
    <w:rsid w:val="41120440"/>
    <w:rsid w:val="414F554A"/>
    <w:rsid w:val="415D5C35"/>
    <w:rsid w:val="41615C8E"/>
    <w:rsid w:val="417D62D7"/>
    <w:rsid w:val="41AF633F"/>
    <w:rsid w:val="41BB52E8"/>
    <w:rsid w:val="41C932CA"/>
    <w:rsid w:val="41E77BF5"/>
    <w:rsid w:val="42024A2E"/>
    <w:rsid w:val="421309EA"/>
    <w:rsid w:val="422B536F"/>
    <w:rsid w:val="423367EC"/>
    <w:rsid w:val="42347097"/>
    <w:rsid w:val="42360E2D"/>
    <w:rsid w:val="42720877"/>
    <w:rsid w:val="427C033D"/>
    <w:rsid w:val="42820C6E"/>
    <w:rsid w:val="428365DA"/>
    <w:rsid w:val="429733C9"/>
    <w:rsid w:val="42975177"/>
    <w:rsid w:val="429E4757"/>
    <w:rsid w:val="42A77135"/>
    <w:rsid w:val="42A87384"/>
    <w:rsid w:val="42AB0C22"/>
    <w:rsid w:val="42B63434"/>
    <w:rsid w:val="42D261AF"/>
    <w:rsid w:val="42EA799C"/>
    <w:rsid w:val="42FA74B4"/>
    <w:rsid w:val="43144024"/>
    <w:rsid w:val="43160791"/>
    <w:rsid w:val="43466528"/>
    <w:rsid w:val="434B5F61"/>
    <w:rsid w:val="436A288B"/>
    <w:rsid w:val="43813731"/>
    <w:rsid w:val="4386364A"/>
    <w:rsid w:val="43866F99"/>
    <w:rsid w:val="4394647B"/>
    <w:rsid w:val="43AC4C52"/>
    <w:rsid w:val="43BE7BF8"/>
    <w:rsid w:val="43E91A02"/>
    <w:rsid w:val="43EC32A0"/>
    <w:rsid w:val="43FD53EB"/>
    <w:rsid w:val="440227A4"/>
    <w:rsid w:val="44022AC4"/>
    <w:rsid w:val="441C7055"/>
    <w:rsid w:val="443B6D8D"/>
    <w:rsid w:val="44425260"/>
    <w:rsid w:val="44596560"/>
    <w:rsid w:val="44676DCB"/>
    <w:rsid w:val="446A0B9F"/>
    <w:rsid w:val="447137A5"/>
    <w:rsid w:val="44780FD8"/>
    <w:rsid w:val="44962EB9"/>
    <w:rsid w:val="44B22807"/>
    <w:rsid w:val="44E05E87"/>
    <w:rsid w:val="44F03A61"/>
    <w:rsid w:val="45004FE0"/>
    <w:rsid w:val="45054B98"/>
    <w:rsid w:val="451172DF"/>
    <w:rsid w:val="45237196"/>
    <w:rsid w:val="45351F4C"/>
    <w:rsid w:val="4545710C"/>
    <w:rsid w:val="45482758"/>
    <w:rsid w:val="456D21BF"/>
    <w:rsid w:val="456F798C"/>
    <w:rsid w:val="45790B64"/>
    <w:rsid w:val="45800144"/>
    <w:rsid w:val="458277D9"/>
    <w:rsid w:val="458A20DC"/>
    <w:rsid w:val="458A2D71"/>
    <w:rsid w:val="459260C9"/>
    <w:rsid w:val="45992FB4"/>
    <w:rsid w:val="45997675"/>
    <w:rsid w:val="45A7266E"/>
    <w:rsid w:val="45FE3BDD"/>
    <w:rsid w:val="46014AC2"/>
    <w:rsid w:val="4622661C"/>
    <w:rsid w:val="462417D4"/>
    <w:rsid w:val="462431C5"/>
    <w:rsid w:val="46340F2E"/>
    <w:rsid w:val="4646138E"/>
    <w:rsid w:val="46736916"/>
    <w:rsid w:val="46804174"/>
    <w:rsid w:val="46804AC7"/>
    <w:rsid w:val="46933EA7"/>
    <w:rsid w:val="46A77952"/>
    <w:rsid w:val="46A8524F"/>
    <w:rsid w:val="46BA7AAE"/>
    <w:rsid w:val="46BF4C9C"/>
    <w:rsid w:val="46C329DE"/>
    <w:rsid w:val="46E82445"/>
    <w:rsid w:val="46EC6EC7"/>
    <w:rsid w:val="46F7426B"/>
    <w:rsid w:val="470D3949"/>
    <w:rsid w:val="472B40E0"/>
    <w:rsid w:val="473C009B"/>
    <w:rsid w:val="47655050"/>
    <w:rsid w:val="476D46F8"/>
    <w:rsid w:val="476F5AF6"/>
    <w:rsid w:val="47857C94"/>
    <w:rsid w:val="47A17788"/>
    <w:rsid w:val="47AF6ABF"/>
    <w:rsid w:val="47C50090"/>
    <w:rsid w:val="47C66CE2"/>
    <w:rsid w:val="47CD33E9"/>
    <w:rsid w:val="47EF335F"/>
    <w:rsid w:val="47F26803"/>
    <w:rsid w:val="4819662E"/>
    <w:rsid w:val="482A01F0"/>
    <w:rsid w:val="483D40CA"/>
    <w:rsid w:val="48474F49"/>
    <w:rsid w:val="485537D0"/>
    <w:rsid w:val="486378A9"/>
    <w:rsid w:val="486A4186"/>
    <w:rsid w:val="488B752C"/>
    <w:rsid w:val="488F6E02"/>
    <w:rsid w:val="48AB62AA"/>
    <w:rsid w:val="48AC276E"/>
    <w:rsid w:val="48BF0F83"/>
    <w:rsid w:val="48C77E38"/>
    <w:rsid w:val="48CE566A"/>
    <w:rsid w:val="48D04F3E"/>
    <w:rsid w:val="48E409EA"/>
    <w:rsid w:val="48FD385A"/>
    <w:rsid w:val="491A4E19"/>
    <w:rsid w:val="49353CB9"/>
    <w:rsid w:val="49522931"/>
    <w:rsid w:val="496438D9"/>
    <w:rsid w:val="49746212"/>
    <w:rsid w:val="497B724F"/>
    <w:rsid w:val="499654D7"/>
    <w:rsid w:val="49CE4323"/>
    <w:rsid w:val="49E30CA1"/>
    <w:rsid w:val="49FA4868"/>
    <w:rsid w:val="49FC1D63"/>
    <w:rsid w:val="4A064990"/>
    <w:rsid w:val="4A077577"/>
    <w:rsid w:val="4A184738"/>
    <w:rsid w:val="4A243541"/>
    <w:rsid w:val="4A396B13"/>
    <w:rsid w:val="4A4215A5"/>
    <w:rsid w:val="4A4D0811"/>
    <w:rsid w:val="4A523152"/>
    <w:rsid w:val="4A543274"/>
    <w:rsid w:val="4A783AE0"/>
    <w:rsid w:val="4A881BC7"/>
    <w:rsid w:val="4A922C3C"/>
    <w:rsid w:val="4A9C268A"/>
    <w:rsid w:val="4AB12B4E"/>
    <w:rsid w:val="4AB368C6"/>
    <w:rsid w:val="4AB60988"/>
    <w:rsid w:val="4AC62023"/>
    <w:rsid w:val="4AC6793E"/>
    <w:rsid w:val="4ADF3B5F"/>
    <w:rsid w:val="4B133808"/>
    <w:rsid w:val="4B31299F"/>
    <w:rsid w:val="4B414BEA"/>
    <w:rsid w:val="4B4B4D50"/>
    <w:rsid w:val="4B55797D"/>
    <w:rsid w:val="4B635765"/>
    <w:rsid w:val="4B686AD6"/>
    <w:rsid w:val="4B726781"/>
    <w:rsid w:val="4B734888"/>
    <w:rsid w:val="4B897627"/>
    <w:rsid w:val="4BC014C7"/>
    <w:rsid w:val="4BD51A25"/>
    <w:rsid w:val="4BE34F89"/>
    <w:rsid w:val="4BE60F1D"/>
    <w:rsid w:val="4BFE0015"/>
    <w:rsid w:val="4C0A7203"/>
    <w:rsid w:val="4C0F2222"/>
    <w:rsid w:val="4C4C5224"/>
    <w:rsid w:val="4C5B5467"/>
    <w:rsid w:val="4C5C2F8D"/>
    <w:rsid w:val="4C650094"/>
    <w:rsid w:val="4C8449BE"/>
    <w:rsid w:val="4CAA1F4A"/>
    <w:rsid w:val="4CBA0323"/>
    <w:rsid w:val="4CBA5FC9"/>
    <w:rsid w:val="4CEB6A0D"/>
    <w:rsid w:val="4CEB6F02"/>
    <w:rsid w:val="4CEF5955"/>
    <w:rsid w:val="4CF907DC"/>
    <w:rsid w:val="4D02765B"/>
    <w:rsid w:val="4D063625"/>
    <w:rsid w:val="4D0E072B"/>
    <w:rsid w:val="4D1B4DC0"/>
    <w:rsid w:val="4D1B7850"/>
    <w:rsid w:val="4D2766A9"/>
    <w:rsid w:val="4D2A25EF"/>
    <w:rsid w:val="4D2B4E39"/>
    <w:rsid w:val="4D50664E"/>
    <w:rsid w:val="4D5D0D6B"/>
    <w:rsid w:val="4D5D520F"/>
    <w:rsid w:val="4D7449F4"/>
    <w:rsid w:val="4D756861"/>
    <w:rsid w:val="4D9724CF"/>
    <w:rsid w:val="4DAD2DE2"/>
    <w:rsid w:val="4DD059E1"/>
    <w:rsid w:val="4DDE00FE"/>
    <w:rsid w:val="4DE84647"/>
    <w:rsid w:val="4DED189D"/>
    <w:rsid w:val="4DF07472"/>
    <w:rsid w:val="4DFC2FC7"/>
    <w:rsid w:val="4E163361"/>
    <w:rsid w:val="4E281672"/>
    <w:rsid w:val="4E347D1E"/>
    <w:rsid w:val="4E3F4095"/>
    <w:rsid w:val="4E52612E"/>
    <w:rsid w:val="4E676F2B"/>
    <w:rsid w:val="4E6B6D5E"/>
    <w:rsid w:val="4E6D3230"/>
    <w:rsid w:val="4E9B7F84"/>
    <w:rsid w:val="4E9E20AC"/>
    <w:rsid w:val="4EB3088C"/>
    <w:rsid w:val="4EBE7F2F"/>
    <w:rsid w:val="4EBF642F"/>
    <w:rsid w:val="4ED66799"/>
    <w:rsid w:val="4F026A62"/>
    <w:rsid w:val="4F0F3AB7"/>
    <w:rsid w:val="4F2002A2"/>
    <w:rsid w:val="4F31425D"/>
    <w:rsid w:val="4F42290E"/>
    <w:rsid w:val="4F464692"/>
    <w:rsid w:val="4F4C1097"/>
    <w:rsid w:val="4F4F1144"/>
    <w:rsid w:val="4F5166AD"/>
    <w:rsid w:val="4F5839F6"/>
    <w:rsid w:val="4F8E7901"/>
    <w:rsid w:val="4FA03191"/>
    <w:rsid w:val="4FA05833"/>
    <w:rsid w:val="4FB37368"/>
    <w:rsid w:val="4FB92DE9"/>
    <w:rsid w:val="4FC11A85"/>
    <w:rsid w:val="4FD33A65"/>
    <w:rsid w:val="4FD83492"/>
    <w:rsid w:val="4FE37C4D"/>
    <w:rsid w:val="4FF16461"/>
    <w:rsid w:val="50002B35"/>
    <w:rsid w:val="500A6321"/>
    <w:rsid w:val="501831C1"/>
    <w:rsid w:val="502F2E28"/>
    <w:rsid w:val="50377F99"/>
    <w:rsid w:val="50487AB0"/>
    <w:rsid w:val="50525ABF"/>
    <w:rsid w:val="509C7DFC"/>
    <w:rsid w:val="50A11925"/>
    <w:rsid w:val="50A849F3"/>
    <w:rsid w:val="50B95820"/>
    <w:rsid w:val="50BC4424"/>
    <w:rsid w:val="50C07F8E"/>
    <w:rsid w:val="50C652E9"/>
    <w:rsid w:val="510411B9"/>
    <w:rsid w:val="511C3DC0"/>
    <w:rsid w:val="51200A2D"/>
    <w:rsid w:val="515430DE"/>
    <w:rsid w:val="51583D23"/>
    <w:rsid w:val="515905F0"/>
    <w:rsid w:val="51612F33"/>
    <w:rsid w:val="51627BA7"/>
    <w:rsid w:val="516945EC"/>
    <w:rsid w:val="51745B97"/>
    <w:rsid w:val="5176227A"/>
    <w:rsid w:val="518C1C0F"/>
    <w:rsid w:val="51B56A8D"/>
    <w:rsid w:val="51C4760A"/>
    <w:rsid w:val="51C51741"/>
    <w:rsid w:val="51DC3809"/>
    <w:rsid w:val="51F53573"/>
    <w:rsid w:val="526110A1"/>
    <w:rsid w:val="527903F5"/>
    <w:rsid w:val="52B72CCB"/>
    <w:rsid w:val="52D270EB"/>
    <w:rsid w:val="52DD4E28"/>
    <w:rsid w:val="52ED255C"/>
    <w:rsid w:val="52F8748E"/>
    <w:rsid w:val="530C4F95"/>
    <w:rsid w:val="53163238"/>
    <w:rsid w:val="53283097"/>
    <w:rsid w:val="535E583D"/>
    <w:rsid w:val="536A652E"/>
    <w:rsid w:val="53933C38"/>
    <w:rsid w:val="53BB67EB"/>
    <w:rsid w:val="53CD5CD8"/>
    <w:rsid w:val="53D1600F"/>
    <w:rsid w:val="53F227FF"/>
    <w:rsid w:val="53F565DD"/>
    <w:rsid w:val="53F638C7"/>
    <w:rsid w:val="53FF3638"/>
    <w:rsid w:val="540041D6"/>
    <w:rsid w:val="54091C4C"/>
    <w:rsid w:val="540A69C0"/>
    <w:rsid w:val="540E1011"/>
    <w:rsid w:val="542425E2"/>
    <w:rsid w:val="54290784"/>
    <w:rsid w:val="54310CEA"/>
    <w:rsid w:val="54576514"/>
    <w:rsid w:val="54AE00FE"/>
    <w:rsid w:val="54AE1CA1"/>
    <w:rsid w:val="54C6369A"/>
    <w:rsid w:val="54E3249D"/>
    <w:rsid w:val="54E65DA5"/>
    <w:rsid w:val="54F16968"/>
    <w:rsid w:val="54FC530D"/>
    <w:rsid w:val="55045B77"/>
    <w:rsid w:val="5517089B"/>
    <w:rsid w:val="55170BE5"/>
    <w:rsid w:val="55274938"/>
    <w:rsid w:val="552E2FE9"/>
    <w:rsid w:val="5563713A"/>
    <w:rsid w:val="556D45C3"/>
    <w:rsid w:val="557C6707"/>
    <w:rsid w:val="55805F3E"/>
    <w:rsid w:val="55A41C2D"/>
    <w:rsid w:val="55A80972"/>
    <w:rsid w:val="55CD5551"/>
    <w:rsid w:val="55D87B28"/>
    <w:rsid w:val="55F56829"/>
    <w:rsid w:val="55F6423F"/>
    <w:rsid w:val="560F6013"/>
    <w:rsid w:val="563D2D16"/>
    <w:rsid w:val="5647166B"/>
    <w:rsid w:val="564B654C"/>
    <w:rsid w:val="5661367A"/>
    <w:rsid w:val="56690BF1"/>
    <w:rsid w:val="567C0AA8"/>
    <w:rsid w:val="5695343A"/>
    <w:rsid w:val="56B94E90"/>
    <w:rsid w:val="56CF0F2B"/>
    <w:rsid w:val="56D55E16"/>
    <w:rsid w:val="56E50976"/>
    <w:rsid w:val="56EF455A"/>
    <w:rsid w:val="57030BD5"/>
    <w:rsid w:val="57061704"/>
    <w:rsid w:val="571132F2"/>
    <w:rsid w:val="571F7091"/>
    <w:rsid w:val="57371824"/>
    <w:rsid w:val="574540B4"/>
    <w:rsid w:val="574F3834"/>
    <w:rsid w:val="57833AC4"/>
    <w:rsid w:val="5790306C"/>
    <w:rsid w:val="57AA1051"/>
    <w:rsid w:val="57B65C47"/>
    <w:rsid w:val="57E57BBD"/>
    <w:rsid w:val="57F95B34"/>
    <w:rsid w:val="580E5A83"/>
    <w:rsid w:val="58146633"/>
    <w:rsid w:val="583A0626"/>
    <w:rsid w:val="583C29E5"/>
    <w:rsid w:val="58464479"/>
    <w:rsid w:val="5879186B"/>
    <w:rsid w:val="5897395A"/>
    <w:rsid w:val="58977827"/>
    <w:rsid w:val="58A55BA2"/>
    <w:rsid w:val="58CA37FF"/>
    <w:rsid w:val="58CB41AF"/>
    <w:rsid w:val="58D338F4"/>
    <w:rsid w:val="58DC32A0"/>
    <w:rsid w:val="591C5310"/>
    <w:rsid w:val="592001FB"/>
    <w:rsid w:val="59284CA9"/>
    <w:rsid w:val="592F2DF4"/>
    <w:rsid w:val="5947243E"/>
    <w:rsid w:val="595B6AA6"/>
    <w:rsid w:val="596A0A97"/>
    <w:rsid w:val="597F6AD4"/>
    <w:rsid w:val="59827FC3"/>
    <w:rsid w:val="598865FE"/>
    <w:rsid w:val="598A0A6D"/>
    <w:rsid w:val="599475FA"/>
    <w:rsid w:val="59A246D5"/>
    <w:rsid w:val="59A541C5"/>
    <w:rsid w:val="59BB7545"/>
    <w:rsid w:val="59D86349"/>
    <w:rsid w:val="59F82547"/>
    <w:rsid w:val="59FE5684"/>
    <w:rsid w:val="5A1243C3"/>
    <w:rsid w:val="5A1C6E0C"/>
    <w:rsid w:val="5A2B70A5"/>
    <w:rsid w:val="5A300EE8"/>
    <w:rsid w:val="5A4206F2"/>
    <w:rsid w:val="5A494B51"/>
    <w:rsid w:val="5A5023AA"/>
    <w:rsid w:val="5A551748"/>
    <w:rsid w:val="5A5F4CB3"/>
    <w:rsid w:val="5A6279C1"/>
    <w:rsid w:val="5A6516AD"/>
    <w:rsid w:val="5A6E2B59"/>
    <w:rsid w:val="5A845B89"/>
    <w:rsid w:val="5A9102A6"/>
    <w:rsid w:val="5A9F0C15"/>
    <w:rsid w:val="5AA20705"/>
    <w:rsid w:val="5AA463AA"/>
    <w:rsid w:val="5AC00965"/>
    <w:rsid w:val="5ACC4974"/>
    <w:rsid w:val="5AD308BE"/>
    <w:rsid w:val="5AE42ACB"/>
    <w:rsid w:val="5AE50FC8"/>
    <w:rsid w:val="5AF076C2"/>
    <w:rsid w:val="5AFA67D1"/>
    <w:rsid w:val="5AFC136C"/>
    <w:rsid w:val="5B00089A"/>
    <w:rsid w:val="5B092532"/>
    <w:rsid w:val="5B1A029B"/>
    <w:rsid w:val="5B1E7D8B"/>
    <w:rsid w:val="5B3D42EC"/>
    <w:rsid w:val="5B3F7D02"/>
    <w:rsid w:val="5B8E0287"/>
    <w:rsid w:val="5BA31793"/>
    <w:rsid w:val="5BA974AD"/>
    <w:rsid w:val="5BB647F7"/>
    <w:rsid w:val="5BB97AB4"/>
    <w:rsid w:val="5BEC7E8A"/>
    <w:rsid w:val="5C0B427A"/>
    <w:rsid w:val="5C1E5B4F"/>
    <w:rsid w:val="5C294C3A"/>
    <w:rsid w:val="5C4F701E"/>
    <w:rsid w:val="5C515F3F"/>
    <w:rsid w:val="5C5477DD"/>
    <w:rsid w:val="5C554C9B"/>
    <w:rsid w:val="5C806824"/>
    <w:rsid w:val="5C8A2815"/>
    <w:rsid w:val="5CA61CCA"/>
    <w:rsid w:val="5CAA7181"/>
    <w:rsid w:val="5CB33AA6"/>
    <w:rsid w:val="5CD8720F"/>
    <w:rsid w:val="5CF05758"/>
    <w:rsid w:val="5D170F36"/>
    <w:rsid w:val="5D246DD0"/>
    <w:rsid w:val="5D284CA8"/>
    <w:rsid w:val="5D540461"/>
    <w:rsid w:val="5D5C2447"/>
    <w:rsid w:val="5D5F28DD"/>
    <w:rsid w:val="5D6030DB"/>
    <w:rsid w:val="5D6D4FFA"/>
    <w:rsid w:val="5D766826"/>
    <w:rsid w:val="5D7719D5"/>
    <w:rsid w:val="5D7A4F93"/>
    <w:rsid w:val="5D9E6F62"/>
    <w:rsid w:val="5DB46785"/>
    <w:rsid w:val="5DCD7847"/>
    <w:rsid w:val="5DD959BB"/>
    <w:rsid w:val="5DE05D04"/>
    <w:rsid w:val="5DF94AE0"/>
    <w:rsid w:val="5E0C71EC"/>
    <w:rsid w:val="5E316028"/>
    <w:rsid w:val="5E420235"/>
    <w:rsid w:val="5E5835B4"/>
    <w:rsid w:val="5EA85CA5"/>
    <w:rsid w:val="5EB12C47"/>
    <w:rsid w:val="5EDF3E7A"/>
    <w:rsid w:val="5EED73BA"/>
    <w:rsid w:val="5EF2776A"/>
    <w:rsid w:val="5EF86B45"/>
    <w:rsid w:val="5F1B3796"/>
    <w:rsid w:val="5F21609C"/>
    <w:rsid w:val="5F370B1A"/>
    <w:rsid w:val="5F430DCE"/>
    <w:rsid w:val="5F51797E"/>
    <w:rsid w:val="5F840C85"/>
    <w:rsid w:val="5F8536F5"/>
    <w:rsid w:val="5FB24B42"/>
    <w:rsid w:val="5FC133DB"/>
    <w:rsid w:val="5FCF7C43"/>
    <w:rsid w:val="5FD90725"/>
    <w:rsid w:val="5FE13A7D"/>
    <w:rsid w:val="5FFE7AC8"/>
    <w:rsid w:val="60011A2A"/>
    <w:rsid w:val="600769A2"/>
    <w:rsid w:val="6042276E"/>
    <w:rsid w:val="60863536"/>
    <w:rsid w:val="608C5797"/>
    <w:rsid w:val="6098238E"/>
    <w:rsid w:val="60A17B22"/>
    <w:rsid w:val="60A81652"/>
    <w:rsid w:val="60B14F91"/>
    <w:rsid w:val="60BC54B5"/>
    <w:rsid w:val="60D94755"/>
    <w:rsid w:val="60F33A68"/>
    <w:rsid w:val="61041EFB"/>
    <w:rsid w:val="6106379C"/>
    <w:rsid w:val="61063BC5"/>
    <w:rsid w:val="610B7004"/>
    <w:rsid w:val="61146030"/>
    <w:rsid w:val="6118527D"/>
    <w:rsid w:val="6118702B"/>
    <w:rsid w:val="611A0B00"/>
    <w:rsid w:val="611D6D37"/>
    <w:rsid w:val="61355E2F"/>
    <w:rsid w:val="61390342"/>
    <w:rsid w:val="615F5E69"/>
    <w:rsid w:val="61967195"/>
    <w:rsid w:val="61AD00BB"/>
    <w:rsid w:val="61D51711"/>
    <w:rsid w:val="61D5752D"/>
    <w:rsid w:val="61DC69D6"/>
    <w:rsid w:val="61F555BE"/>
    <w:rsid w:val="61F56EE9"/>
    <w:rsid w:val="61FF6B55"/>
    <w:rsid w:val="62157156"/>
    <w:rsid w:val="62166E42"/>
    <w:rsid w:val="622A5268"/>
    <w:rsid w:val="622A5E4D"/>
    <w:rsid w:val="623E784D"/>
    <w:rsid w:val="62540CD6"/>
    <w:rsid w:val="62800E51"/>
    <w:rsid w:val="62806ADA"/>
    <w:rsid w:val="62943029"/>
    <w:rsid w:val="62983D09"/>
    <w:rsid w:val="62C3746A"/>
    <w:rsid w:val="62DB737D"/>
    <w:rsid w:val="62ED0725"/>
    <w:rsid w:val="63254A17"/>
    <w:rsid w:val="63302D52"/>
    <w:rsid w:val="637426D2"/>
    <w:rsid w:val="63972DD1"/>
    <w:rsid w:val="63A655BE"/>
    <w:rsid w:val="63C17E4E"/>
    <w:rsid w:val="63DA4A6C"/>
    <w:rsid w:val="64033FC2"/>
    <w:rsid w:val="642A0284"/>
    <w:rsid w:val="64362577"/>
    <w:rsid w:val="645D7FA0"/>
    <w:rsid w:val="646F1658"/>
    <w:rsid w:val="64994927"/>
    <w:rsid w:val="649F17C8"/>
    <w:rsid w:val="64AF414A"/>
    <w:rsid w:val="64CA4395"/>
    <w:rsid w:val="64F817DC"/>
    <w:rsid w:val="650C50F9"/>
    <w:rsid w:val="65171AF0"/>
    <w:rsid w:val="652F2B95"/>
    <w:rsid w:val="65440FDC"/>
    <w:rsid w:val="655E306B"/>
    <w:rsid w:val="657131AE"/>
    <w:rsid w:val="657C23D4"/>
    <w:rsid w:val="657C42E7"/>
    <w:rsid w:val="658E3D60"/>
    <w:rsid w:val="6593581A"/>
    <w:rsid w:val="6596580C"/>
    <w:rsid w:val="659A2704"/>
    <w:rsid w:val="65B732B6"/>
    <w:rsid w:val="65BE44A1"/>
    <w:rsid w:val="65C92FEA"/>
    <w:rsid w:val="65CA15FC"/>
    <w:rsid w:val="65CB0B10"/>
    <w:rsid w:val="65E25C49"/>
    <w:rsid w:val="65E816C2"/>
    <w:rsid w:val="65E9368C"/>
    <w:rsid w:val="65FA2A89"/>
    <w:rsid w:val="65FB41D9"/>
    <w:rsid w:val="660A5ADC"/>
    <w:rsid w:val="66212E26"/>
    <w:rsid w:val="66560D21"/>
    <w:rsid w:val="66680A54"/>
    <w:rsid w:val="667A0D57"/>
    <w:rsid w:val="667F3A7E"/>
    <w:rsid w:val="6692162D"/>
    <w:rsid w:val="669453A6"/>
    <w:rsid w:val="66B07D06"/>
    <w:rsid w:val="66CC0FE3"/>
    <w:rsid w:val="66D460EA"/>
    <w:rsid w:val="66DE0D17"/>
    <w:rsid w:val="66EC6F90"/>
    <w:rsid w:val="66FB3677"/>
    <w:rsid w:val="670217A3"/>
    <w:rsid w:val="67041FFB"/>
    <w:rsid w:val="6707201B"/>
    <w:rsid w:val="672A6364"/>
    <w:rsid w:val="672F072B"/>
    <w:rsid w:val="67317098"/>
    <w:rsid w:val="673F7A07"/>
    <w:rsid w:val="67423054"/>
    <w:rsid w:val="67564D51"/>
    <w:rsid w:val="675863D3"/>
    <w:rsid w:val="6759775B"/>
    <w:rsid w:val="67654F94"/>
    <w:rsid w:val="67660C33"/>
    <w:rsid w:val="67843DCC"/>
    <w:rsid w:val="678A3791"/>
    <w:rsid w:val="679830B0"/>
    <w:rsid w:val="67E96CAF"/>
    <w:rsid w:val="67EE4F89"/>
    <w:rsid w:val="68014ED3"/>
    <w:rsid w:val="680C5410"/>
    <w:rsid w:val="68150768"/>
    <w:rsid w:val="681653AD"/>
    <w:rsid w:val="681F3395"/>
    <w:rsid w:val="68376930"/>
    <w:rsid w:val="6838453D"/>
    <w:rsid w:val="68466B73"/>
    <w:rsid w:val="686317F9"/>
    <w:rsid w:val="686803F2"/>
    <w:rsid w:val="68817BAC"/>
    <w:rsid w:val="688B434F"/>
    <w:rsid w:val="68A35D74"/>
    <w:rsid w:val="68A613C0"/>
    <w:rsid w:val="68A815DC"/>
    <w:rsid w:val="68BE2CC8"/>
    <w:rsid w:val="68C538AD"/>
    <w:rsid w:val="68E41866"/>
    <w:rsid w:val="68EE5593"/>
    <w:rsid w:val="68F44D94"/>
    <w:rsid w:val="69122517"/>
    <w:rsid w:val="691E189E"/>
    <w:rsid w:val="69252C2D"/>
    <w:rsid w:val="696C43B8"/>
    <w:rsid w:val="696F5DC0"/>
    <w:rsid w:val="69754956"/>
    <w:rsid w:val="698C4A5A"/>
    <w:rsid w:val="699B0A91"/>
    <w:rsid w:val="699B4C9D"/>
    <w:rsid w:val="69B813AB"/>
    <w:rsid w:val="69CC4E56"/>
    <w:rsid w:val="69D56FFA"/>
    <w:rsid w:val="69E06B54"/>
    <w:rsid w:val="69F321D7"/>
    <w:rsid w:val="69F8778B"/>
    <w:rsid w:val="6A0820C1"/>
    <w:rsid w:val="6A0942FC"/>
    <w:rsid w:val="6A122386"/>
    <w:rsid w:val="6A186C2B"/>
    <w:rsid w:val="6A241BEB"/>
    <w:rsid w:val="6A53277A"/>
    <w:rsid w:val="6A6E1E94"/>
    <w:rsid w:val="6AE8488B"/>
    <w:rsid w:val="6AF02DC7"/>
    <w:rsid w:val="6AF93E76"/>
    <w:rsid w:val="6AFB3C45"/>
    <w:rsid w:val="6AFC1E3A"/>
    <w:rsid w:val="6AFC5741"/>
    <w:rsid w:val="6B0D203A"/>
    <w:rsid w:val="6B3745D2"/>
    <w:rsid w:val="6B3929BF"/>
    <w:rsid w:val="6B396C5B"/>
    <w:rsid w:val="6B3E1D84"/>
    <w:rsid w:val="6B4043DF"/>
    <w:rsid w:val="6B413622"/>
    <w:rsid w:val="6B7457A6"/>
    <w:rsid w:val="6B79100E"/>
    <w:rsid w:val="6B7D6364"/>
    <w:rsid w:val="6B88597B"/>
    <w:rsid w:val="6B9419A4"/>
    <w:rsid w:val="6B96499B"/>
    <w:rsid w:val="6B9F6C0F"/>
    <w:rsid w:val="6BB964DF"/>
    <w:rsid w:val="6BBB5A8A"/>
    <w:rsid w:val="6BD7493B"/>
    <w:rsid w:val="6BDD77EF"/>
    <w:rsid w:val="6BF6482B"/>
    <w:rsid w:val="6C021657"/>
    <w:rsid w:val="6C104B90"/>
    <w:rsid w:val="6C35284A"/>
    <w:rsid w:val="6C374BC0"/>
    <w:rsid w:val="6C5C4BC7"/>
    <w:rsid w:val="6C6677E4"/>
    <w:rsid w:val="6C6B4DFB"/>
    <w:rsid w:val="6C6D54C0"/>
    <w:rsid w:val="6C7F395F"/>
    <w:rsid w:val="6CB22A29"/>
    <w:rsid w:val="6CB87914"/>
    <w:rsid w:val="6CEB1615"/>
    <w:rsid w:val="6D06067F"/>
    <w:rsid w:val="6D0D1A0E"/>
    <w:rsid w:val="6D2B6338"/>
    <w:rsid w:val="6D2F5E28"/>
    <w:rsid w:val="6D464995"/>
    <w:rsid w:val="6D617FAC"/>
    <w:rsid w:val="6D667370"/>
    <w:rsid w:val="6D68133A"/>
    <w:rsid w:val="6D9E6DEB"/>
    <w:rsid w:val="6DA869DF"/>
    <w:rsid w:val="6DAD625A"/>
    <w:rsid w:val="6DEE1E64"/>
    <w:rsid w:val="6DEF3809"/>
    <w:rsid w:val="6E08288F"/>
    <w:rsid w:val="6E1119D2"/>
    <w:rsid w:val="6E163071"/>
    <w:rsid w:val="6E1B45FE"/>
    <w:rsid w:val="6E3000AA"/>
    <w:rsid w:val="6E3556C0"/>
    <w:rsid w:val="6E5E71D8"/>
    <w:rsid w:val="6EAC5256"/>
    <w:rsid w:val="6EBC439F"/>
    <w:rsid w:val="6EEB5F6B"/>
    <w:rsid w:val="6F1D0E18"/>
    <w:rsid w:val="6F377216"/>
    <w:rsid w:val="6F3F13AE"/>
    <w:rsid w:val="6F41277F"/>
    <w:rsid w:val="6F5A0443"/>
    <w:rsid w:val="6F771D08"/>
    <w:rsid w:val="6F8D5088"/>
    <w:rsid w:val="6F912DCA"/>
    <w:rsid w:val="6F9C5852"/>
    <w:rsid w:val="6FAB7C86"/>
    <w:rsid w:val="6FC46E0D"/>
    <w:rsid w:val="6FD42CB7"/>
    <w:rsid w:val="6FDB5DF3"/>
    <w:rsid w:val="6FE0340A"/>
    <w:rsid w:val="70025A76"/>
    <w:rsid w:val="700D7F77"/>
    <w:rsid w:val="70441BEA"/>
    <w:rsid w:val="70571E0B"/>
    <w:rsid w:val="70587444"/>
    <w:rsid w:val="7080540B"/>
    <w:rsid w:val="7089584F"/>
    <w:rsid w:val="709760D6"/>
    <w:rsid w:val="709B0D8D"/>
    <w:rsid w:val="70BC3E77"/>
    <w:rsid w:val="70DD0CE1"/>
    <w:rsid w:val="70DE7C09"/>
    <w:rsid w:val="70E35AC4"/>
    <w:rsid w:val="70E70CAA"/>
    <w:rsid w:val="70F215F7"/>
    <w:rsid w:val="70F7636D"/>
    <w:rsid w:val="711D243B"/>
    <w:rsid w:val="71353665"/>
    <w:rsid w:val="71363129"/>
    <w:rsid w:val="71431EA2"/>
    <w:rsid w:val="71702AB5"/>
    <w:rsid w:val="71865586"/>
    <w:rsid w:val="718908C6"/>
    <w:rsid w:val="71956476"/>
    <w:rsid w:val="71A25330"/>
    <w:rsid w:val="71B608C6"/>
    <w:rsid w:val="71C1726B"/>
    <w:rsid w:val="71CD1D58"/>
    <w:rsid w:val="71CD79BE"/>
    <w:rsid w:val="71D1444C"/>
    <w:rsid w:val="71DE4B84"/>
    <w:rsid w:val="71EA4A14"/>
    <w:rsid w:val="71EC253A"/>
    <w:rsid w:val="71EF33B5"/>
    <w:rsid w:val="71F8363B"/>
    <w:rsid w:val="72007D93"/>
    <w:rsid w:val="724A7260"/>
    <w:rsid w:val="724C2FD8"/>
    <w:rsid w:val="72511479"/>
    <w:rsid w:val="727D3192"/>
    <w:rsid w:val="727D7636"/>
    <w:rsid w:val="72987FCC"/>
    <w:rsid w:val="72C51CB6"/>
    <w:rsid w:val="72CE1C3F"/>
    <w:rsid w:val="72D0088C"/>
    <w:rsid w:val="72D44147"/>
    <w:rsid w:val="72E62E0C"/>
    <w:rsid w:val="72F57B87"/>
    <w:rsid w:val="7327134F"/>
    <w:rsid w:val="7329331A"/>
    <w:rsid w:val="73593B14"/>
    <w:rsid w:val="735A34D3"/>
    <w:rsid w:val="736633D5"/>
    <w:rsid w:val="738B7B30"/>
    <w:rsid w:val="73910F0A"/>
    <w:rsid w:val="73927DE1"/>
    <w:rsid w:val="73A0393C"/>
    <w:rsid w:val="73BE7F06"/>
    <w:rsid w:val="73C955B3"/>
    <w:rsid w:val="74082F2F"/>
    <w:rsid w:val="74146E06"/>
    <w:rsid w:val="743739ED"/>
    <w:rsid w:val="74420E29"/>
    <w:rsid w:val="74597C2E"/>
    <w:rsid w:val="74626725"/>
    <w:rsid w:val="746D7236"/>
    <w:rsid w:val="74723149"/>
    <w:rsid w:val="74AB4910"/>
    <w:rsid w:val="74BA403C"/>
    <w:rsid w:val="74BD48BF"/>
    <w:rsid w:val="74C35950"/>
    <w:rsid w:val="74DA48CB"/>
    <w:rsid w:val="74DA4B18"/>
    <w:rsid w:val="74DC4AE7"/>
    <w:rsid w:val="74F064A1"/>
    <w:rsid w:val="75286679"/>
    <w:rsid w:val="753B0061"/>
    <w:rsid w:val="75493F93"/>
    <w:rsid w:val="754E0E15"/>
    <w:rsid w:val="757B2AA5"/>
    <w:rsid w:val="758302A7"/>
    <w:rsid w:val="758B30E4"/>
    <w:rsid w:val="75A629FF"/>
    <w:rsid w:val="75A849CA"/>
    <w:rsid w:val="75A90742"/>
    <w:rsid w:val="75B415C0"/>
    <w:rsid w:val="75B72E5F"/>
    <w:rsid w:val="75DC697D"/>
    <w:rsid w:val="75E21881"/>
    <w:rsid w:val="75EB48B6"/>
    <w:rsid w:val="75F0011F"/>
    <w:rsid w:val="75FB71EF"/>
    <w:rsid w:val="75FD747A"/>
    <w:rsid w:val="76037E52"/>
    <w:rsid w:val="76041D8F"/>
    <w:rsid w:val="7665739C"/>
    <w:rsid w:val="76674885"/>
    <w:rsid w:val="76857127"/>
    <w:rsid w:val="768A40CF"/>
    <w:rsid w:val="7694544F"/>
    <w:rsid w:val="769E7B7B"/>
    <w:rsid w:val="76A258BD"/>
    <w:rsid w:val="76D637B8"/>
    <w:rsid w:val="76DD7184"/>
    <w:rsid w:val="76E97048"/>
    <w:rsid w:val="7718792D"/>
    <w:rsid w:val="77235A14"/>
    <w:rsid w:val="772E7682"/>
    <w:rsid w:val="774626EC"/>
    <w:rsid w:val="774D2795"/>
    <w:rsid w:val="775841CD"/>
    <w:rsid w:val="77625E50"/>
    <w:rsid w:val="776B5CAF"/>
    <w:rsid w:val="776E7CDC"/>
    <w:rsid w:val="77735147"/>
    <w:rsid w:val="777C159D"/>
    <w:rsid w:val="77A01E33"/>
    <w:rsid w:val="77BD2282"/>
    <w:rsid w:val="77BF3E54"/>
    <w:rsid w:val="77D5581E"/>
    <w:rsid w:val="77D77AA7"/>
    <w:rsid w:val="77F42148"/>
    <w:rsid w:val="78126A72"/>
    <w:rsid w:val="783B6F5D"/>
    <w:rsid w:val="783C5CF3"/>
    <w:rsid w:val="783C764B"/>
    <w:rsid w:val="784604CA"/>
    <w:rsid w:val="7859032F"/>
    <w:rsid w:val="78852DA0"/>
    <w:rsid w:val="789A5303"/>
    <w:rsid w:val="789F4CF7"/>
    <w:rsid w:val="78C37D6C"/>
    <w:rsid w:val="78DB03F2"/>
    <w:rsid w:val="78DD498A"/>
    <w:rsid w:val="79377D2F"/>
    <w:rsid w:val="793A122E"/>
    <w:rsid w:val="79413F33"/>
    <w:rsid w:val="796337F3"/>
    <w:rsid w:val="79694470"/>
    <w:rsid w:val="799C2A97"/>
    <w:rsid w:val="79BA6DF5"/>
    <w:rsid w:val="79C72D45"/>
    <w:rsid w:val="79CD0114"/>
    <w:rsid w:val="79CE7BF8"/>
    <w:rsid w:val="79D877C6"/>
    <w:rsid w:val="7A077839"/>
    <w:rsid w:val="7A0917AF"/>
    <w:rsid w:val="7A24483B"/>
    <w:rsid w:val="7A252A8D"/>
    <w:rsid w:val="7A287E87"/>
    <w:rsid w:val="7A4869B1"/>
    <w:rsid w:val="7A542E9E"/>
    <w:rsid w:val="7A910122"/>
    <w:rsid w:val="7A942529"/>
    <w:rsid w:val="7AA5772A"/>
    <w:rsid w:val="7AAA1BF2"/>
    <w:rsid w:val="7AE973D5"/>
    <w:rsid w:val="7AFE32DE"/>
    <w:rsid w:val="7B186C0F"/>
    <w:rsid w:val="7B1A2C10"/>
    <w:rsid w:val="7B224595"/>
    <w:rsid w:val="7B272834"/>
    <w:rsid w:val="7B2A3BDE"/>
    <w:rsid w:val="7B340AAD"/>
    <w:rsid w:val="7B346CFF"/>
    <w:rsid w:val="7B3B62E0"/>
    <w:rsid w:val="7B446F42"/>
    <w:rsid w:val="7B4A207F"/>
    <w:rsid w:val="7B4E1B6F"/>
    <w:rsid w:val="7B503B39"/>
    <w:rsid w:val="7B6051C2"/>
    <w:rsid w:val="7B6D75BF"/>
    <w:rsid w:val="7B7139FF"/>
    <w:rsid w:val="7B752E6E"/>
    <w:rsid w:val="7B8051F7"/>
    <w:rsid w:val="7B841A35"/>
    <w:rsid w:val="7B8610FE"/>
    <w:rsid w:val="7BEB1AB4"/>
    <w:rsid w:val="7BEC1388"/>
    <w:rsid w:val="7BFD7138"/>
    <w:rsid w:val="7C011166"/>
    <w:rsid w:val="7C100D89"/>
    <w:rsid w:val="7C2230EA"/>
    <w:rsid w:val="7C2C6F73"/>
    <w:rsid w:val="7C420F9E"/>
    <w:rsid w:val="7C4A4A2C"/>
    <w:rsid w:val="7C50609B"/>
    <w:rsid w:val="7C5C02BC"/>
    <w:rsid w:val="7C644564"/>
    <w:rsid w:val="7C6B5CD0"/>
    <w:rsid w:val="7C7B2E38"/>
    <w:rsid w:val="7C970B79"/>
    <w:rsid w:val="7CAE71CE"/>
    <w:rsid w:val="7CB2612E"/>
    <w:rsid w:val="7CD442F6"/>
    <w:rsid w:val="7CD51E1C"/>
    <w:rsid w:val="7CE4229A"/>
    <w:rsid w:val="7CEA01CA"/>
    <w:rsid w:val="7CF24DE2"/>
    <w:rsid w:val="7CFE0C47"/>
    <w:rsid w:val="7D031D4D"/>
    <w:rsid w:val="7D60202E"/>
    <w:rsid w:val="7D715BF1"/>
    <w:rsid w:val="7D7D2BE0"/>
    <w:rsid w:val="7D9E1246"/>
    <w:rsid w:val="7D9F7D20"/>
    <w:rsid w:val="7DA12FF3"/>
    <w:rsid w:val="7DA43CC8"/>
    <w:rsid w:val="7DA737B9"/>
    <w:rsid w:val="7DAB36D2"/>
    <w:rsid w:val="7DB008BF"/>
    <w:rsid w:val="7DBF4FA6"/>
    <w:rsid w:val="7DD13489"/>
    <w:rsid w:val="7DEE1FFB"/>
    <w:rsid w:val="7E151AF0"/>
    <w:rsid w:val="7E1D3A7B"/>
    <w:rsid w:val="7E2B263C"/>
    <w:rsid w:val="7E2D0162"/>
    <w:rsid w:val="7E317552"/>
    <w:rsid w:val="7E394D59"/>
    <w:rsid w:val="7E484F9C"/>
    <w:rsid w:val="7E4D1DC6"/>
    <w:rsid w:val="7E4F632A"/>
    <w:rsid w:val="7E573431"/>
    <w:rsid w:val="7E6247D4"/>
    <w:rsid w:val="7EA45F4A"/>
    <w:rsid w:val="7EBC3294"/>
    <w:rsid w:val="7ECB1729"/>
    <w:rsid w:val="7ED71E7C"/>
    <w:rsid w:val="7EE51929"/>
    <w:rsid w:val="7EE527EB"/>
    <w:rsid w:val="7EED0648"/>
    <w:rsid w:val="7EFC4ED4"/>
    <w:rsid w:val="7F182BC0"/>
    <w:rsid w:val="7F1E3F4E"/>
    <w:rsid w:val="7F2A54C9"/>
    <w:rsid w:val="7F3C3154"/>
    <w:rsid w:val="7F43007D"/>
    <w:rsid w:val="7F5C43A4"/>
    <w:rsid w:val="7F69341C"/>
    <w:rsid w:val="7F792F33"/>
    <w:rsid w:val="7F956761"/>
    <w:rsid w:val="7F985AAF"/>
    <w:rsid w:val="7F995383"/>
    <w:rsid w:val="7FB65F35"/>
    <w:rsid w:val="7FC860CF"/>
    <w:rsid w:val="7FD8484E"/>
    <w:rsid w:val="7FF41395"/>
    <w:rsid w:val="7FF53B73"/>
    <w:rsid w:val="7FF64583"/>
    <w:rsid w:val="7FF66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1"/>
    <w:pPr>
      <w:spacing w:line="360" w:lineRule="auto"/>
      <w:ind w:left="0"/>
      <w:jc w:val="left"/>
      <w:outlineLvl w:val="0"/>
    </w:pPr>
    <w:rPr>
      <w:rFonts w:ascii="宋体" w:hAnsi="宋体" w:eastAsia="宋体"/>
      <w:b/>
      <w:bCs/>
      <w:sz w:val="36"/>
      <w:szCs w:val="36"/>
    </w:rPr>
  </w:style>
  <w:style w:type="paragraph" w:styleId="6">
    <w:name w:val="heading 2"/>
    <w:basedOn w:val="1"/>
    <w:next w:val="1"/>
    <w:qFormat/>
    <w:uiPriority w:val="1"/>
    <w:pPr>
      <w:spacing w:line="360" w:lineRule="auto"/>
      <w:ind w:left="0"/>
      <w:jc w:val="left"/>
      <w:outlineLvl w:val="1"/>
    </w:pPr>
    <w:rPr>
      <w:rFonts w:ascii="宋体" w:hAnsi="宋体" w:eastAsia="宋体"/>
      <w:b/>
      <w:bCs/>
      <w:sz w:val="30"/>
      <w:szCs w:val="32"/>
    </w:rPr>
  </w:style>
  <w:style w:type="paragraph" w:styleId="7">
    <w:name w:val="heading 3"/>
    <w:basedOn w:val="1"/>
    <w:next w:val="1"/>
    <w:link w:val="38"/>
    <w:unhideWhenUsed/>
    <w:qFormat/>
    <w:uiPriority w:val="0"/>
    <w:pPr>
      <w:keepNext/>
      <w:keepLines/>
      <w:spacing w:line="360" w:lineRule="auto"/>
      <w:outlineLvl w:val="2"/>
    </w:pPr>
    <w:rPr>
      <w:rFonts w:asciiTheme="minorAscii" w:hAnsiTheme="minorAscii"/>
      <w:b/>
      <w:sz w:val="24"/>
    </w:rPr>
  </w:style>
  <w:style w:type="paragraph" w:styleId="8">
    <w:name w:val="heading 4"/>
    <w:basedOn w:val="1"/>
    <w:next w:val="1"/>
    <w:link w:val="37"/>
    <w:qFormat/>
    <w:uiPriority w:val="0"/>
    <w:pPr>
      <w:keepNext/>
      <w:keepLines/>
      <w:spacing w:line="360" w:lineRule="auto"/>
      <w:ind w:leftChars="200" w:firstLine="0" w:firstLineChars="0"/>
      <w:jc w:val="left"/>
      <w:outlineLvl w:val="3"/>
    </w:pPr>
    <w:rPr>
      <w:rFonts w:ascii="Arial" w:hAnsi="Arial" w:eastAsia="宋体"/>
      <w:bCs/>
      <w:sz w:val="24"/>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pPr>
    <w:rPr>
      <w:rFonts w:ascii="Times New Roman" w:hAnsi="Times New Roman"/>
      <w:kern w:val="2"/>
      <w:sz w:val="21"/>
      <w:szCs w:val="24"/>
      <w:lang w:val="en-US" w:eastAsia="zh-CN"/>
    </w:rPr>
  </w:style>
  <w:style w:type="paragraph" w:styleId="3">
    <w:name w:val="Body Text Indent"/>
    <w:basedOn w:val="1"/>
    <w:next w:val="4"/>
    <w:qFormat/>
    <w:uiPriority w:val="0"/>
    <w:pPr>
      <w:spacing w:after="120"/>
      <w:ind w:left="420" w:leftChars="200"/>
    </w:pPr>
    <w:rPr>
      <w:kern w:val="0"/>
      <w:sz w:val="24"/>
      <w:szCs w:val="20"/>
    </w:rPr>
  </w:style>
  <w:style w:type="paragraph" w:styleId="4">
    <w:name w:val="toc 3"/>
    <w:basedOn w:val="1"/>
    <w:next w:val="1"/>
    <w:qFormat/>
    <w:uiPriority w:val="0"/>
    <w:pPr>
      <w:ind w:left="840" w:leftChars="400"/>
    </w:pPr>
  </w:style>
  <w:style w:type="paragraph" w:styleId="9">
    <w:name w:val="Normal Indent"/>
    <w:basedOn w:val="1"/>
    <w:unhideWhenUsed/>
    <w:qFormat/>
    <w:uiPriority w:val="0"/>
    <w:pPr>
      <w:spacing w:line="360" w:lineRule="auto"/>
      <w:ind w:firstLine="480" w:firstLineChars="200"/>
    </w:pPr>
    <w:rPr>
      <w:color w:val="000000"/>
      <w:sz w:val="24"/>
      <w:szCs w:val="18"/>
    </w:rPr>
  </w:style>
  <w:style w:type="paragraph" w:styleId="10">
    <w:name w:val="annotation text"/>
    <w:basedOn w:val="1"/>
    <w:qFormat/>
    <w:uiPriority w:val="0"/>
    <w:pPr>
      <w:jc w:val="left"/>
    </w:pPr>
  </w:style>
  <w:style w:type="paragraph" w:styleId="11">
    <w:name w:val="Body Text"/>
    <w:basedOn w:val="1"/>
    <w:next w:val="12"/>
    <w:qFormat/>
    <w:uiPriority w:val="1"/>
    <w:pPr>
      <w:spacing w:before="113"/>
      <w:ind w:left="137"/>
    </w:pPr>
    <w:rPr>
      <w:rFonts w:ascii="宋体" w:hAnsi="宋体" w:eastAsia="宋体"/>
      <w:sz w:val="28"/>
      <w:szCs w:val="28"/>
    </w:rPr>
  </w:style>
  <w:style w:type="paragraph" w:styleId="12">
    <w:name w:val="List Bullet 5"/>
    <w:basedOn w:val="1"/>
    <w:qFormat/>
    <w:uiPriority w:val="0"/>
    <w:pPr>
      <w:numPr>
        <w:ilvl w:val="0"/>
        <w:numId w:val="1"/>
      </w:numPr>
    </w:pPr>
  </w:style>
  <w:style w:type="paragraph" w:styleId="13">
    <w:name w:val="Body Text Indent 2"/>
    <w:basedOn w:val="1"/>
    <w:qFormat/>
    <w:uiPriority w:val="0"/>
    <w:pPr>
      <w:adjustRightInd w:val="0"/>
      <w:spacing w:line="400" w:lineRule="exact"/>
      <w:ind w:firstLine="560" w:firstLineChars="200"/>
    </w:pPr>
    <w:rPr>
      <w:rFonts w:ascii="楷体_GB2312" w:eastAsia="楷体_GB2312"/>
      <w:color w:val="000000"/>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next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11"/>
    <w:qFormat/>
    <w:uiPriority w:val="0"/>
    <w:pPr>
      <w:spacing w:after="120" w:line="240" w:lineRule="auto"/>
      <w:ind w:firstLine="420" w:firstLineChars="100"/>
    </w:pPr>
    <w:rPr>
      <w:rFonts w:hint="default" w:ascii="Times New Roman" w:hAnsi="Times New Roman"/>
      <w:sz w:val="24"/>
      <w:szCs w:val="24"/>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paragraph" w:customStyle="1" w:styleId="24">
    <w:name w:val="Default"/>
    <w:basedOn w:val="25"/>
    <w:next w:val="26"/>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25">
    <w:name w:val="纯文本1"/>
    <w:basedOn w:val="1"/>
    <w:qFormat/>
    <w:uiPriority w:val="0"/>
    <w:pPr>
      <w:adjustRightInd w:val="0"/>
      <w:jc w:val="center"/>
      <w:textAlignment w:val="baseline"/>
    </w:pPr>
    <w:rPr>
      <w:rFonts w:ascii="宋体" w:hAnsi="Courier New"/>
      <w:snapToGrid w:val="0"/>
      <w:kern w:val="0"/>
      <w:sz w:val="24"/>
    </w:rPr>
  </w:style>
  <w:style w:type="paragraph" w:customStyle="1" w:styleId="26">
    <w:name w:val="样式 样式 首行缩进:  2 字符 + 首行缩进:  2 字符"/>
    <w:basedOn w:val="1"/>
    <w:next w:val="16"/>
    <w:qFormat/>
    <w:uiPriority w:val="0"/>
    <w:pPr>
      <w:widowControl w:val="0"/>
      <w:snapToGrid w:val="0"/>
      <w:spacing w:line="360" w:lineRule="auto"/>
      <w:ind w:firstLine="560" w:firstLineChars="200"/>
      <w:jc w:val="both"/>
    </w:pPr>
    <w:rPr>
      <w:rFonts w:cs="黑体"/>
      <w:kern w:val="2"/>
      <w:sz w:val="28"/>
      <w:szCs w:val="22"/>
    </w:rPr>
  </w:style>
  <w:style w:type="paragraph" w:customStyle="1" w:styleId="27">
    <w:name w:val="-正文"/>
    <w:basedOn w:val="1"/>
    <w:qFormat/>
    <w:uiPriority w:val="0"/>
    <w:pPr>
      <w:adjustRightInd/>
      <w:spacing w:line="480" w:lineRule="exact"/>
      <w:ind w:firstLine="200" w:firstLineChars="200"/>
      <w:textAlignment w:val="auto"/>
    </w:pPr>
    <w:rPr>
      <w:sz w:val="24"/>
      <w:lang w:val="zh-CN"/>
    </w:rPr>
  </w:style>
  <w:style w:type="paragraph" w:customStyle="1" w:styleId="28">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29">
    <w:name w:val="表内文字"/>
    <w:basedOn w:val="1"/>
    <w:qFormat/>
    <w:uiPriority w:val="0"/>
    <w:pPr>
      <w:adjustRightInd w:val="0"/>
      <w:jc w:val="center"/>
    </w:pPr>
    <w:rPr>
      <w:kern w:val="0"/>
      <w:sz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34">
    <w:name w:val="Table Grid_0"/>
    <w:basedOn w:val="2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表马"/>
    <w:basedOn w:val="1"/>
    <w:qFormat/>
    <w:uiPriority w:val="0"/>
    <w:pPr>
      <w:adjustRightInd w:val="0"/>
      <w:snapToGrid w:val="0"/>
      <w:spacing w:line="340" w:lineRule="exact"/>
    </w:pPr>
    <w:rPr>
      <w:kern w:val="0"/>
      <w:sz w:val="20"/>
    </w:rPr>
  </w:style>
  <w:style w:type="paragraph" w:customStyle="1" w:styleId="36">
    <w:name w:val="正文_40"/>
    <w:qFormat/>
    <w:uiPriority w:val="0"/>
    <w:pPr>
      <w:widowControl w:val="0"/>
      <w:jc w:val="both"/>
    </w:pPr>
    <w:rPr>
      <w:rFonts w:ascii="Calibri" w:hAnsi="Calibri" w:eastAsia="宋体" w:cs="Times New Roman"/>
      <w:kern w:val="2"/>
      <w:sz w:val="21"/>
      <w:lang w:val="en-US" w:eastAsia="zh-CN" w:bidi="ar-SA"/>
    </w:rPr>
  </w:style>
  <w:style w:type="character" w:customStyle="1" w:styleId="37">
    <w:name w:val="标题 4 Char"/>
    <w:link w:val="8"/>
    <w:qFormat/>
    <w:uiPriority w:val="0"/>
    <w:rPr>
      <w:rFonts w:ascii="Arial" w:hAnsi="Arial" w:eastAsia="宋体"/>
      <w:bCs/>
      <w:sz w:val="24"/>
      <w:szCs w:val="28"/>
    </w:rPr>
  </w:style>
  <w:style w:type="character" w:customStyle="1" w:styleId="38">
    <w:name w:val="标题 3 Char"/>
    <w:link w:val="7"/>
    <w:qFormat/>
    <w:uiPriority w:val="0"/>
    <w:rPr>
      <w:rFonts w:asciiTheme="minorAscii" w:hAnsiTheme="minorAscii"/>
      <w:b/>
      <w:sz w:val="24"/>
    </w:rPr>
  </w:style>
  <w:style w:type="paragraph" w:customStyle="1" w:styleId="39">
    <w:name w:val="WPSOffice手动目录 3"/>
    <w:qFormat/>
    <w:uiPriority w:val="0"/>
    <w:pPr>
      <w:ind w:leftChars="400"/>
    </w:pPr>
    <w:rPr>
      <w:rFonts w:ascii="Times New Roman" w:hAnsi="Times New Roman" w:eastAsia="宋体" w:cs="Times New Roman"/>
      <w:sz w:val="20"/>
      <w:szCs w:val="20"/>
    </w:rPr>
  </w:style>
  <w:style w:type="paragraph" w:customStyle="1" w:styleId="40">
    <w:name w:val="-表格"/>
    <w:basedOn w:val="1"/>
    <w:next w:val="1"/>
    <w:qFormat/>
    <w:uiPriority w:val="0"/>
    <w:pPr>
      <w:widowControl/>
      <w:tabs>
        <w:tab w:val="left" w:pos="3696"/>
      </w:tabs>
      <w:spacing w:line="240" w:lineRule="auto"/>
      <w:jc w:val="center"/>
    </w:pPr>
    <w:rPr>
      <w:snapToGrid w:val="0"/>
      <w:sz w:val="20"/>
    </w:rPr>
  </w:style>
  <w:style w:type="paragraph" w:customStyle="1" w:styleId="41">
    <w:name w:val="表格头"/>
    <w:basedOn w:val="1"/>
    <w:qFormat/>
    <w:uiPriority w:val="0"/>
    <w:pPr>
      <w:adjustRightInd w:val="0"/>
      <w:snapToGrid w:val="0"/>
      <w:spacing w:afterLines="30"/>
      <w:jc w:val="center"/>
    </w:pPr>
    <w:rPr>
      <w:b/>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image" Target="media/image19.png"/><Relationship Id="rId26" Type="http://schemas.openxmlformats.org/officeDocument/2006/relationships/image" Target="../NUL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wNjg3NDQxNDY2IiwKCSJHcm91cElkIiA6ICIyNjg4Mzc5MTgiLAoJIkltYWdlIiA6ICJpVkJPUncwS0dnb0FBQUFOU1VoRVVnQUFBK1FBQUFUTkNBWUFBQURGV1o1aEFBQUFDWEJJV1hNQUFBc1RBQUFMRXdFQW1wd1lBQUFnQUVsRVFWUjRuT3pkZVhoVFpkby84Ty9KdmpSZDByU2wxTklGS0Z0cGFaQVJIVi9GVVJRVi9PbTRES0tEaUtNZ2d3Nk9PcXlPZ0NLN0l1SkNkVVFkV1JSUUIxRVFCMEZmRkdld0xTRDRVdHBDV1VyM0pHMldObW1TOC91RHBuWkpWd3FoN2ZkelhWNVh6N1BlNTBBamQ4NXpuZ01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MEEvdC8xU1FJQ214QjF0d0FBQUFBU1VWT1JLNUNZSUk9IiwKCSJUaGVtZSIgOiAiIiwKCSJUeXBlIiA6ICJmbG93IiwKCSJWZXJzaW9uIiA6ICIxIgp9Cg=="/>
    </extobj>
    <extobj name="ECB019B1-382A-4266-B25C-5B523AA43C14-2">
      <extobjdata type="ECB019B1-382A-4266-B25C-5B523AA43C14" data="ewoJIkZpbGVJZCIgOiAiMjEwNjg3NzgwMzg0IiwKCSJHcm91cElkIiA6ICIyNjg4Mzc5MTgiLAoJIkltYWdlIiA6ICJpVkJPUncwS0dnb0FBQUFOU1VoRVVnQUFBK29BQUFRTENBWUFBQUFjSVZON0FBQUFDWEJJV1hNQUFBc1RBQUFMRXdFQW1wd1lBQUFnQUVsRVFWUjRuT3pkZVhoVFpkby84Ty9KdmpSZDByU2wxTklGS0Z0cGFaQVJIVi9GVVJRVi9PbTRES0tEaUtNZ2d3Nk9PcXlPZ0NLN0l1SkNkVVFkV1JSUUIxRVFCMEZmRkdld0xTRDRVdHBDV1VyM0pHMldObW1TOC91RHBuWkpWd3BwNmZkelhWNVh6N1BlNTBBamQ4NXpuZ01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d0SC9BNmdmYmZBZlJTLzdBQUFBQUVsRlRrU3VRbUNDIiwKCSJUaGVtZSIgOiAiIiwKCSJUeXBlIiA6ICJmbG93IiwKCSJWZXJzaW9uIiA6ICIxIgp9Cg=="/>
    </extobj>
    <extobj name="ECB019B1-382A-4266-B25C-5B523AA43C14-3">
      <extobjdata type="ECB019B1-382A-4266-B25C-5B523AA43C14" data="ewoJIkZpbGVJZCIgOiAiMjA2MjAwNDA1NDY4IiwKCSJHcm91cElkIiA6ICIyNjg4Mzc5MTgiLAoJIkltYWdlIiA6ICJpVkJPUncwS0dnb0FBQUFOU1VoRVVnQUFBMUFBQUFNT0NBWUFBQUFRbitlMkFBQUFDWEJJV1hNQUFBc1RBQUFMRXdFQW1wd1lBQUFnQUVsRVFWUjRuT3pkZDNoVVpmci84YytaTkVnbElRSWhGQ2xHWEdvbW9DQlNCYVJJRURFdXhyNHJ1NmlveUNxeVlvSGxaMFBBTGxaYzNRWHNTblJGeFVWWjIxZldKQ0NnU084RUpDRTlrR1R5L1A3QXpDWWt3UUV5T1puay9ib3VMdVk4cDkxenpseVRjOC96blB0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195</Pages>
  <Words>1948</Words>
  <Characters>2894</Characters>
  <Lines>0</Lines>
  <Paragraphs>0</Paragraphs>
  <TotalTime>7</TotalTime>
  <ScaleCrop>false</ScaleCrop>
  <LinksUpToDate>false</LinksUpToDate>
  <CharactersWithSpaces>3556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2021-08-31T02:18:00Z</dcterms:created>
  <dc:creator>棠嘉</dc:creator>
  <cp:lastModifiedBy>xxxx</cp:lastModifiedBy>
  <dcterms:modified xsi:type="dcterms:W3CDTF">2025-04-23T06:44:08Z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2D7DEBC65F8D4EE0B31AFE41A5AF05F7</vt:lpwstr>
  </property>
  <property fmtid="{D5CDD505-2E9C-101B-9397-08002B2CF9AE}" pid="4" name="KSOTemplateDocerSaveRecord">
    <vt:lpwstr>eyJoZGlkIjoiMDZhOGMxODUwMjdlY2IzN2QwNDFlNTdlNzkwNGUyY2UiLCJ1c2VySWQiOiIxNjYxMjk4MDQ1In0=</vt:lpwstr>
  </property>
</Properties>
</file>