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30</w:t>
      </w:r>
      <w:r>
        <w:rPr>
          <w:rFonts w:hint="eastAsia" w:ascii="仿宋" w:hAnsi="仿宋" w:eastAsia="仿宋" w:cs="仿宋"/>
          <w:sz w:val="32"/>
          <w:szCs w:val="32"/>
        </w:rPr>
        <w:t>号</w:t>
      </w:r>
    </w:p>
    <w:p w14:paraId="187037DF">
      <w:pPr>
        <w:pStyle w:val="2"/>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05234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关于建渣加工利用及建材生产项目</w:t>
      </w:r>
    </w:p>
    <w:p w14:paraId="7F5649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环境影响报告表的批复</w:t>
      </w:r>
    </w:p>
    <w:p w14:paraId="1A4C9D87">
      <w:pPr>
        <w:pStyle w:val="8"/>
        <w:keepNext w:val="0"/>
        <w:keepLines w:val="0"/>
        <w:pageBreakBefore w:val="0"/>
        <w:widowControl w:val="0"/>
        <w:kinsoku/>
        <w:wordWrap/>
        <w:overflowPunct/>
        <w:topLinePunct w:val="0"/>
        <w:autoSpaceDE/>
        <w:autoSpaceDN/>
        <w:bidi w:val="0"/>
        <w:adjustRightInd/>
        <w:snapToGrid/>
        <w:spacing w:line="550" w:lineRule="exact"/>
        <w:ind w:left="0"/>
        <w:jc w:val="both"/>
        <w:textAlignment w:val="auto"/>
        <w:rPr>
          <w:rFonts w:hint="eastAsia" w:ascii="仿宋" w:hAnsi="仿宋" w:eastAsia="仿宋" w:cs="仿宋"/>
          <w:color w:val="auto"/>
          <w:spacing w:val="-6"/>
          <w:kern w:val="2"/>
          <w:sz w:val="32"/>
          <w:szCs w:val="32"/>
          <w:lang w:val="en-US" w:eastAsia="zh-CN" w:bidi="ar-SA"/>
        </w:rPr>
      </w:pPr>
    </w:p>
    <w:p w14:paraId="6090ED85">
      <w:pPr>
        <w:keepNext w:val="0"/>
        <w:keepLines w:val="0"/>
        <w:pageBreakBefore w:val="0"/>
        <w:widowControl w:val="0"/>
        <w:kinsoku/>
        <w:wordWrap/>
        <w:overflowPunct/>
        <w:topLinePunct w:val="0"/>
        <w:autoSpaceDE/>
        <w:autoSpaceDN/>
        <w:bidi w:val="0"/>
        <w:adjustRightInd/>
        <w:snapToGrid/>
        <w:spacing w:line="55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四川省固发新型建材有限公司：</w:t>
      </w:r>
    </w:p>
    <w:p w14:paraId="5F487DB2">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你公司报送的《建渣加工利用及建材生产项目环境影响报告表》（以下简称《报告表》）收悉。经研究，批复如下：</w:t>
      </w:r>
    </w:p>
    <w:p w14:paraId="621A90AF">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一、项目概况及总体意见</w:t>
      </w:r>
    </w:p>
    <w:p w14:paraId="7EE7F82B">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项目位于大英县隆盛镇五龙桥村，拟租用大英县鑫辉建材有限公司五家桥分公司已建厂房，占地面积</w:t>
      </w:r>
      <w:r>
        <w:rPr>
          <w:rFonts w:hint="default" w:ascii="Times New Roman" w:hAnsi="Times New Roman" w:eastAsia="仿宋" w:cs="Times New Roman"/>
          <w:color w:val="auto"/>
          <w:sz w:val="32"/>
          <w:szCs w:val="32"/>
          <w:lang w:val="en-US" w:eastAsia="zh-CN"/>
        </w:rPr>
        <w:t>11970.39平</w:t>
      </w:r>
      <w:r>
        <w:rPr>
          <w:rFonts w:hint="eastAsia" w:ascii="仿宋" w:hAnsi="仿宋" w:eastAsia="仿宋" w:cs="仿宋"/>
          <w:color w:val="auto"/>
          <w:sz w:val="32"/>
          <w:szCs w:val="32"/>
          <w:lang w:val="en-US" w:eastAsia="zh-CN"/>
        </w:rPr>
        <w:t>方米，新建一条年产</w:t>
      </w:r>
      <w:r>
        <w:rPr>
          <w:rFonts w:hint="eastAsia" w:ascii="Times New Roman" w:hAnsi="Times New Roman" w:eastAsia="仿宋" w:cs="Times New Roman"/>
          <w:color w:val="auto"/>
          <w:sz w:val="32"/>
          <w:szCs w:val="32"/>
          <w:lang w:val="en-US" w:eastAsia="zh-CN"/>
        </w:rPr>
        <w:t>25</w:t>
      </w:r>
      <w:r>
        <w:rPr>
          <w:rFonts w:hint="eastAsia" w:ascii="仿宋" w:hAnsi="仿宋" w:eastAsia="仿宋" w:cs="仿宋"/>
          <w:color w:val="auto"/>
          <w:sz w:val="32"/>
          <w:szCs w:val="32"/>
          <w:lang w:val="en-US" w:eastAsia="zh-CN"/>
        </w:rPr>
        <w:t>万平方米非黏土免烧砖生产线、</w:t>
      </w:r>
      <w:r>
        <w:rPr>
          <w:rFonts w:hint="eastAsia"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万立方米用于建筑、筑路、墓地及其他用途的大理石板、花岗岩等石材加工线、</w:t>
      </w:r>
      <w:r>
        <w:rPr>
          <w:rFonts w:hint="eastAsia" w:ascii="Times New Roman" w:hAnsi="Times New Roman" w:eastAsia="仿宋" w:cs="Times New Roman"/>
          <w:color w:val="auto"/>
          <w:sz w:val="32"/>
          <w:szCs w:val="32"/>
          <w:lang w:val="en-US" w:eastAsia="zh-CN"/>
        </w:rPr>
        <w:t>10</w:t>
      </w:r>
      <w:r>
        <w:rPr>
          <w:rFonts w:hint="eastAsia" w:ascii="仿宋" w:hAnsi="仿宋" w:eastAsia="仿宋" w:cs="仿宋"/>
          <w:color w:val="auto"/>
          <w:sz w:val="32"/>
          <w:szCs w:val="32"/>
          <w:lang w:val="en-US" w:eastAsia="zh-CN"/>
        </w:rPr>
        <w:t>万吨用废料或废渣生产的建筑材料加工线、</w:t>
      </w:r>
      <w:r>
        <w:rPr>
          <w:rFonts w:hint="eastAsia" w:ascii="Times New Roman" w:hAnsi="Times New Roman" w:eastAsia="仿宋" w:cs="Times New Roman"/>
          <w:color w:val="auto"/>
          <w:sz w:val="32"/>
          <w:szCs w:val="32"/>
          <w:lang w:val="en-US" w:eastAsia="zh-CN"/>
        </w:rPr>
        <w:t>1万</w:t>
      </w:r>
      <w:r>
        <w:rPr>
          <w:rFonts w:hint="eastAsia" w:ascii="仿宋" w:hAnsi="仿宋" w:eastAsia="仿宋" w:cs="仿宋"/>
          <w:color w:val="auto"/>
          <w:sz w:val="32"/>
          <w:szCs w:val="32"/>
          <w:lang w:val="en-US" w:eastAsia="zh-CN"/>
        </w:rPr>
        <w:t>米水泥制管、瓦等制品生产线。建成后形成年产</w:t>
      </w:r>
      <w:r>
        <w:rPr>
          <w:rFonts w:hint="eastAsia" w:ascii="Times New Roman" w:hAnsi="Times New Roman" w:eastAsia="仿宋" w:cs="Times New Roman"/>
          <w:color w:val="auto"/>
          <w:sz w:val="32"/>
          <w:szCs w:val="32"/>
          <w:lang w:val="en-US" w:eastAsia="zh-CN"/>
        </w:rPr>
        <w:t>25</w:t>
      </w:r>
      <w:r>
        <w:rPr>
          <w:rFonts w:hint="eastAsia" w:ascii="仿宋" w:hAnsi="仿宋" w:eastAsia="仿宋" w:cs="仿宋"/>
          <w:color w:val="auto"/>
          <w:sz w:val="32"/>
          <w:szCs w:val="32"/>
          <w:lang w:val="en-US" w:eastAsia="zh-CN"/>
        </w:rPr>
        <w:t>万平方米非黏土免烧砖，</w:t>
      </w:r>
      <w:r>
        <w:rPr>
          <w:rFonts w:hint="eastAsia"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万立方米用于建筑、筑路、墓地及其他用途的大理石板、花岗岩，</w:t>
      </w:r>
      <w:r>
        <w:rPr>
          <w:rFonts w:hint="eastAsia" w:ascii="Times New Roman" w:hAnsi="Times New Roman" w:eastAsia="仿宋" w:cs="Times New Roman"/>
          <w:color w:val="auto"/>
          <w:sz w:val="32"/>
          <w:szCs w:val="32"/>
          <w:lang w:val="en-US" w:eastAsia="zh-CN"/>
        </w:rPr>
        <w:t>1</w:t>
      </w:r>
      <w:r>
        <w:rPr>
          <w:rFonts w:hint="eastAsia" w:ascii="仿宋" w:hAnsi="仿宋" w:eastAsia="仿宋" w:cs="仿宋"/>
          <w:color w:val="auto"/>
          <w:sz w:val="32"/>
          <w:szCs w:val="32"/>
          <w:lang w:val="en-US" w:eastAsia="zh-CN"/>
        </w:rPr>
        <w:t>万米水泥制管、瓦等制品，年处理</w:t>
      </w:r>
      <w:r>
        <w:rPr>
          <w:rFonts w:hint="eastAsia" w:ascii="Times New Roman" w:hAnsi="Times New Roman" w:eastAsia="仿宋" w:cs="Times New Roman"/>
          <w:color w:val="auto"/>
          <w:sz w:val="32"/>
          <w:szCs w:val="32"/>
          <w:lang w:val="en-US" w:eastAsia="zh-CN"/>
        </w:rPr>
        <w:t>10万吨建筑材料用废料或废渣的生产能力。项目总投资500万元，其中环保投资44.20</w:t>
      </w:r>
      <w:r>
        <w:rPr>
          <w:rFonts w:hint="eastAsia" w:ascii="仿宋" w:hAnsi="仿宋" w:eastAsia="仿宋" w:cs="仿宋"/>
          <w:color w:val="auto"/>
          <w:sz w:val="32"/>
          <w:szCs w:val="32"/>
          <w:lang w:val="en-US" w:eastAsia="zh-CN"/>
        </w:rPr>
        <w:t>万元。</w:t>
      </w:r>
    </w:p>
    <w:p w14:paraId="044E6E7A">
      <w:pPr>
        <w:keepNext w:val="0"/>
        <w:keepLines w:val="0"/>
        <w:pageBreakBefore w:val="0"/>
        <w:widowControl w:val="0"/>
        <w:kinsoku/>
        <w:wordWrap/>
        <w:overflowPunct/>
        <w:topLinePunct w:val="0"/>
        <w:autoSpaceDE/>
        <w:autoSpaceDN/>
        <w:bidi w:val="0"/>
        <w:adjustRightInd/>
        <w:snapToGrid/>
        <w:spacing w:line="550" w:lineRule="exact"/>
        <w:ind w:right="0" w:rightChars="0" w:firstLine="656" w:firstLineChars="200"/>
        <w:textAlignment w:val="auto"/>
        <w:outlineLvl w:val="9"/>
        <w:rPr>
          <w:rFonts w:hint="eastAsia" w:ascii="仿宋" w:hAnsi="仿宋" w:eastAsia="仿宋" w:cs="仿宋"/>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auto"/>
          <w:spacing w:val="6"/>
          <w:sz w:val="32"/>
          <w:szCs w:val="32"/>
          <w:lang w:val="en-US" w:eastAsia="zh-CN"/>
        </w:rPr>
        <w:t>项目经大英县发展和改革局备案同意（备案号：川投资备</w:t>
      </w:r>
    </w:p>
    <w:p w14:paraId="6B04D5F7">
      <w:pPr>
        <w:keepNext w:val="0"/>
        <w:keepLines w:val="0"/>
        <w:pageBreakBefore w:val="0"/>
        <w:widowControl w:val="0"/>
        <w:kinsoku/>
        <w:wordWrap/>
        <w:overflowPunct/>
        <w:topLinePunct w:val="0"/>
        <w:autoSpaceDE/>
        <w:autoSpaceDN/>
        <w:bidi w:val="0"/>
        <w:adjustRightInd/>
        <w:snapToGrid/>
        <w:spacing w:line="550" w:lineRule="exact"/>
        <w:ind w:right="0" w:rightChars="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default" w:ascii="Times New Roman" w:hAnsi="Times New Roman" w:eastAsia="仿宋" w:cs="Times New Roman"/>
          <w:color w:val="auto"/>
          <w:sz w:val="32"/>
          <w:szCs w:val="32"/>
          <w:lang w:val="en-US" w:eastAsia="zh-CN"/>
        </w:rPr>
        <w:t>2411-510923-04-01-227800】FGQB-0367</w:t>
      </w:r>
      <w:r>
        <w:rPr>
          <w:rFonts w:hint="eastAsia" w:ascii="仿宋" w:hAnsi="仿宋" w:eastAsia="仿宋" w:cs="仿宋"/>
          <w:color w:val="auto"/>
          <w:sz w:val="32"/>
          <w:szCs w:val="32"/>
          <w:lang w:val="en-US" w:eastAsia="zh-CN"/>
        </w:rPr>
        <w:t>号），属于未列入《产业结构调整指导目录（</w:t>
      </w:r>
      <w:r>
        <w:rPr>
          <w:rFonts w:hint="eastAsia" w:ascii="Times New Roman" w:hAnsi="Times New Roman" w:eastAsia="仿宋" w:cs="Times New Roman"/>
          <w:color w:val="auto"/>
          <w:sz w:val="32"/>
          <w:szCs w:val="32"/>
          <w:lang w:val="en-US" w:eastAsia="zh-CN"/>
        </w:rPr>
        <w:t>2024</w:t>
      </w:r>
      <w:r>
        <w:rPr>
          <w:rFonts w:hint="eastAsia" w:ascii="仿宋" w:hAnsi="仿宋" w:eastAsia="仿宋" w:cs="仿宋"/>
          <w:color w:val="auto"/>
          <w:sz w:val="32"/>
          <w:szCs w:val="32"/>
          <w:lang w:val="en-US" w:eastAsia="zh-CN"/>
        </w:rPr>
        <w:t>年本）》中的允许类项目。项目不新增建设用地。《报告表》认为该项目建设符合国家产业政</w:t>
      </w:r>
      <w:bookmarkStart w:id="0" w:name="_GoBack"/>
      <w:bookmarkEnd w:id="0"/>
      <w:r>
        <w:rPr>
          <w:rFonts w:hint="eastAsia" w:ascii="仿宋" w:hAnsi="仿宋" w:eastAsia="仿宋" w:cs="仿宋"/>
          <w:color w:val="auto"/>
          <w:sz w:val="32"/>
          <w:szCs w:val="32"/>
          <w:lang w:val="en-US" w:eastAsia="zh-CN"/>
        </w:rPr>
        <w:t>策，选址符合相关规划要求。</w:t>
      </w:r>
    </w:p>
    <w:p w14:paraId="3EFFC6F2">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0B426B67">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二、项目建设及营运期应重点做好以下工作</w:t>
      </w:r>
    </w:p>
    <w:p w14:paraId="50C11A0D">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hint="eastAsia" w:ascii="仿宋" w:hAnsi="仿宋" w:eastAsia="仿宋" w:cs="仿宋"/>
          <w:color w:val="auto"/>
          <w:sz w:val="32"/>
          <w:szCs w:val="32"/>
          <w:lang w:val="en-US" w:eastAsia="zh-CN"/>
        </w:rPr>
        <w:t>加强生态环境保护，强化环保设施的日常管理和维护，确保环保设施正常运行及各类污染物稳定达标排放。制定并不断完善突发环境事件应急预案，规范内部管理，严格操作规范，定期开展自行监测，防止污染事故的发生。</w:t>
      </w:r>
    </w:p>
    <w:p w14:paraId="44394E98">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（二）落实废气治理措施。</w:t>
      </w:r>
      <w:r>
        <w:rPr>
          <w:rFonts w:hint="eastAsia" w:ascii="仿宋" w:hAnsi="仿宋" w:eastAsia="仿宋" w:cs="仿宋"/>
          <w:color w:val="auto"/>
          <w:sz w:val="32"/>
          <w:szCs w:val="32"/>
          <w:lang w:val="en-US" w:eastAsia="zh-CN"/>
        </w:rPr>
        <w:t>建渣、砂石及固废堆场均设于封闭车间内，四周封闭，只留原料运输出入口，在卸料时开启喷雾降尘装置，降低卸料粉尘，并定期对原料堆场洒水降尘，减少堆场扬尘；建渣及部分固废的破碎，在破碎机进料口设置喷淋降尘装置，控制铲车运输车速，减轻粉尘排放，同时在破碎机和振动筛上方安装集气罩，破碎、筛分粉尘经配套布袋除尘器处理后，尾气通过</w:t>
      </w:r>
      <w:r>
        <w:rPr>
          <w:rFonts w:hint="default" w:ascii="Times New Roman" w:hAnsi="Times New Roman" w:eastAsia="仿宋" w:cs="Times New Roman"/>
          <w:color w:val="auto"/>
          <w:sz w:val="32"/>
          <w:szCs w:val="32"/>
          <w:lang w:val="en-US" w:eastAsia="zh-CN"/>
        </w:rPr>
        <w:t>15m高排气筒（DA001）</w:t>
      </w:r>
      <w:r>
        <w:rPr>
          <w:rFonts w:hint="eastAsia" w:ascii="仿宋" w:hAnsi="仿宋" w:eastAsia="仿宋" w:cs="仿宋"/>
          <w:color w:val="auto"/>
          <w:sz w:val="32"/>
          <w:szCs w:val="32"/>
          <w:lang w:val="en-US" w:eastAsia="zh-CN"/>
        </w:rPr>
        <w:t>排放，未收集到的粉尘在车间沉降，定期车间内洒水降尘；水泥、粉煤灰罐仓产生的呼吸粉尘，经自带脉冲式除尘器处理；砂石、再生建筑料、粉煤灰、水泥等计量、投料工序均在封闭空间内，采用密闭输送带，同时车间内设置喷雾装置；免烧砖、水泥预制管、瓦等生产过程的搅拌工序为密闭状态，并设置喷雾装置。</w:t>
      </w:r>
    </w:p>
    <w:p w14:paraId="368CE60C">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（三）落实废水处理措施。</w:t>
      </w:r>
      <w:r>
        <w:rPr>
          <w:rFonts w:hint="eastAsia" w:ascii="仿宋" w:hAnsi="仿宋" w:eastAsia="仿宋" w:cs="仿宋"/>
          <w:color w:val="auto"/>
          <w:sz w:val="32"/>
          <w:szCs w:val="32"/>
          <w:lang w:val="en-US" w:eastAsia="zh-CN"/>
        </w:rPr>
        <w:t>雨水经收集，用作厂区洒水降尘及生产用水；搅拌机和作业地面冲洗废水、运输车辆冲洗废水、石材加工废水经收集后分别进入配套的沉淀池沉淀后回用，不外排；生活污水由厂区内化粪池收集后用作农田施肥。</w:t>
      </w:r>
    </w:p>
    <w:p w14:paraId="1F239F95">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hint="eastAsia" w:ascii="仿宋" w:hAnsi="仿宋" w:eastAsia="仿宋" w:cs="仿宋"/>
          <w:color w:val="auto"/>
          <w:sz w:val="32"/>
          <w:szCs w:val="32"/>
          <w:lang w:val="en-US" w:eastAsia="zh-CN"/>
        </w:rPr>
        <w:t>固体废物按要求落实分类收集、贮存、运输及处置措施。不合格产品及废边角料、除尘器粉尘、沉淀池污泥收集处理后回用于生产；废塑料薄膜、废钢筋、废包装材料、分选杂物中可回收部分交由物资回收单位，不可回收部分</w:t>
      </w:r>
      <w:r>
        <w:rPr>
          <w:rFonts w:hint="eastAsia" w:ascii="仿宋" w:hAnsi="仿宋" w:cs="仿宋"/>
          <w:color w:val="auto"/>
          <w:sz w:val="32"/>
          <w:szCs w:val="32"/>
          <w:lang w:val="en-US" w:eastAsia="zh-CN"/>
        </w:rPr>
        <w:t>交由</w:t>
      </w:r>
      <w:r>
        <w:rPr>
          <w:rFonts w:hint="eastAsia" w:ascii="仿宋" w:hAnsi="仿宋" w:eastAsia="仿宋" w:cs="仿宋"/>
          <w:color w:val="auto"/>
          <w:sz w:val="32"/>
          <w:szCs w:val="32"/>
          <w:lang w:val="en-US" w:eastAsia="zh-CN"/>
        </w:rPr>
        <w:t>环卫部门清运；生活垃圾收集后交由环卫部门处置；废液压油、废润滑油桶、废含油手套和抹布等危险废物分类收集后贮存于危废暂存间，定期交由有资质的单位处理，转移过程严格落实《危险废物转移管理办法》。</w:t>
      </w:r>
    </w:p>
    <w:p w14:paraId="6EC7BD17">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hint="eastAsia" w:ascii="仿宋" w:hAnsi="仿宋" w:eastAsia="仿宋" w:cs="仿宋"/>
          <w:color w:val="auto"/>
          <w:sz w:val="32"/>
          <w:szCs w:val="32"/>
          <w:lang w:val="en-US" w:eastAsia="zh-CN"/>
        </w:rPr>
        <w:t>主要噪声源应合理布局，在设备选型上应优选低噪声设备，采取隔声、减振、消声等措施，同时加强机械设备的日常维护，确保厂界噪声达到《工业企业厂界环境噪声排放标准》（</w:t>
      </w:r>
      <w:r>
        <w:rPr>
          <w:rFonts w:hint="default" w:ascii="Times New Roman" w:hAnsi="Times New Roman" w:eastAsia="仿宋" w:cs="Times New Roman"/>
          <w:color w:val="auto"/>
          <w:sz w:val="32"/>
          <w:szCs w:val="32"/>
          <w:lang w:val="en-US" w:eastAsia="zh-CN"/>
        </w:rPr>
        <w:t>GB12348-2008）2</w:t>
      </w:r>
      <w:r>
        <w:rPr>
          <w:rFonts w:hint="eastAsia" w:ascii="仿宋" w:hAnsi="仿宋" w:eastAsia="仿宋" w:cs="仿宋"/>
          <w:color w:val="auto"/>
          <w:sz w:val="32"/>
          <w:szCs w:val="32"/>
          <w:lang w:val="en-US" w:eastAsia="zh-CN"/>
        </w:rPr>
        <w:t>类声环境功能区排放限值的要求。</w:t>
      </w:r>
    </w:p>
    <w:p w14:paraId="72B2C18A">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hint="eastAsia" w:ascii="仿宋" w:hAnsi="仿宋" w:eastAsia="仿宋" w:cs="仿宋"/>
          <w:color w:val="auto"/>
          <w:sz w:val="32"/>
          <w:szCs w:val="32"/>
          <w:lang w:val="en-US" w:eastAsia="zh-CN"/>
        </w:rPr>
        <w:t>落实分区防渗措施，危险废物暂存间、原料库房处进行重点防渗；化粪池、沉淀池、雨水收集池、车辆冲洗区等区域进行一般防渗；其他区域进行简单防渗。</w:t>
      </w:r>
    </w:p>
    <w:p w14:paraId="08B10556">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三、</w:t>
      </w:r>
      <w:r>
        <w:rPr>
          <w:rFonts w:hint="eastAsia" w:ascii="仿宋" w:hAnsi="仿宋" w:eastAsia="仿宋" w:cs="仿宋"/>
          <w:color w:val="auto"/>
          <w:sz w:val="32"/>
          <w:szCs w:val="32"/>
          <w:lang w:val="en-US" w:eastAsia="zh-CN"/>
        </w:rPr>
        <w:t>项目开工建设前，应依法完备其他行政许可手续。</w:t>
      </w:r>
    </w:p>
    <w:p w14:paraId="58F90131">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四、排污许可和环保验收</w:t>
      </w:r>
    </w:p>
    <w:p w14:paraId="67CEE1DF">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7C95FD87">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38366FE3">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五、其他规定</w:t>
      </w:r>
    </w:p>
    <w:p w14:paraId="1F41F7B7">
      <w:pPr>
        <w:keepNext w:val="0"/>
        <w:keepLines w:val="0"/>
        <w:pageBreakBefore w:val="0"/>
        <w:widowControl w:val="0"/>
        <w:kinsoku/>
        <w:wordWrap/>
        <w:overflowPunct/>
        <w:topLinePunct w:val="0"/>
        <w:autoSpaceDE/>
        <w:autoSpaceDN/>
        <w:bidi w:val="0"/>
        <w:adjustRightInd/>
        <w:snapToGrid/>
        <w:spacing w:line="550" w:lineRule="exact"/>
        <w:ind w:right="0" w:rightChars="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w:t>
      </w:r>
      <w:r>
        <w:rPr>
          <w:rFonts w:hint="default" w:ascii="Times New Roman" w:hAnsi="Times New Roman" w:eastAsia="仿宋" w:cs="Times New Roman"/>
          <w:color w:val="auto"/>
          <w:sz w:val="32"/>
          <w:szCs w:val="32"/>
          <w:lang w:val="en-US" w:eastAsia="zh-CN"/>
        </w:rPr>
        <w:t>5</w:t>
      </w:r>
      <w:r>
        <w:rPr>
          <w:rFonts w:hint="eastAsia" w:ascii="仿宋" w:hAnsi="仿宋" w:eastAsia="仿宋" w:cs="仿宋"/>
          <w:color w:val="auto"/>
          <w:sz w:val="32"/>
          <w:szCs w:val="32"/>
          <w:lang w:val="en-US" w:eastAsia="zh-CN"/>
        </w:rPr>
        <w:t>年方决定开工建设，环境影响评价文件应当报我局重新审核。</w:t>
      </w:r>
    </w:p>
    <w:p w14:paraId="146A2708">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600" w:lineRule="exact"/>
        <w:ind w:firstLine="5016" w:firstLineChars="165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58396B84">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5</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9</w:t>
      </w:r>
      <w:r>
        <w:rPr>
          <w:rFonts w:hint="eastAsia" w:ascii="仿宋" w:hAnsi="仿宋" w:eastAsia="仿宋" w:cs="仿宋"/>
          <w:spacing w:val="-6"/>
          <w:sz w:val="32"/>
          <w:szCs w:val="32"/>
          <w:lang w:val="en-US" w:eastAsia="zh-CN"/>
        </w:rPr>
        <w:t xml:space="preserve">日        </w:t>
      </w: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D834">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59EFA">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2A759EFA">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D44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04E6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73004E6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E46C6A"/>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E4740F"/>
    <w:rsid w:val="0C112E71"/>
    <w:rsid w:val="0C4C2651"/>
    <w:rsid w:val="0C8F3D96"/>
    <w:rsid w:val="0F410220"/>
    <w:rsid w:val="0F5D7B56"/>
    <w:rsid w:val="0F926D2E"/>
    <w:rsid w:val="0F993F9A"/>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72120C7"/>
    <w:rsid w:val="1735378C"/>
    <w:rsid w:val="17586B74"/>
    <w:rsid w:val="17866686"/>
    <w:rsid w:val="18196B6F"/>
    <w:rsid w:val="1907403C"/>
    <w:rsid w:val="194A1AC8"/>
    <w:rsid w:val="196654F1"/>
    <w:rsid w:val="1A5916FA"/>
    <w:rsid w:val="1AA1530A"/>
    <w:rsid w:val="1ACF0994"/>
    <w:rsid w:val="1ACF1846"/>
    <w:rsid w:val="1ADB2985"/>
    <w:rsid w:val="1B326960"/>
    <w:rsid w:val="1B7C3FB9"/>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C309C3"/>
    <w:rsid w:val="2DED6716"/>
    <w:rsid w:val="2E07339C"/>
    <w:rsid w:val="2EFC29C4"/>
    <w:rsid w:val="2F1C72B3"/>
    <w:rsid w:val="2F57550A"/>
    <w:rsid w:val="2FC71794"/>
    <w:rsid w:val="310F7B8F"/>
    <w:rsid w:val="31224929"/>
    <w:rsid w:val="31442D31"/>
    <w:rsid w:val="31774C75"/>
    <w:rsid w:val="31F50C2D"/>
    <w:rsid w:val="31FD6612"/>
    <w:rsid w:val="32110115"/>
    <w:rsid w:val="32C1089D"/>
    <w:rsid w:val="32EB3B6C"/>
    <w:rsid w:val="33351A68"/>
    <w:rsid w:val="33775400"/>
    <w:rsid w:val="33F01C8F"/>
    <w:rsid w:val="34047828"/>
    <w:rsid w:val="343706EB"/>
    <w:rsid w:val="344E1C6F"/>
    <w:rsid w:val="347C2F67"/>
    <w:rsid w:val="34996C6F"/>
    <w:rsid w:val="34A22009"/>
    <w:rsid w:val="34D12CF9"/>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2D2343"/>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0964AA"/>
    <w:rsid w:val="440C3E60"/>
    <w:rsid w:val="44242A3A"/>
    <w:rsid w:val="44496945"/>
    <w:rsid w:val="445043AE"/>
    <w:rsid w:val="44D6679B"/>
    <w:rsid w:val="44EB79FC"/>
    <w:rsid w:val="453B44DF"/>
    <w:rsid w:val="45650C43"/>
    <w:rsid w:val="457B0D80"/>
    <w:rsid w:val="45EE22DC"/>
    <w:rsid w:val="46564467"/>
    <w:rsid w:val="46CE1751"/>
    <w:rsid w:val="47173438"/>
    <w:rsid w:val="47B72074"/>
    <w:rsid w:val="47ED3A8B"/>
    <w:rsid w:val="47FC4AB3"/>
    <w:rsid w:val="48473F43"/>
    <w:rsid w:val="486C0E54"/>
    <w:rsid w:val="489B34E7"/>
    <w:rsid w:val="491F4DFE"/>
    <w:rsid w:val="49225801"/>
    <w:rsid w:val="4944487A"/>
    <w:rsid w:val="496833C9"/>
    <w:rsid w:val="49F74B85"/>
    <w:rsid w:val="4B6126FE"/>
    <w:rsid w:val="4BA71E75"/>
    <w:rsid w:val="4BBC5C4E"/>
    <w:rsid w:val="4C6267F5"/>
    <w:rsid w:val="4CD46FC7"/>
    <w:rsid w:val="4CEA0599"/>
    <w:rsid w:val="4CF237DA"/>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7D4C6F"/>
    <w:rsid w:val="59C94FB5"/>
    <w:rsid w:val="59D820AB"/>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3D57455"/>
    <w:rsid w:val="64EF4296"/>
    <w:rsid w:val="654B3E73"/>
    <w:rsid w:val="65A43DE1"/>
    <w:rsid w:val="66C335AB"/>
    <w:rsid w:val="670815C7"/>
    <w:rsid w:val="67B77544"/>
    <w:rsid w:val="67C91DE0"/>
    <w:rsid w:val="681D537C"/>
    <w:rsid w:val="682A747C"/>
    <w:rsid w:val="682D2963"/>
    <w:rsid w:val="68AF64C7"/>
    <w:rsid w:val="692F54EF"/>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B060F"/>
    <w:rsid w:val="71AC3EEB"/>
    <w:rsid w:val="71B27028"/>
    <w:rsid w:val="724B2FD5"/>
    <w:rsid w:val="72774C9A"/>
    <w:rsid w:val="727C1767"/>
    <w:rsid w:val="72B86D8A"/>
    <w:rsid w:val="72C65FB9"/>
    <w:rsid w:val="72F86CBC"/>
    <w:rsid w:val="73C80D84"/>
    <w:rsid w:val="740B7313"/>
    <w:rsid w:val="746F0F41"/>
    <w:rsid w:val="74870157"/>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_Style 2"/>
    <w:basedOn w:val="1"/>
    <w:autoRedefine/>
    <w:qFormat/>
    <w:uiPriority w:val="34"/>
    <w:pPr>
      <w:ind w:firstLine="420" w:firstLineChars="200"/>
    </w:pPr>
  </w:style>
  <w:style w:type="paragraph" w:customStyle="1" w:styleId="25">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20"/>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20"/>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20"/>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423</Words>
  <Characters>434</Characters>
  <Lines>0</Lines>
  <Paragraphs>0</Paragraphs>
  <TotalTime>1</TotalTime>
  <ScaleCrop>false</ScaleCrop>
  <LinksUpToDate>false</LinksUpToDate>
  <CharactersWithSpaces>442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2024-10-23T03:35:00Z</cp:lastPrinted>
  <dcterms:modified xsi:type="dcterms:W3CDTF">2025-05-09T03:57:48Z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