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B6695">
      <w:pPr>
        <w:rPr>
          <w:color w:val="000000" w:themeColor="text1"/>
          <w:sz w:val="36"/>
          <w:szCs w:val="36"/>
          <w14:textFill>
            <w14:solidFill>
              <w14:schemeClr w14:val="tx1"/>
            </w14:solidFill>
          </w14:textFill>
        </w:rPr>
      </w:pPr>
    </w:p>
    <w:p w14:paraId="76BA8575">
      <w:pPr>
        <w:rPr>
          <w:color w:val="000000" w:themeColor="text1"/>
          <w:sz w:val="36"/>
          <w:szCs w:val="36"/>
          <w14:textFill>
            <w14:solidFill>
              <w14:schemeClr w14:val="tx1"/>
            </w14:solidFill>
          </w14:textFill>
        </w:rPr>
      </w:pPr>
    </w:p>
    <w:p w14:paraId="76B91F76">
      <w:pPr>
        <w:rPr>
          <w:color w:val="000000" w:themeColor="text1"/>
          <w:sz w:val="36"/>
          <w:szCs w:val="36"/>
          <w14:textFill>
            <w14:solidFill>
              <w14:schemeClr w14:val="tx1"/>
            </w14:solidFill>
          </w14:textFill>
        </w:rPr>
      </w:pPr>
    </w:p>
    <w:p w14:paraId="65790C66">
      <w:pPr>
        <w:rPr>
          <w:color w:val="000000" w:themeColor="text1"/>
          <w:sz w:val="36"/>
          <w:szCs w:val="36"/>
          <w14:textFill>
            <w14:solidFill>
              <w14:schemeClr w14:val="tx1"/>
            </w14:solidFill>
          </w14:textFill>
        </w:rPr>
      </w:pPr>
    </w:p>
    <w:p w14:paraId="5D5EB5AE">
      <w:pPr>
        <w:rPr>
          <w:color w:val="000000" w:themeColor="text1"/>
          <w:sz w:val="36"/>
          <w:szCs w:val="36"/>
          <w14:textFill>
            <w14:solidFill>
              <w14:schemeClr w14:val="tx1"/>
            </w14:solidFill>
          </w14:textFill>
        </w:rPr>
      </w:pPr>
    </w:p>
    <w:p w14:paraId="0B777C91">
      <w:pPr>
        <w:adjustRightInd w:val="0"/>
        <w:snapToGrid w:val="0"/>
        <w:jc w:val="center"/>
        <w:outlineLvl w:val="0"/>
        <w:rPr>
          <w:bCs/>
          <w:color w:val="000000" w:themeColor="text1"/>
          <w:sz w:val="72"/>
          <w:szCs w:val="72"/>
          <w14:textFill>
            <w14:solidFill>
              <w14:schemeClr w14:val="tx1"/>
            </w14:solidFill>
          </w14:textFill>
        </w:rPr>
      </w:pPr>
      <w:r>
        <w:rPr>
          <w:bCs/>
          <w:color w:val="000000" w:themeColor="text1"/>
          <w:sz w:val="72"/>
          <w:szCs w:val="72"/>
          <w14:textFill>
            <w14:solidFill>
              <w14:schemeClr w14:val="tx1"/>
            </w14:solidFill>
          </w14:textFill>
        </w:rPr>
        <w:t>建设项目环境影响报告表</w:t>
      </w:r>
    </w:p>
    <w:p w14:paraId="64C17843">
      <w:pPr>
        <w:adjustRightInd w:val="0"/>
        <w:snapToGrid w:val="0"/>
        <w:spacing w:before="192" w:beforeLines="80" w:line="800" w:lineRule="exact"/>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14:paraId="75C36176">
      <w:pPr>
        <w:adjustRightInd w:val="0"/>
        <w:snapToGrid w:val="0"/>
        <w:spacing w:line="800" w:lineRule="exact"/>
        <w:jc w:val="center"/>
        <w:outlineLvl w:val="0"/>
        <w:rPr>
          <w:color w:val="000000" w:themeColor="text1"/>
          <w:kern w:val="44"/>
          <w:sz w:val="44"/>
          <w:szCs w:val="44"/>
          <w14:textFill>
            <w14:solidFill>
              <w14:schemeClr w14:val="tx1"/>
            </w14:solidFill>
          </w14:textFill>
        </w:rPr>
      </w:pPr>
      <w:r>
        <w:rPr>
          <w:color w:val="000000" w:themeColor="text1"/>
          <w:kern w:val="44"/>
          <w:sz w:val="44"/>
          <w:szCs w:val="44"/>
          <w14:textFill>
            <w14:solidFill>
              <w14:schemeClr w14:val="tx1"/>
            </w14:solidFill>
          </w14:textFill>
        </w:rPr>
        <w:t>（</w:t>
      </w:r>
      <w:r>
        <w:rPr>
          <w:rFonts w:hint="eastAsia"/>
          <w:color w:val="000000" w:themeColor="text1"/>
          <w:kern w:val="44"/>
          <w:sz w:val="44"/>
          <w:szCs w:val="44"/>
          <w14:textFill>
            <w14:solidFill>
              <w14:schemeClr w14:val="tx1"/>
            </w14:solidFill>
          </w14:textFill>
        </w:rPr>
        <w:t>公示</w:t>
      </w:r>
      <w:r>
        <w:rPr>
          <w:color w:val="000000" w:themeColor="text1"/>
          <w:kern w:val="44"/>
          <w:sz w:val="44"/>
          <w:szCs w:val="44"/>
          <w14:textFill>
            <w14:solidFill>
              <w14:schemeClr w14:val="tx1"/>
            </w14:solidFill>
          </w14:textFill>
        </w:rPr>
        <w:t>本）</w:t>
      </w:r>
    </w:p>
    <w:p w14:paraId="6FD54DC5">
      <w:pPr>
        <w:jc w:val="center"/>
        <w:rPr>
          <w:color w:val="000000" w:themeColor="text1"/>
          <w:sz w:val="52"/>
          <w:szCs w:val="52"/>
          <w14:textFill>
            <w14:solidFill>
              <w14:schemeClr w14:val="tx1"/>
            </w14:solidFill>
          </w14:textFill>
        </w:rPr>
      </w:pPr>
    </w:p>
    <w:p w14:paraId="0EC80C15">
      <w:pPr>
        <w:ind w:firstLine="1040"/>
        <w:rPr>
          <w:color w:val="000000" w:themeColor="text1"/>
          <w:sz w:val="44"/>
          <w:szCs w:val="44"/>
          <w14:textFill>
            <w14:solidFill>
              <w14:schemeClr w14:val="tx1"/>
            </w14:solidFill>
          </w14:textFill>
        </w:rPr>
      </w:pPr>
    </w:p>
    <w:p w14:paraId="6BF70BB1">
      <w:pPr>
        <w:ind w:firstLine="1040"/>
        <w:rPr>
          <w:color w:val="000000" w:themeColor="text1"/>
          <w:sz w:val="44"/>
          <w:szCs w:val="44"/>
          <w14:textFill>
            <w14:solidFill>
              <w14:schemeClr w14:val="tx1"/>
            </w14:solidFill>
          </w14:textFill>
        </w:rPr>
      </w:pPr>
    </w:p>
    <w:p w14:paraId="6F746C6A">
      <w:pPr>
        <w:ind w:firstLine="1040"/>
        <w:rPr>
          <w:color w:val="000000" w:themeColor="text1"/>
          <w:sz w:val="44"/>
          <w:szCs w:val="44"/>
          <w14:textFill>
            <w14:solidFill>
              <w14:schemeClr w14:val="tx1"/>
            </w14:solidFill>
          </w14:textFill>
        </w:rPr>
      </w:pPr>
    </w:p>
    <w:p w14:paraId="097DA136">
      <w:pPr>
        <w:ind w:firstLine="1040"/>
        <w:rPr>
          <w:color w:val="000000" w:themeColor="text1"/>
          <w:sz w:val="44"/>
          <w:szCs w:val="44"/>
          <w14:textFill>
            <w14:solidFill>
              <w14:schemeClr w14:val="tx1"/>
            </w14:solidFill>
          </w14:textFill>
        </w:rPr>
      </w:pPr>
    </w:p>
    <w:p w14:paraId="1D901665">
      <w:pPr>
        <w:adjustRightInd w:val="0"/>
        <w:snapToGrid w:val="0"/>
        <w:spacing w:line="288" w:lineRule="auto"/>
        <w:rPr>
          <w:color w:val="000000" w:themeColor="text1"/>
          <w:sz w:val="36"/>
          <w:szCs w:val="36"/>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1221105</wp:posOffset>
                </wp:positionH>
                <wp:positionV relativeFrom="paragraph">
                  <wp:posOffset>312420</wp:posOffset>
                </wp:positionV>
                <wp:extent cx="4063365" cy="0"/>
                <wp:effectExtent l="0" t="0" r="0" b="0"/>
                <wp:wrapNone/>
                <wp:docPr id="138712837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4063365" cy="0"/>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margin-left:96.15pt;margin-top:24.6pt;height:0pt;width:319.95pt;z-index:251659264;mso-width-relative:page;mso-height-relative:page;" filled="f" stroked="t" coordsize="21600,21600" o:gfxdata="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0Jf7bWAAAACQEAAA8AAAAAAAAAAQAgAAAAIgAAAGRycy9kb3ducmV2&#10;LnhtbFBLAQIUABQAAAAIAIdO4kBkynrN/gEAAMcDAAAOAAAAAAAAAAEAIAAAACUBAABkcnMvZTJv&#10;RG9jLnhtbFBLBQYAAAAABgAGAFkBAACVBQAAAAA=&#10;">
                <v:fill on="f" focussize="0,0"/>
                <v:stroke color="#000000" joinstyle="round"/>
                <v:imagedata o:title=""/>
                <o:lock v:ext="edit" aspectratio="f"/>
              </v:shape>
            </w:pict>
          </mc:Fallback>
        </mc:AlternateContent>
      </w:r>
      <w:r>
        <w:rPr>
          <w:color w:val="000000" w:themeColor="text1"/>
          <w:sz w:val="36"/>
          <w:szCs w:val="36"/>
          <w14:textFill>
            <w14:solidFill>
              <w14:schemeClr w14:val="tx1"/>
            </w14:solidFill>
          </w14:textFill>
        </w:rPr>
        <w:t>项目名称：          再生资源综合利用升级改造项目</w:t>
      </w:r>
    </w:p>
    <w:p w14:paraId="2B504954">
      <w:pPr>
        <w:adjustRightInd w:val="0"/>
        <w:snapToGrid w:val="0"/>
        <w:spacing w:line="288" w:lineRule="auto"/>
        <w:rPr>
          <w:color w:val="000000" w:themeColor="text1"/>
          <w:sz w:val="36"/>
          <w:szCs w:val="36"/>
          <w14:textFill>
            <w14:solidFill>
              <w14:schemeClr w14:val="tx1"/>
            </w14:solidFill>
          </w14:textFill>
        </w:rPr>
      </w:pPr>
    </w:p>
    <w:p w14:paraId="31C5B020">
      <w:pPr>
        <w:adjustRightInd w:val="0"/>
        <w:snapToGrid w:val="0"/>
        <w:spacing w:line="288" w:lineRule="auto"/>
        <w:rPr>
          <w:color w:val="000000" w:themeColor="text1"/>
          <w:sz w:val="36"/>
          <w:szCs w:val="36"/>
          <w:u w:val="single"/>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1303020</wp:posOffset>
                </wp:positionH>
                <wp:positionV relativeFrom="paragraph">
                  <wp:posOffset>348615</wp:posOffset>
                </wp:positionV>
                <wp:extent cx="4063365" cy="0"/>
                <wp:effectExtent l="0" t="0" r="0" b="0"/>
                <wp:wrapNone/>
                <wp:docPr id="1765530221"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4063365" cy="0"/>
                        </a:xfrm>
                        <a:prstGeom prst="straightConnector1">
                          <a:avLst/>
                        </a:prstGeom>
                        <a:noFill/>
                        <a:ln w="9525">
                          <a:solidFill>
                            <a:srgbClr val="000000"/>
                          </a:solidFill>
                          <a:round/>
                        </a:ln>
                      </wps:spPr>
                      <wps:bodyPr/>
                    </wps:wsp>
                  </a:graphicData>
                </a:graphic>
              </wp:anchor>
            </w:drawing>
          </mc:Choice>
          <mc:Fallback>
            <w:pict>
              <v:shape id="直接箭头连接符 2" o:spid="_x0000_s1026" o:spt="32" type="#_x0000_t32" style="position:absolute;left:0pt;margin-left:102.6pt;margin-top:27.45pt;height:0pt;width:319.95pt;z-index:251660288;mso-width-relative:page;mso-height-relative:page;" filled="f" stroked="t" coordsize="21600,21600" o:gfxdata="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Gg8aHXAAAACQEAAA8AAAAAAAAAAQAgAAAAIgAAAGRycy9kb3ducmV2&#10;LnhtbFBLAQIUABQAAAAIAIdO4kBT7qow/QEAAMcDAAAOAAAAAAAAAAEAIAAAACYBAABkcnMvZTJv&#10;RG9jLnhtbFBLBQYAAAAABgAGAFkBAACVBQAAAAA=&#10;">
                <v:fill on="f" focussize="0,0"/>
                <v:stroke color="#000000" joinstyle="round"/>
                <v:imagedata o:title=""/>
                <o:lock v:ext="edit" aspectratio="f"/>
              </v:shape>
            </w:pict>
          </mc:Fallback>
        </mc:AlternateContent>
      </w:r>
      <w:r>
        <w:rPr>
          <w:color w:val="000000" w:themeColor="text1"/>
          <w:sz w:val="36"/>
          <w:szCs w:val="36"/>
          <w14:textFill>
            <w14:solidFill>
              <w14:schemeClr w14:val="tx1"/>
            </w14:solidFill>
          </w14:textFill>
        </w:rPr>
        <w:t>建设单位（盖章）：四川永津环保技术有限公司</w:t>
      </w:r>
    </w:p>
    <w:p w14:paraId="7CCD7738">
      <w:pPr>
        <w:adjustRightInd w:val="0"/>
        <w:snapToGrid w:val="0"/>
        <w:spacing w:line="288" w:lineRule="auto"/>
        <w:rPr>
          <w:color w:val="000000" w:themeColor="text1"/>
          <w:sz w:val="36"/>
          <w:szCs w:val="36"/>
          <w14:textFill>
            <w14:solidFill>
              <w14:schemeClr w14:val="tx1"/>
            </w14:solidFill>
          </w14:textFill>
        </w:rPr>
      </w:pPr>
    </w:p>
    <w:p w14:paraId="071E2210">
      <w:pPr>
        <w:adjustRightInd w:val="0"/>
        <w:snapToGrid w:val="0"/>
        <w:spacing w:line="288" w:lineRule="auto"/>
        <w:rPr>
          <w:color w:val="000000" w:themeColor="text1"/>
          <w:sz w:val="36"/>
          <w:szCs w:val="36"/>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1303020</wp:posOffset>
                </wp:positionH>
                <wp:positionV relativeFrom="paragraph">
                  <wp:posOffset>281940</wp:posOffset>
                </wp:positionV>
                <wp:extent cx="4063365" cy="0"/>
                <wp:effectExtent l="0" t="0" r="0" b="0"/>
                <wp:wrapNone/>
                <wp:docPr id="1799569134"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4063365" cy="0"/>
                        </a:xfrm>
                        <a:prstGeom prst="straightConnector1">
                          <a:avLst/>
                        </a:prstGeom>
                        <a:noFill/>
                        <a:ln w="9525">
                          <a:solidFill>
                            <a:srgbClr val="000000"/>
                          </a:solidFill>
                          <a:round/>
                        </a:ln>
                      </wps:spPr>
                      <wps:bodyPr/>
                    </wps:wsp>
                  </a:graphicData>
                </a:graphic>
              </wp:anchor>
            </w:drawing>
          </mc:Choice>
          <mc:Fallback>
            <w:pict>
              <v:shape id="直接箭头连接符 1" o:spid="_x0000_s1026" o:spt="32" type="#_x0000_t32" style="position:absolute;left:0pt;margin-left:102.6pt;margin-top:22.2pt;height:0pt;width:319.95pt;z-index:251661312;mso-width-relative:page;mso-height-relative:page;" filled="f" stroked="t" coordsize="21600,21600" o:gfxdata="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5zCFnXAAAACQEAAA8AAAAAAAAAAQAgAAAAIgAAAGRycy9kb3ducmV2&#10;LnhtbFBLAQIUABQAAAAIAIdO4kCoFkbr/QEAAMcDAAAOAAAAAAAAAAEAIAAAACYBAABkcnMvZTJv&#10;RG9jLnhtbFBLBQYAAAAABgAGAFkBAACVBQAAAAA=&#10;">
                <v:fill on="f" focussize="0,0"/>
                <v:stroke color="#000000" joinstyle="round"/>
                <v:imagedata o:title=""/>
                <o:lock v:ext="edit" aspectratio="f"/>
              </v:shape>
            </w:pict>
          </mc:Fallback>
        </mc:AlternateContent>
      </w:r>
      <w:r>
        <w:rPr>
          <w:color w:val="000000" w:themeColor="text1"/>
          <w:sz w:val="36"/>
          <w:szCs w:val="36"/>
          <w14:textFill>
            <w14:solidFill>
              <w14:schemeClr w14:val="tx1"/>
            </w14:solidFill>
          </w14:textFill>
        </w:rPr>
        <w:t>编制日期：                      2023年12月</w:t>
      </w:r>
    </w:p>
    <w:p w14:paraId="64965C08">
      <w:pPr>
        <w:adjustRightInd w:val="0"/>
        <w:snapToGrid w:val="0"/>
        <w:spacing w:line="288" w:lineRule="auto"/>
        <w:ind w:firstLine="1040"/>
        <w:rPr>
          <w:color w:val="000000" w:themeColor="text1"/>
          <w:sz w:val="36"/>
          <w:szCs w:val="36"/>
          <w:u w:val="single"/>
          <w14:textFill>
            <w14:solidFill>
              <w14:schemeClr w14:val="tx1"/>
            </w14:solidFill>
          </w14:textFill>
        </w:rPr>
      </w:pPr>
      <w:bookmarkStart w:id="0" w:name="_Hlk57884087"/>
    </w:p>
    <w:p w14:paraId="7F16EA96">
      <w:pPr>
        <w:adjustRightInd w:val="0"/>
        <w:snapToGrid w:val="0"/>
        <w:spacing w:line="288" w:lineRule="auto"/>
        <w:ind w:firstLine="1040"/>
        <w:rPr>
          <w:color w:val="000000" w:themeColor="text1"/>
          <w:sz w:val="36"/>
          <w:szCs w:val="36"/>
          <w14:textFill>
            <w14:solidFill>
              <w14:schemeClr w14:val="tx1"/>
            </w14:solidFill>
          </w14:textFill>
        </w:rPr>
      </w:pPr>
    </w:p>
    <w:p w14:paraId="67366165">
      <w:pPr>
        <w:adjustRightInd w:val="0"/>
        <w:snapToGrid w:val="0"/>
        <w:spacing w:line="288" w:lineRule="auto"/>
        <w:ind w:firstLine="1040"/>
        <w:rPr>
          <w:color w:val="000000" w:themeColor="text1"/>
          <w:sz w:val="36"/>
          <w:szCs w:val="36"/>
          <w14:textFill>
            <w14:solidFill>
              <w14:schemeClr w14:val="tx1"/>
            </w14:solidFill>
          </w14:textFill>
        </w:rPr>
      </w:pPr>
    </w:p>
    <w:p w14:paraId="6A7BB8E8">
      <w:pPr>
        <w:adjustRightInd w:val="0"/>
        <w:snapToGrid w:val="0"/>
        <w:spacing w:line="288" w:lineRule="auto"/>
        <w:rPr>
          <w:color w:val="000000" w:themeColor="text1"/>
          <w:sz w:val="36"/>
          <w:szCs w:val="36"/>
          <w14:textFill>
            <w14:solidFill>
              <w14:schemeClr w14:val="tx1"/>
            </w14:solidFill>
          </w14:textFill>
        </w:rPr>
      </w:pPr>
    </w:p>
    <w:bookmarkEnd w:id="0"/>
    <w:p w14:paraId="547F073D">
      <w:pPr>
        <w:adjustRightInd w:val="0"/>
        <w:snapToGrid w:val="0"/>
        <w:spacing w:line="288" w:lineRule="auto"/>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14:paraId="7700CC82">
      <w:pPr>
        <w:adjustRightInd w:val="0"/>
        <w:snapToGrid w:val="0"/>
        <w:spacing w:line="288" w:lineRule="auto"/>
        <w:ind w:firstLine="1040"/>
        <w:rPr>
          <w:color w:val="000000" w:themeColor="text1"/>
          <w:sz w:val="36"/>
          <w:szCs w:val="36"/>
          <w14:textFill>
            <w14:solidFill>
              <w14:schemeClr w14:val="tx1"/>
            </w14:solidFill>
          </w14:textFill>
        </w:rPr>
      </w:pPr>
    </w:p>
    <w:p w14:paraId="43D7C3D4">
      <w:pPr>
        <w:pStyle w:val="2"/>
        <w:rPr>
          <w:color w:val="000000" w:themeColor="text1"/>
          <w14:textFill>
            <w14:solidFill>
              <w14:schemeClr w14:val="tx1"/>
            </w14:solidFill>
          </w14:textFill>
        </w:rPr>
      </w:pPr>
    </w:p>
    <w:p w14:paraId="036B0F6C">
      <w:pPr>
        <w:pStyle w:val="2"/>
        <w:rPr>
          <w:color w:val="000000" w:themeColor="text1"/>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21A529AD">
      <w:pPr>
        <w:pStyle w:val="23"/>
        <w:spacing w:before="0" w:beforeAutospacing="0" w:after="0" w:afterAutospacing="0"/>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一、建设项目基本情况</w:t>
      </w:r>
    </w:p>
    <w:tbl>
      <w:tblPr>
        <w:tblStyle w:val="25"/>
        <w:tblW w:w="8789"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2"/>
        <w:gridCol w:w="2952"/>
        <w:gridCol w:w="1866"/>
        <w:gridCol w:w="3360"/>
      </w:tblGrid>
      <w:tr w14:paraId="2F591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342DFCD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780" w:type="dxa"/>
            <w:gridSpan w:val="3"/>
            <w:vAlign w:val="center"/>
          </w:tcPr>
          <w:p w14:paraId="76D0CBCF">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再生资源综合利用升级改造项目</w:t>
            </w:r>
          </w:p>
        </w:tc>
      </w:tr>
      <w:tr w14:paraId="2554F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0FD011FD">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780" w:type="dxa"/>
            <w:gridSpan w:val="3"/>
            <w:vAlign w:val="center"/>
          </w:tcPr>
          <w:p w14:paraId="69ED6178">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2309-510923-07-02-961329</w:t>
            </w:r>
          </w:p>
        </w:tc>
      </w:tr>
      <w:tr w14:paraId="6811E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34FEE57E">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960" w:type="dxa"/>
            <w:vAlign w:val="center"/>
          </w:tcPr>
          <w:p w14:paraId="0E5C30BF">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李</w:t>
            </w:r>
            <w:r>
              <w:rPr>
                <w:rFonts w:hint="eastAsia"/>
                <w:color w:val="000000" w:themeColor="text1"/>
                <w:sz w:val="24"/>
                <w14:textFill>
                  <w14:solidFill>
                    <w14:schemeClr w14:val="tx1"/>
                  </w14:solidFill>
                </w14:textFill>
              </w:rPr>
              <w:t>*</w:t>
            </w:r>
          </w:p>
        </w:tc>
        <w:tc>
          <w:tcPr>
            <w:tcW w:w="1697" w:type="dxa"/>
            <w:vAlign w:val="center"/>
          </w:tcPr>
          <w:p w14:paraId="7BC3C60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123" w:type="dxa"/>
            <w:vAlign w:val="center"/>
          </w:tcPr>
          <w:p w14:paraId="796047E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188****8965</w:t>
            </w:r>
          </w:p>
        </w:tc>
      </w:tr>
      <w:tr w14:paraId="40BD5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4012EE11">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780" w:type="dxa"/>
            <w:gridSpan w:val="3"/>
            <w:vAlign w:val="center"/>
          </w:tcPr>
          <w:p w14:paraId="648ED03F">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大英县蓬莱镇虎泉村8社</w:t>
            </w:r>
          </w:p>
        </w:tc>
      </w:tr>
      <w:tr w14:paraId="66935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1C94AA7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780" w:type="dxa"/>
            <w:gridSpan w:val="3"/>
            <w:vAlign w:val="center"/>
          </w:tcPr>
          <w:p w14:paraId="7E830C8F">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（东经 105 度 15 分53.488秒，北纬 30 度 36分 59.189秒）</w:t>
            </w:r>
          </w:p>
        </w:tc>
      </w:tr>
      <w:tr w14:paraId="1C7DB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04" w:hRule="exact"/>
        </w:trPr>
        <w:tc>
          <w:tcPr>
            <w:tcW w:w="1009" w:type="dxa"/>
            <w:tcMar>
              <w:top w:w="16" w:type="dxa"/>
              <w:left w:w="16" w:type="dxa"/>
              <w:right w:w="16" w:type="dxa"/>
            </w:tcMar>
            <w:vAlign w:val="center"/>
          </w:tcPr>
          <w:p w14:paraId="5A22AF1D">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国民经济行业类别</w:t>
            </w:r>
          </w:p>
        </w:tc>
        <w:tc>
          <w:tcPr>
            <w:tcW w:w="2960" w:type="dxa"/>
            <w:vAlign w:val="center"/>
          </w:tcPr>
          <w:p w14:paraId="46C2F579">
            <w:pPr>
              <w:rPr>
                <w:color w:val="000000" w:themeColor="text1"/>
                <w:sz w:val="24"/>
                <w14:textFill>
                  <w14:solidFill>
                    <w14:schemeClr w14:val="tx1"/>
                  </w14:solidFill>
                </w14:textFill>
              </w:rPr>
            </w:pPr>
            <w:r>
              <w:rPr>
                <w:color w:val="000000" w:themeColor="text1"/>
                <w:sz w:val="24"/>
                <w14:textFill>
                  <w14:solidFill>
                    <w14:schemeClr w14:val="tx1"/>
                  </w14:solidFill>
                </w14:textFill>
              </w:rPr>
              <w:t>C3031粘土砖瓦及建筑砌块制造</w:t>
            </w:r>
          </w:p>
        </w:tc>
        <w:tc>
          <w:tcPr>
            <w:tcW w:w="1697" w:type="dxa"/>
            <w:vAlign w:val="center"/>
          </w:tcPr>
          <w:p w14:paraId="5C33B797">
            <w:pPr>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14:paraId="4543C76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3123" w:type="dxa"/>
            <w:vAlign w:val="center"/>
          </w:tcPr>
          <w:p w14:paraId="2000CD68">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56砖瓦、石材等建筑材料制造303；103一般工业固体废物（含污水处理污泥）、建筑施工废弃物处置及综合利用</w:t>
            </w:r>
          </w:p>
        </w:tc>
      </w:tr>
      <w:tr w14:paraId="6994E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341" w:hRule="exact"/>
        </w:trPr>
        <w:tc>
          <w:tcPr>
            <w:tcW w:w="1009" w:type="dxa"/>
            <w:tcMar>
              <w:top w:w="16" w:type="dxa"/>
              <w:left w:w="16" w:type="dxa"/>
              <w:right w:w="16" w:type="dxa"/>
            </w:tcMar>
            <w:vAlign w:val="center"/>
          </w:tcPr>
          <w:p w14:paraId="23275643">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960" w:type="dxa"/>
            <w:vAlign w:val="center"/>
          </w:tcPr>
          <w:p w14:paraId="5961A210">
            <w:pPr>
              <w:rPr>
                <w:color w:val="000000" w:themeColor="text1"/>
                <w:sz w:val="24"/>
                <w14:textFill>
                  <w14:solidFill>
                    <w14:schemeClr w14:val="tx1"/>
                  </w14:solidFill>
                </w14:textFill>
              </w:rPr>
            </w:pPr>
            <w:r>
              <w:rPr>
                <w:color w:val="000000" w:themeColor="text1"/>
                <w:sz w:val="24"/>
                <w14:textFill>
                  <w14:solidFill>
                    <w14:schemeClr w14:val="tx1"/>
                  </w14:solidFill>
                </w14:textFill>
              </w:rPr>
              <w:t>□新建（迁建）</w:t>
            </w:r>
          </w:p>
          <w:p w14:paraId="36AA31E0">
            <w:pPr>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改建</w:t>
            </w:r>
          </w:p>
          <w:p w14:paraId="04CF3DD9">
            <w:pPr>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14:paraId="4EE277C1">
            <w:pPr>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技术改造</w:t>
            </w:r>
          </w:p>
        </w:tc>
        <w:tc>
          <w:tcPr>
            <w:tcW w:w="1697" w:type="dxa"/>
            <w:vAlign w:val="center"/>
          </w:tcPr>
          <w:p w14:paraId="10400998">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7ADFA053">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123" w:type="dxa"/>
            <w:vAlign w:val="center"/>
          </w:tcPr>
          <w:p w14:paraId="79EEC3A2">
            <w:pPr>
              <w:jc w:val="center"/>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首次申报项目</w:t>
            </w:r>
          </w:p>
          <w:p w14:paraId="6F08B7B8">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14:paraId="5FD0455C">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□超五年重新审核项目</w:t>
            </w:r>
          </w:p>
          <w:p w14:paraId="5873BDCC">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14:paraId="444B1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529" w:hRule="exact"/>
        </w:trPr>
        <w:tc>
          <w:tcPr>
            <w:tcW w:w="1009" w:type="dxa"/>
            <w:tcMar>
              <w:top w:w="16" w:type="dxa"/>
              <w:left w:w="16" w:type="dxa"/>
              <w:right w:w="16" w:type="dxa"/>
            </w:tcMar>
            <w:vAlign w:val="center"/>
          </w:tcPr>
          <w:p w14:paraId="533A62BD">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960" w:type="dxa"/>
            <w:vAlign w:val="center"/>
          </w:tcPr>
          <w:p w14:paraId="7FDB5BD4">
            <w:pPr>
              <w:rPr>
                <w:color w:val="000000" w:themeColor="text1"/>
                <w:sz w:val="24"/>
                <w14:textFill>
                  <w14:solidFill>
                    <w14:schemeClr w14:val="tx1"/>
                  </w14:solidFill>
                </w14:textFill>
              </w:rPr>
            </w:pPr>
            <w:r>
              <w:rPr>
                <w:color w:val="000000" w:themeColor="text1"/>
                <w:sz w:val="24"/>
                <w14:textFill>
                  <w14:solidFill>
                    <w14:schemeClr w14:val="tx1"/>
                  </w14:solidFill>
                </w14:textFill>
              </w:rPr>
              <w:t>大英县经济信息化和科学技术局</w:t>
            </w:r>
          </w:p>
        </w:tc>
        <w:tc>
          <w:tcPr>
            <w:tcW w:w="1697" w:type="dxa"/>
            <w:vAlign w:val="center"/>
          </w:tcPr>
          <w:p w14:paraId="37DFDA5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项目审批（核准/备案）文号（选填）</w:t>
            </w:r>
          </w:p>
        </w:tc>
        <w:tc>
          <w:tcPr>
            <w:tcW w:w="3123" w:type="dxa"/>
            <w:vAlign w:val="center"/>
          </w:tcPr>
          <w:p w14:paraId="37C136A6">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川投资备【2309-510923-07-02-961329】JXQB-0121号</w:t>
            </w:r>
          </w:p>
        </w:tc>
      </w:tr>
      <w:tr w14:paraId="2DCD6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145C891C">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960" w:type="dxa"/>
            <w:vAlign w:val="center"/>
          </w:tcPr>
          <w:p w14:paraId="469EF03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1000</w:t>
            </w:r>
          </w:p>
        </w:tc>
        <w:tc>
          <w:tcPr>
            <w:tcW w:w="1697" w:type="dxa"/>
            <w:tcMar>
              <w:top w:w="16" w:type="dxa"/>
              <w:left w:w="16" w:type="dxa"/>
              <w:right w:w="16" w:type="dxa"/>
            </w:tcMar>
            <w:vAlign w:val="center"/>
          </w:tcPr>
          <w:p w14:paraId="013D47F7">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123" w:type="dxa"/>
            <w:vAlign w:val="center"/>
          </w:tcPr>
          <w:p w14:paraId="568E24B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60</w:t>
            </w:r>
          </w:p>
        </w:tc>
      </w:tr>
      <w:tr w14:paraId="78B1A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37" w:hRule="exact"/>
        </w:trPr>
        <w:tc>
          <w:tcPr>
            <w:tcW w:w="1009" w:type="dxa"/>
            <w:tcMar>
              <w:top w:w="16" w:type="dxa"/>
              <w:left w:w="16" w:type="dxa"/>
              <w:right w:w="16" w:type="dxa"/>
            </w:tcMar>
            <w:vAlign w:val="center"/>
          </w:tcPr>
          <w:p w14:paraId="06BD0C9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960" w:type="dxa"/>
            <w:vAlign w:val="center"/>
          </w:tcPr>
          <w:p w14:paraId="13B4DEA1">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w:t>
            </w:r>
          </w:p>
        </w:tc>
        <w:tc>
          <w:tcPr>
            <w:tcW w:w="1697" w:type="dxa"/>
            <w:tcMar>
              <w:top w:w="16" w:type="dxa"/>
              <w:left w:w="16" w:type="dxa"/>
              <w:right w:w="16" w:type="dxa"/>
            </w:tcMar>
            <w:vAlign w:val="center"/>
          </w:tcPr>
          <w:p w14:paraId="0F1BD06F">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123" w:type="dxa"/>
            <w:vAlign w:val="center"/>
          </w:tcPr>
          <w:p w14:paraId="42059FF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2月</w:t>
            </w:r>
          </w:p>
        </w:tc>
      </w:tr>
      <w:tr w14:paraId="5C7B4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358" w:hRule="exact"/>
        </w:trPr>
        <w:tc>
          <w:tcPr>
            <w:tcW w:w="1009" w:type="dxa"/>
            <w:tcMar>
              <w:top w:w="16" w:type="dxa"/>
              <w:left w:w="16" w:type="dxa"/>
              <w:right w:w="16" w:type="dxa"/>
            </w:tcMar>
            <w:vAlign w:val="center"/>
          </w:tcPr>
          <w:p w14:paraId="091D33D2">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960" w:type="dxa"/>
            <w:vAlign w:val="center"/>
          </w:tcPr>
          <w:p w14:paraId="56C632C4">
            <w:pP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14:paraId="6C0F16D6">
            <w:pPr>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是：</w:t>
            </w:r>
            <w:r>
              <w:rPr>
                <w:color w:val="000000" w:themeColor="text1"/>
                <w:szCs w:val="21"/>
                <w:u w:val="single"/>
                <w14:textFill>
                  <w14:solidFill>
                    <w14:schemeClr w14:val="tx1"/>
                  </w14:solidFill>
                </w14:textFill>
              </w:rPr>
              <w:t>目前项目配料工段设备已基本到齐，摆放在厂区空地上，滚筒筛1台已焊接安装，成型蒸压工段设备中的HY1300正双向静压机一套已焊接安装，现场地面还摆放有部分钢结构材料；遂宁市生态环境局以遂环大责改字〔2023﹞7号责令建设单位立即停止建设，改正违法行为；建设单位已停止建设，待环评批复后再依法依规开工建设。</w:t>
            </w:r>
          </w:p>
        </w:tc>
        <w:tc>
          <w:tcPr>
            <w:tcW w:w="1697" w:type="dxa"/>
            <w:tcMar>
              <w:top w:w="16" w:type="dxa"/>
              <w:left w:w="16" w:type="dxa"/>
              <w:right w:w="16" w:type="dxa"/>
            </w:tcMar>
            <w:vAlign w:val="center"/>
          </w:tcPr>
          <w:p w14:paraId="17A06CA7">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用地（用海）</w:t>
            </w:r>
          </w:p>
          <w:p w14:paraId="0D40A8E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tc>
        <w:tc>
          <w:tcPr>
            <w:tcW w:w="3123" w:type="dxa"/>
            <w:vAlign w:val="center"/>
          </w:tcPr>
          <w:p w14:paraId="582D2C34">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660</w:t>
            </w:r>
          </w:p>
          <w:p w14:paraId="5CE40ECA">
            <w:pPr>
              <w:rPr>
                <w:sz w:val="24"/>
              </w:rPr>
            </w:pPr>
          </w:p>
          <w:p w14:paraId="346C3C66">
            <w:pPr>
              <w:rPr>
                <w:sz w:val="24"/>
              </w:rPr>
            </w:pPr>
          </w:p>
          <w:p w14:paraId="19A4E4E8">
            <w:pPr>
              <w:rPr>
                <w:sz w:val="24"/>
              </w:rPr>
            </w:pPr>
          </w:p>
          <w:p w14:paraId="53537ECD">
            <w:pPr>
              <w:rPr>
                <w:sz w:val="24"/>
              </w:rPr>
            </w:pPr>
          </w:p>
          <w:p w14:paraId="03F72DB6">
            <w:pPr>
              <w:rPr>
                <w:sz w:val="24"/>
              </w:rPr>
            </w:pPr>
          </w:p>
          <w:p w14:paraId="0A344669">
            <w:pPr>
              <w:rPr>
                <w:sz w:val="24"/>
              </w:rPr>
            </w:pPr>
          </w:p>
          <w:p w14:paraId="3C5398EE">
            <w:pPr>
              <w:rPr>
                <w:color w:val="000000" w:themeColor="text1"/>
                <w:sz w:val="24"/>
                <w14:textFill>
                  <w14:solidFill>
                    <w14:schemeClr w14:val="tx1"/>
                  </w14:solidFill>
                </w14:textFill>
              </w:rPr>
            </w:pPr>
          </w:p>
          <w:p w14:paraId="68243FE7">
            <w:pPr>
              <w:rPr>
                <w:sz w:val="24"/>
              </w:rPr>
            </w:pPr>
          </w:p>
          <w:p w14:paraId="399FEBD9">
            <w:pPr>
              <w:rPr>
                <w:sz w:val="24"/>
              </w:rPr>
            </w:pPr>
          </w:p>
          <w:p w14:paraId="1FEB741A">
            <w:pPr>
              <w:rPr>
                <w:sz w:val="24"/>
              </w:rPr>
            </w:pPr>
          </w:p>
          <w:p w14:paraId="08FC8417">
            <w:pPr>
              <w:rPr>
                <w:color w:val="000000" w:themeColor="text1"/>
                <w:sz w:val="24"/>
                <w14:textFill>
                  <w14:solidFill>
                    <w14:schemeClr w14:val="tx1"/>
                  </w14:solidFill>
                </w14:textFill>
              </w:rPr>
            </w:pPr>
          </w:p>
          <w:p w14:paraId="11FD291E">
            <w:pPr>
              <w:rPr>
                <w:sz w:val="24"/>
              </w:rPr>
            </w:pPr>
          </w:p>
          <w:p w14:paraId="4BA152B9">
            <w:pPr>
              <w:rPr>
                <w:sz w:val="24"/>
              </w:rPr>
            </w:pPr>
          </w:p>
        </w:tc>
      </w:tr>
      <w:tr w14:paraId="482B6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2E9C80D7">
            <w:pPr>
              <w:rPr>
                <w:color w:val="000000" w:themeColor="text1"/>
                <w:sz w:val="24"/>
                <w14:textFill>
                  <w14:solidFill>
                    <w14:schemeClr w14:val="tx1"/>
                  </w14:solidFill>
                </w14:textFill>
              </w:rPr>
            </w:pPr>
            <w:r>
              <w:rPr>
                <w:color w:val="000000" w:themeColor="text1"/>
                <w:sz w:val="24"/>
                <w14:textFill>
                  <w14:solidFill>
                    <w14:schemeClr w14:val="tx1"/>
                  </w14:solidFill>
                </w14:textFill>
              </w:rPr>
              <w:t>专项评价设置情况</w:t>
            </w:r>
          </w:p>
        </w:tc>
        <w:tc>
          <w:tcPr>
            <w:tcW w:w="7780" w:type="dxa"/>
            <w:gridSpan w:val="3"/>
            <w:vAlign w:val="center"/>
          </w:tcPr>
          <w:p w14:paraId="14A304CB">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根据《建设项目环境影响报告表编制技术指南（污染影响类）</w:t>
            </w:r>
            <w:bookmarkStart w:id="30" w:name="_GoBack"/>
            <w:r>
              <w:rPr>
                <w:color w:val="000000" w:themeColor="text1"/>
                <w:sz w:val="24"/>
                <w14:textFill>
                  <w14:solidFill>
                    <w14:schemeClr w14:val="tx1"/>
                  </w14:solidFill>
                </w14:textFill>
              </w:rPr>
              <w:t>（试行）</w:t>
            </w:r>
            <w:bookmarkEnd w:id="30"/>
            <w:r>
              <w:rPr>
                <w:color w:val="000000" w:themeColor="text1"/>
                <w:sz w:val="24"/>
                <w14:textFill>
                  <w14:solidFill>
                    <w14:schemeClr w14:val="tx1"/>
                  </w14:solidFill>
                </w14:textFill>
              </w:rPr>
              <w:t>》，本项目专项评价设置情况详见下表。</w:t>
            </w:r>
          </w:p>
          <w:p w14:paraId="327CAA22">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 专项评价设置原则表</w:t>
            </w:r>
          </w:p>
          <w:tbl>
            <w:tblPr>
              <w:tblStyle w:val="2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242"/>
              <w:gridCol w:w="3898"/>
              <w:gridCol w:w="1356"/>
              <w:gridCol w:w="1446"/>
            </w:tblGrid>
            <w:tr w14:paraId="5AC157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jc w:val="center"/>
              </w:trPr>
              <w:tc>
                <w:tcPr>
                  <w:tcW w:w="782" w:type="pct"/>
                  <w:tcBorders>
                    <w:bottom w:val="single" w:color="000000" w:sz="4" w:space="0"/>
                    <w:right w:val="single" w:color="000000" w:sz="4" w:space="0"/>
                  </w:tcBorders>
                  <w:vAlign w:val="center"/>
                </w:tcPr>
                <w:p w14:paraId="0A37B23A">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专项评价的类别</w:t>
                  </w:r>
                </w:p>
              </w:tc>
              <w:tc>
                <w:tcPr>
                  <w:tcW w:w="2454" w:type="pct"/>
                  <w:tcBorders>
                    <w:left w:val="single" w:color="000000" w:sz="4" w:space="0"/>
                    <w:bottom w:val="single" w:color="000000" w:sz="4" w:space="0"/>
                  </w:tcBorders>
                  <w:vAlign w:val="center"/>
                </w:tcPr>
                <w:p w14:paraId="5EC43C43">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设置原则</w:t>
                  </w:r>
                </w:p>
              </w:tc>
              <w:tc>
                <w:tcPr>
                  <w:tcW w:w="854" w:type="pct"/>
                  <w:tcBorders>
                    <w:left w:val="single" w:color="000000" w:sz="4" w:space="0"/>
                    <w:bottom w:val="single" w:color="000000" w:sz="4" w:space="0"/>
                    <w:right w:val="single" w:color="000000" w:sz="4" w:space="0"/>
                  </w:tcBorders>
                  <w:vAlign w:val="center"/>
                </w:tcPr>
                <w:p w14:paraId="08099215">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本项目</w:t>
                  </w:r>
                </w:p>
              </w:tc>
              <w:tc>
                <w:tcPr>
                  <w:tcW w:w="910" w:type="pct"/>
                  <w:tcBorders>
                    <w:left w:val="single" w:color="000000" w:sz="4" w:space="0"/>
                    <w:bottom w:val="single" w:color="000000" w:sz="4" w:space="0"/>
                  </w:tcBorders>
                  <w:vAlign w:val="center"/>
                </w:tcPr>
                <w:p w14:paraId="663187F5">
                  <w:pP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是否设置</w:t>
                  </w:r>
                </w:p>
              </w:tc>
            </w:tr>
            <w:tr w14:paraId="6D6C8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782" w:type="pct"/>
                  <w:tcBorders>
                    <w:top w:val="single" w:color="000000" w:sz="4" w:space="0"/>
                    <w:bottom w:val="single" w:color="000000" w:sz="4" w:space="0"/>
                    <w:right w:val="single" w:color="000000" w:sz="4" w:space="0"/>
                  </w:tcBorders>
                  <w:vAlign w:val="center"/>
                </w:tcPr>
                <w:p w14:paraId="5FAADE00">
                  <w:pPr>
                    <w:rPr>
                      <w:color w:val="000000" w:themeColor="text1"/>
                      <w:sz w:val="24"/>
                      <w14:textFill>
                        <w14:solidFill>
                          <w14:schemeClr w14:val="tx1"/>
                        </w14:solidFill>
                      </w14:textFill>
                    </w:rPr>
                  </w:pPr>
                  <w:r>
                    <w:rPr>
                      <w:color w:val="000000" w:themeColor="text1"/>
                      <w:sz w:val="24"/>
                      <w14:textFill>
                        <w14:solidFill>
                          <w14:schemeClr w14:val="tx1"/>
                        </w14:solidFill>
                      </w14:textFill>
                    </w:rPr>
                    <w:t>大气</w:t>
                  </w:r>
                </w:p>
              </w:tc>
              <w:tc>
                <w:tcPr>
                  <w:tcW w:w="2454" w:type="pct"/>
                  <w:tcBorders>
                    <w:top w:val="single" w:color="000000" w:sz="4" w:space="0"/>
                    <w:left w:val="single" w:color="000000" w:sz="4" w:space="0"/>
                    <w:bottom w:val="single" w:color="000000" w:sz="4" w:space="0"/>
                  </w:tcBorders>
                  <w:vAlign w:val="center"/>
                </w:tcPr>
                <w:p w14:paraId="6574630C">
                  <w:pPr>
                    <w:rPr>
                      <w:color w:val="000000" w:themeColor="text1"/>
                      <w:sz w:val="24"/>
                      <w14:textFill>
                        <w14:solidFill>
                          <w14:schemeClr w14:val="tx1"/>
                        </w14:solidFill>
                      </w14:textFill>
                    </w:rPr>
                  </w:pPr>
                  <w:r>
                    <w:rPr>
                      <w:color w:val="000000" w:themeColor="text1"/>
                      <w:sz w:val="24"/>
                      <w14:textFill>
                        <w14:solidFill>
                          <w14:schemeClr w14:val="tx1"/>
                        </w14:solidFill>
                      </w14:textFill>
                    </w:rPr>
                    <w:t>排放废气含有毒有害污染物 1、二噁英、苯并[a]芘、氰化物、氯气且厂界外500米范围内有环境空气保护目标2的建设项目</w:t>
                  </w:r>
                </w:p>
              </w:tc>
              <w:tc>
                <w:tcPr>
                  <w:tcW w:w="854" w:type="pct"/>
                  <w:tcBorders>
                    <w:top w:val="single" w:color="000000" w:sz="4" w:space="0"/>
                    <w:left w:val="single" w:color="000000" w:sz="4" w:space="0"/>
                    <w:bottom w:val="single" w:color="000000" w:sz="4" w:space="0"/>
                    <w:right w:val="single" w:color="000000" w:sz="4" w:space="0"/>
                  </w:tcBorders>
                  <w:vAlign w:val="center"/>
                </w:tcPr>
                <w:p w14:paraId="6DE7727A">
                  <w:pPr>
                    <w:rPr>
                      <w:color w:val="000000" w:themeColor="text1"/>
                      <w:sz w:val="24"/>
                      <w14:textFill>
                        <w14:solidFill>
                          <w14:schemeClr w14:val="tx1"/>
                        </w14:solidFill>
                      </w14:textFill>
                    </w:rPr>
                  </w:pPr>
                  <w:r>
                    <w:rPr>
                      <w:color w:val="000000" w:themeColor="text1"/>
                      <w:sz w:val="24"/>
                      <w14:textFill>
                        <w14:solidFill>
                          <w14:schemeClr w14:val="tx1"/>
                        </w14:solidFill>
                      </w14:textFill>
                    </w:rPr>
                    <w:t>不涉及</w:t>
                  </w:r>
                </w:p>
              </w:tc>
              <w:tc>
                <w:tcPr>
                  <w:tcW w:w="910" w:type="pct"/>
                  <w:tcBorders>
                    <w:top w:val="single" w:color="000000" w:sz="4" w:space="0"/>
                    <w:left w:val="single" w:color="000000" w:sz="4" w:space="0"/>
                    <w:bottom w:val="single" w:color="000000" w:sz="4" w:space="0"/>
                  </w:tcBorders>
                  <w:vAlign w:val="center"/>
                </w:tcPr>
                <w:p w14:paraId="1BE85919">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否</w:t>
                  </w:r>
                </w:p>
              </w:tc>
            </w:tr>
            <w:tr w14:paraId="7286E7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782" w:type="pct"/>
                  <w:tcBorders>
                    <w:top w:val="single" w:color="000000" w:sz="4" w:space="0"/>
                    <w:bottom w:val="single" w:color="000000" w:sz="4" w:space="0"/>
                    <w:right w:val="single" w:color="000000" w:sz="4" w:space="0"/>
                  </w:tcBorders>
                  <w:vAlign w:val="center"/>
                </w:tcPr>
                <w:p w14:paraId="575098F6">
                  <w:pPr>
                    <w:rPr>
                      <w:color w:val="000000" w:themeColor="text1"/>
                      <w:sz w:val="24"/>
                      <w14:textFill>
                        <w14:solidFill>
                          <w14:schemeClr w14:val="tx1"/>
                        </w14:solidFill>
                      </w14:textFill>
                    </w:rPr>
                  </w:pPr>
                  <w:r>
                    <w:rPr>
                      <w:color w:val="000000" w:themeColor="text1"/>
                      <w:sz w:val="24"/>
                      <w14:textFill>
                        <w14:solidFill>
                          <w14:schemeClr w14:val="tx1"/>
                        </w14:solidFill>
                      </w14:textFill>
                    </w:rPr>
                    <w:t>地表水</w:t>
                  </w:r>
                </w:p>
              </w:tc>
              <w:tc>
                <w:tcPr>
                  <w:tcW w:w="2454" w:type="pct"/>
                  <w:tcBorders>
                    <w:top w:val="single" w:color="000000" w:sz="4" w:space="0"/>
                    <w:left w:val="single" w:color="000000" w:sz="4" w:space="0"/>
                    <w:bottom w:val="single" w:color="000000" w:sz="4" w:space="0"/>
                  </w:tcBorders>
                  <w:vAlign w:val="center"/>
                </w:tcPr>
                <w:p w14:paraId="3029DFDA">
                  <w:pPr>
                    <w:rPr>
                      <w:color w:val="000000" w:themeColor="text1"/>
                      <w:sz w:val="24"/>
                      <w14:textFill>
                        <w14:solidFill>
                          <w14:schemeClr w14:val="tx1"/>
                        </w14:solidFill>
                      </w14:textFill>
                    </w:rPr>
                  </w:pPr>
                  <w:r>
                    <w:rPr>
                      <w:color w:val="000000" w:themeColor="text1"/>
                      <w:sz w:val="24"/>
                      <w14:textFill>
                        <w14:solidFill>
                          <w14:schemeClr w14:val="tx1"/>
                        </w14:solidFill>
                      </w14:textFill>
                    </w:rPr>
                    <w:t>新增工业废水直排建设项目（槽罐车外送污水处理厂的除外）；新增废水直排的污水集中处理厂</w:t>
                  </w:r>
                </w:p>
              </w:tc>
              <w:tc>
                <w:tcPr>
                  <w:tcW w:w="854" w:type="pct"/>
                  <w:tcBorders>
                    <w:top w:val="single" w:color="000000" w:sz="4" w:space="0"/>
                    <w:left w:val="single" w:color="000000" w:sz="4" w:space="0"/>
                    <w:bottom w:val="single" w:color="000000" w:sz="4" w:space="0"/>
                    <w:right w:val="single" w:color="000000" w:sz="4" w:space="0"/>
                  </w:tcBorders>
                  <w:vAlign w:val="center"/>
                </w:tcPr>
                <w:p w14:paraId="5701B8FB">
                  <w:pPr>
                    <w:rPr>
                      <w:color w:val="000000" w:themeColor="text1"/>
                      <w:sz w:val="24"/>
                      <w14:textFill>
                        <w14:solidFill>
                          <w14:schemeClr w14:val="tx1"/>
                        </w14:solidFill>
                      </w14:textFill>
                    </w:rPr>
                  </w:pPr>
                </w:p>
                <w:p w14:paraId="624E3BAD">
                  <w:pPr>
                    <w:rPr>
                      <w:color w:val="000000" w:themeColor="text1"/>
                      <w:sz w:val="24"/>
                      <w14:textFill>
                        <w14:solidFill>
                          <w14:schemeClr w14:val="tx1"/>
                        </w14:solidFill>
                      </w14:textFill>
                    </w:rPr>
                  </w:pPr>
                  <w:r>
                    <w:rPr>
                      <w:color w:val="000000" w:themeColor="text1"/>
                      <w:sz w:val="24"/>
                      <w14:textFill>
                        <w14:solidFill>
                          <w14:schemeClr w14:val="tx1"/>
                        </w14:solidFill>
                      </w14:textFill>
                    </w:rPr>
                    <w:t>不涉及</w:t>
                  </w:r>
                </w:p>
              </w:tc>
              <w:tc>
                <w:tcPr>
                  <w:tcW w:w="910" w:type="pct"/>
                  <w:tcBorders>
                    <w:top w:val="single" w:color="000000" w:sz="4" w:space="0"/>
                    <w:left w:val="single" w:color="000000" w:sz="4" w:space="0"/>
                    <w:bottom w:val="single" w:color="000000" w:sz="4" w:space="0"/>
                  </w:tcBorders>
                  <w:vAlign w:val="center"/>
                </w:tcPr>
                <w:p w14:paraId="3B859CF3">
                  <w:pPr>
                    <w:jc w:val="center"/>
                    <w:rPr>
                      <w:b/>
                      <w:bCs/>
                      <w:color w:val="000000" w:themeColor="text1"/>
                      <w:sz w:val="24"/>
                      <w14:textFill>
                        <w14:solidFill>
                          <w14:schemeClr w14:val="tx1"/>
                        </w14:solidFill>
                      </w14:textFill>
                    </w:rPr>
                  </w:pPr>
                </w:p>
                <w:p w14:paraId="712C6AF2">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否</w:t>
                  </w:r>
                </w:p>
              </w:tc>
            </w:tr>
            <w:tr w14:paraId="29A2B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jc w:val="center"/>
              </w:trPr>
              <w:tc>
                <w:tcPr>
                  <w:tcW w:w="782" w:type="pct"/>
                  <w:tcBorders>
                    <w:top w:val="single" w:color="000000" w:sz="4" w:space="0"/>
                    <w:bottom w:val="single" w:color="000000" w:sz="4" w:space="0"/>
                    <w:right w:val="single" w:color="000000" w:sz="4" w:space="0"/>
                  </w:tcBorders>
                  <w:vAlign w:val="center"/>
                </w:tcPr>
                <w:p w14:paraId="51F5BF98">
                  <w:pPr>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w:t>
                  </w:r>
                </w:p>
              </w:tc>
              <w:tc>
                <w:tcPr>
                  <w:tcW w:w="2454" w:type="pct"/>
                  <w:tcBorders>
                    <w:top w:val="single" w:color="000000" w:sz="4" w:space="0"/>
                    <w:left w:val="single" w:color="000000" w:sz="4" w:space="0"/>
                    <w:bottom w:val="single" w:color="000000" w:sz="4" w:space="0"/>
                  </w:tcBorders>
                  <w:vAlign w:val="center"/>
                </w:tcPr>
                <w:p w14:paraId="445A1CC3">
                  <w:pPr>
                    <w:rPr>
                      <w:color w:val="000000" w:themeColor="text1"/>
                      <w:sz w:val="24"/>
                      <w14:textFill>
                        <w14:solidFill>
                          <w14:schemeClr w14:val="tx1"/>
                        </w14:solidFill>
                      </w14:textFill>
                    </w:rPr>
                  </w:pPr>
                  <w:r>
                    <w:rPr>
                      <w:color w:val="000000" w:themeColor="text1"/>
                      <w:sz w:val="24"/>
                      <w14:textFill>
                        <w14:solidFill>
                          <w14:schemeClr w14:val="tx1"/>
                        </w14:solidFill>
                      </w14:textFill>
                    </w:rPr>
                    <w:t>有毒有害和易燃易爆危险物质存储量超过临界量3的建设项目</w:t>
                  </w:r>
                </w:p>
              </w:tc>
              <w:tc>
                <w:tcPr>
                  <w:tcW w:w="854" w:type="pct"/>
                  <w:tcBorders>
                    <w:top w:val="single" w:color="000000" w:sz="4" w:space="0"/>
                    <w:left w:val="single" w:color="000000" w:sz="4" w:space="0"/>
                    <w:bottom w:val="single" w:color="000000" w:sz="4" w:space="0"/>
                    <w:right w:val="single" w:color="000000" w:sz="4" w:space="0"/>
                  </w:tcBorders>
                  <w:vAlign w:val="center"/>
                </w:tcPr>
                <w:p w14:paraId="32A18678">
                  <w:pPr>
                    <w:rPr>
                      <w:color w:val="000000" w:themeColor="text1"/>
                      <w:sz w:val="24"/>
                      <w14:textFill>
                        <w14:solidFill>
                          <w14:schemeClr w14:val="tx1"/>
                        </w14:solidFill>
                      </w14:textFill>
                    </w:rPr>
                  </w:pPr>
                  <w:r>
                    <w:rPr>
                      <w:color w:val="000000" w:themeColor="text1"/>
                      <w:sz w:val="24"/>
                      <w14:textFill>
                        <w14:solidFill>
                          <w14:schemeClr w14:val="tx1"/>
                        </w14:solidFill>
                      </w14:textFill>
                    </w:rPr>
                    <w:t>不涉及</w:t>
                  </w:r>
                </w:p>
              </w:tc>
              <w:tc>
                <w:tcPr>
                  <w:tcW w:w="910" w:type="pct"/>
                  <w:tcBorders>
                    <w:top w:val="single" w:color="000000" w:sz="4" w:space="0"/>
                    <w:left w:val="single" w:color="000000" w:sz="4" w:space="0"/>
                    <w:bottom w:val="single" w:color="000000" w:sz="4" w:space="0"/>
                  </w:tcBorders>
                  <w:vAlign w:val="center"/>
                </w:tcPr>
                <w:p w14:paraId="485EEEDD">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否</w:t>
                  </w:r>
                </w:p>
              </w:tc>
            </w:tr>
            <w:tr w14:paraId="67F71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 w:hRule="atLeast"/>
                <w:jc w:val="center"/>
              </w:trPr>
              <w:tc>
                <w:tcPr>
                  <w:tcW w:w="782" w:type="pct"/>
                  <w:tcBorders>
                    <w:top w:val="single" w:color="000000" w:sz="4" w:space="0"/>
                    <w:bottom w:val="single" w:color="000000" w:sz="4" w:space="0"/>
                    <w:right w:val="single" w:color="000000" w:sz="4" w:space="0"/>
                  </w:tcBorders>
                  <w:vAlign w:val="center"/>
                </w:tcPr>
                <w:p w14:paraId="5EE0AD69">
                  <w:pPr>
                    <w:rPr>
                      <w:color w:val="000000" w:themeColor="text1"/>
                      <w:sz w:val="24"/>
                      <w14:textFill>
                        <w14:solidFill>
                          <w14:schemeClr w14:val="tx1"/>
                        </w14:solidFill>
                      </w14:textFill>
                    </w:rPr>
                  </w:pPr>
                  <w:r>
                    <w:rPr>
                      <w:color w:val="000000" w:themeColor="text1"/>
                      <w:sz w:val="24"/>
                      <w14:textFill>
                        <w14:solidFill>
                          <w14:schemeClr w14:val="tx1"/>
                        </w14:solidFill>
                      </w14:textFill>
                    </w:rPr>
                    <w:t>生态</w:t>
                  </w:r>
                </w:p>
              </w:tc>
              <w:tc>
                <w:tcPr>
                  <w:tcW w:w="2454" w:type="pct"/>
                  <w:tcBorders>
                    <w:top w:val="single" w:color="000000" w:sz="4" w:space="0"/>
                    <w:left w:val="single" w:color="000000" w:sz="4" w:space="0"/>
                    <w:bottom w:val="single" w:color="000000" w:sz="4" w:space="0"/>
                  </w:tcBorders>
                  <w:vAlign w:val="center"/>
                </w:tcPr>
                <w:p w14:paraId="7593D5DA">
                  <w:pPr>
                    <w:rPr>
                      <w:color w:val="000000" w:themeColor="text1"/>
                      <w:sz w:val="24"/>
                      <w14:textFill>
                        <w14:solidFill>
                          <w14:schemeClr w14:val="tx1"/>
                        </w14:solidFill>
                      </w14:textFill>
                    </w:rPr>
                  </w:pPr>
                  <w:r>
                    <w:rPr>
                      <w:color w:val="000000" w:themeColor="text1"/>
                      <w:sz w:val="24"/>
                      <w14:textFill>
                        <w14:solidFill>
                          <w14:schemeClr w14:val="tx1"/>
                        </w14:solidFill>
                      </w14:textFill>
                    </w:rPr>
                    <w:t>取水口下游500米范围内有重要水生生物的自然产卵场、索饵场、越冬场和洄游通道的新增河道取水的污染类建设项目</w:t>
                  </w:r>
                </w:p>
              </w:tc>
              <w:tc>
                <w:tcPr>
                  <w:tcW w:w="854" w:type="pct"/>
                  <w:tcBorders>
                    <w:top w:val="single" w:color="000000" w:sz="4" w:space="0"/>
                    <w:left w:val="single" w:color="000000" w:sz="4" w:space="0"/>
                    <w:bottom w:val="single" w:color="000000" w:sz="4" w:space="0"/>
                    <w:right w:val="single" w:color="000000" w:sz="4" w:space="0"/>
                  </w:tcBorders>
                  <w:vAlign w:val="center"/>
                </w:tcPr>
                <w:p w14:paraId="3FD107C2">
                  <w:pPr>
                    <w:rPr>
                      <w:color w:val="000000" w:themeColor="text1"/>
                      <w:sz w:val="24"/>
                      <w14:textFill>
                        <w14:solidFill>
                          <w14:schemeClr w14:val="tx1"/>
                        </w14:solidFill>
                      </w14:textFill>
                    </w:rPr>
                  </w:pPr>
                </w:p>
                <w:p w14:paraId="042CEB25">
                  <w:pPr>
                    <w:rPr>
                      <w:color w:val="000000" w:themeColor="text1"/>
                      <w:sz w:val="24"/>
                      <w14:textFill>
                        <w14:solidFill>
                          <w14:schemeClr w14:val="tx1"/>
                        </w14:solidFill>
                      </w14:textFill>
                    </w:rPr>
                  </w:pPr>
                  <w:r>
                    <w:rPr>
                      <w:color w:val="000000" w:themeColor="text1"/>
                      <w:sz w:val="24"/>
                      <w14:textFill>
                        <w14:solidFill>
                          <w14:schemeClr w14:val="tx1"/>
                        </w14:solidFill>
                      </w14:textFill>
                    </w:rPr>
                    <w:t>不涉及</w:t>
                  </w:r>
                </w:p>
              </w:tc>
              <w:tc>
                <w:tcPr>
                  <w:tcW w:w="910" w:type="pct"/>
                  <w:tcBorders>
                    <w:top w:val="single" w:color="000000" w:sz="4" w:space="0"/>
                    <w:left w:val="single" w:color="000000" w:sz="4" w:space="0"/>
                    <w:bottom w:val="single" w:color="000000" w:sz="4" w:space="0"/>
                  </w:tcBorders>
                  <w:vAlign w:val="center"/>
                </w:tcPr>
                <w:p w14:paraId="298EE021">
                  <w:pPr>
                    <w:jc w:val="center"/>
                    <w:rPr>
                      <w:b/>
                      <w:bCs/>
                      <w:color w:val="000000" w:themeColor="text1"/>
                      <w:sz w:val="24"/>
                      <w14:textFill>
                        <w14:solidFill>
                          <w14:schemeClr w14:val="tx1"/>
                        </w14:solidFill>
                      </w14:textFill>
                    </w:rPr>
                  </w:pPr>
                </w:p>
                <w:p w14:paraId="2E8A9B7E">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否</w:t>
                  </w:r>
                </w:p>
              </w:tc>
            </w:tr>
            <w:tr w14:paraId="67BBA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4" w:hRule="atLeast"/>
                <w:jc w:val="center"/>
              </w:trPr>
              <w:tc>
                <w:tcPr>
                  <w:tcW w:w="782" w:type="pct"/>
                  <w:tcBorders>
                    <w:top w:val="single" w:color="000000" w:sz="4" w:space="0"/>
                    <w:right w:val="single" w:color="000000" w:sz="4" w:space="0"/>
                  </w:tcBorders>
                  <w:vAlign w:val="center"/>
                </w:tcPr>
                <w:p w14:paraId="65E792DE">
                  <w:pPr>
                    <w:rPr>
                      <w:color w:val="000000" w:themeColor="text1"/>
                      <w:sz w:val="24"/>
                      <w14:textFill>
                        <w14:solidFill>
                          <w14:schemeClr w14:val="tx1"/>
                        </w14:solidFill>
                      </w14:textFill>
                    </w:rPr>
                  </w:pPr>
                  <w:r>
                    <w:rPr>
                      <w:color w:val="000000" w:themeColor="text1"/>
                      <w:sz w:val="24"/>
                      <w14:textFill>
                        <w14:solidFill>
                          <w14:schemeClr w14:val="tx1"/>
                        </w14:solidFill>
                      </w14:textFill>
                    </w:rPr>
                    <w:t>海洋</w:t>
                  </w:r>
                </w:p>
              </w:tc>
              <w:tc>
                <w:tcPr>
                  <w:tcW w:w="2454" w:type="pct"/>
                  <w:tcBorders>
                    <w:top w:val="single" w:color="000000" w:sz="4" w:space="0"/>
                    <w:left w:val="single" w:color="000000" w:sz="4" w:space="0"/>
                  </w:tcBorders>
                  <w:vAlign w:val="center"/>
                </w:tcPr>
                <w:p w14:paraId="7EDD5C65">
                  <w:pPr>
                    <w:rPr>
                      <w:color w:val="000000" w:themeColor="text1"/>
                      <w:sz w:val="24"/>
                      <w14:textFill>
                        <w14:solidFill>
                          <w14:schemeClr w14:val="tx1"/>
                        </w14:solidFill>
                      </w14:textFill>
                    </w:rPr>
                  </w:pPr>
                  <w:r>
                    <w:rPr>
                      <w:color w:val="000000" w:themeColor="text1"/>
                      <w:sz w:val="24"/>
                      <w14:textFill>
                        <w14:solidFill>
                          <w14:schemeClr w14:val="tx1"/>
                        </w14:solidFill>
                      </w14:textFill>
                    </w:rPr>
                    <w:t>直接向海排放污染物的海洋工程建设项目</w:t>
                  </w:r>
                </w:p>
              </w:tc>
              <w:tc>
                <w:tcPr>
                  <w:tcW w:w="854" w:type="pct"/>
                  <w:tcBorders>
                    <w:top w:val="single" w:color="000000" w:sz="4" w:space="0"/>
                    <w:left w:val="single" w:color="000000" w:sz="4" w:space="0"/>
                    <w:right w:val="single" w:color="000000" w:sz="4" w:space="0"/>
                  </w:tcBorders>
                  <w:vAlign w:val="center"/>
                </w:tcPr>
                <w:p w14:paraId="6FAE1A07">
                  <w:pPr>
                    <w:rPr>
                      <w:color w:val="000000" w:themeColor="text1"/>
                      <w:sz w:val="24"/>
                      <w14:textFill>
                        <w14:solidFill>
                          <w14:schemeClr w14:val="tx1"/>
                        </w14:solidFill>
                      </w14:textFill>
                    </w:rPr>
                  </w:pPr>
                  <w:r>
                    <w:rPr>
                      <w:color w:val="000000" w:themeColor="text1"/>
                      <w:sz w:val="24"/>
                      <w14:textFill>
                        <w14:solidFill>
                          <w14:schemeClr w14:val="tx1"/>
                        </w14:solidFill>
                      </w14:textFill>
                    </w:rPr>
                    <w:t>不涉及</w:t>
                  </w:r>
                </w:p>
              </w:tc>
              <w:tc>
                <w:tcPr>
                  <w:tcW w:w="910" w:type="pct"/>
                  <w:tcBorders>
                    <w:top w:val="single" w:color="000000" w:sz="4" w:space="0"/>
                    <w:left w:val="single" w:color="000000" w:sz="4" w:space="0"/>
                  </w:tcBorders>
                  <w:vAlign w:val="center"/>
                </w:tcPr>
                <w:p w14:paraId="7EF32B1D">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否</w:t>
                  </w:r>
                </w:p>
              </w:tc>
            </w:tr>
          </w:tbl>
          <w:p w14:paraId="39D10725">
            <w:pPr>
              <w:rPr>
                <w:color w:val="000000" w:themeColor="text1"/>
                <w:sz w:val="24"/>
                <w14:textFill>
                  <w14:solidFill>
                    <w14:schemeClr w14:val="tx1"/>
                  </w14:solidFill>
                </w14:textFill>
              </w:rPr>
            </w:pPr>
            <w:r>
              <w:rPr>
                <w:color w:val="000000" w:themeColor="text1"/>
                <w:sz w:val="24"/>
                <w14:textFill>
                  <w14:solidFill>
                    <w14:schemeClr w14:val="tx1"/>
                  </w14:solidFill>
                </w14:textFill>
              </w:rPr>
              <w:t>注：1.废气中有毒有害污染物指纳入《有毒有害大气污染物名录》的污染物（不包括无排放标准的污染物）。</w:t>
            </w:r>
          </w:p>
          <w:p w14:paraId="6EB8706B">
            <w:pPr>
              <w:rPr>
                <w:color w:val="000000" w:themeColor="text1"/>
                <w:sz w:val="24"/>
                <w14:textFill>
                  <w14:solidFill>
                    <w14:schemeClr w14:val="tx1"/>
                  </w14:solidFill>
                </w14:textFill>
              </w:rPr>
            </w:pPr>
            <w:r>
              <w:rPr>
                <w:color w:val="000000" w:themeColor="text1"/>
                <w:sz w:val="24"/>
                <w14:textFill>
                  <w14:solidFill>
                    <w14:schemeClr w14:val="tx1"/>
                  </w14:solidFill>
                </w14:textFill>
              </w:rPr>
              <w:t>2.环境空气保护目标指自然保护区、风景名胜区、居住区、文化区和农村地区中人群较集中的区域。</w:t>
            </w:r>
          </w:p>
          <w:p w14:paraId="6D8FA0FD">
            <w:pPr>
              <w:rPr>
                <w:color w:val="000000" w:themeColor="text1"/>
                <w:sz w:val="24"/>
                <w14:textFill>
                  <w14:solidFill>
                    <w14:schemeClr w14:val="tx1"/>
                  </w14:solidFill>
                </w14:textFill>
              </w:rPr>
            </w:pPr>
            <w:r>
              <w:rPr>
                <w:color w:val="000000" w:themeColor="text1"/>
                <w:sz w:val="24"/>
                <w14:textFill>
                  <w14:solidFill>
                    <w14:schemeClr w14:val="tx1"/>
                  </w14:solidFill>
                </w14:textFill>
              </w:rPr>
              <w:t>3.临界量及其计算方法可参考《建设项目环境风险评价技术导则》（HJ169）附录B、附录C。</w:t>
            </w:r>
          </w:p>
        </w:tc>
      </w:tr>
      <w:tr w14:paraId="7AEE5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vAlign w:val="center"/>
          </w:tcPr>
          <w:p w14:paraId="3AF4F369">
            <w:pPr>
              <w:rPr>
                <w:color w:val="000000" w:themeColor="text1"/>
                <w:sz w:val="24"/>
                <w14:textFill>
                  <w14:solidFill>
                    <w14:schemeClr w14:val="tx1"/>
                  </w14:solidFill>
                </w14:textFill>
              </w:rPr>
            </w:pPr>
            <w:r>
              <w:rPr>
                <w:color w:val="000000" w:themeColor="text1"/>
                <w:sz w:val="24"/>
                <w14:textFill>
                  <w14:solidFill>
                    <w14:schemeClr w14:val="tx1"/>
                  </w14:solidFill>
                </w14:textFill>
              </w:rPr>
              <w:t>规划情况</w:t>
            </w:r>
          </w:p>
        </w:tc>
        <w:tc>
          <w:tcPr>
            <w:tcW w:w="7780" w:type="dxa"/>
            <w:gridSpan w:val="3"/>
            <w:vAlign w:val="center"/>
          </w:tcPr>
          <w:p w14:paraId="0805A9B1">
            <w:pP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14:paraId="55A29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vAlign w:val="center"/>
          </w:tcPr>
          <w:p w14:paraId="3FE93F34">
            <w:pP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7780" w:type="dxa"/>
            <w:gridSpan w:val="3"/>
            <w:vAlign w:val="center"/>
          </w:tcPr>
          <w:p w14:paraId="3D2117F1">
            <w:pP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14:paraId="3D6C6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1009" w:type="dxa"/>
            <w:vAlign w:val="center"/>
          </w:tcPr>
          <w:p w14:paraId="6F3024A9">
            <w:pPr>
              <w:rPr>
                <w:color w:val="000000" w:themeColor="text1"/>
                <w:sz w:val="24"/>
                <w14:textFill>
                  <w14:solidFill>
                    <w14:schemeClr w14:val="tx1"/>
                  </w14:solidFill>
                </w14:textFill>
              </w:rPr>
            </w:pPr>
            <w:r>
              <w:rPr>
                <w:color w:val="000000" w:themeColor="text1"/>
                <w:sz w:val="24"/>
                <w14:textFill>
                  <w14:solidFill>
                    <w14:schemeClr w14:val="tx1"/>
                  </w14:solidFill>
                </w14:textFill>
              </w:rPr>
              <w:t>规划及规划环境影响评价符合性分析</w:t>
            </w:r>
          </w:p>
        </w:tc>
        <w:tc>
          <w:tcPr>
            <w:tcW w:w="7780" w:type="dxa"/>
            <w:gridSpan w:val="3"/>
            <w:vAlign w:val="center"/>
          </w:tcPr>
          <w:p w14:paraId="3BB0463B">
            <w:pP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14:paraId="7E2EF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1BD7F263">
            <w:pPr>
              <w:rPr>
                <w:color w:val="000000" w:themeColor="text1"/>
                <w:sz w:val="24"/>
                <w14:textFill>
                  <w14:solidFill>
                    <w14:schemeClr w14:val="tx1"/>
                  </w14:solidFill>
                </w14:textFill>
              </w:rPr>
            </w:pPr>
            <w:r>
              <w:rPr>
                <w:color w:val="000000" w:themeColor="text1"/>
                <w:sz w:val="24"/>
                <w14:textFill>
                  <w14:solidFill>
                    <w14:schemeClr w14:val="tx1"/>
                  </w14:solidFill>
                </w14:textFill>
              </w:rPr>
              <w:t>其他符合性分析</w:t>
            </w:r>
          </w:p>
        </w:tc>
        <w:tc>
          <w:tcPr>
            <w:tcW w:w="7780" w:type="dxa"/>
            <w:gridSpan w:val="3"/>
            <w:vAlign w:val="center"/>
          </w:tcPr>
          <w:p w14:paraId="7F8E3539">
            <w:pPr>
              <w:spacing w:before="120"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1、产业政策符合性</w:t>
            </w:r>
          </w:p>
          <w:p w14:paraId="1492D360">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本项目为一般工业固体废物资源化综合利用项目，属于“C3031粘土砖瓦及建筑砌块制造”，项目与《产业结构调整指导目录（2019年本》及</w:t>
            </w:r>
            <w:r>
              <w:rPr>
                <w:rFonts w:eastAsiaTheme="minorEastAsia"/>
                <w:color w:val="000000" w:themeColor="text1"/>
                <w:sz w:val="24"/>
                <w14:textFill>
                  <w14:solidFill>
                    <w14:schemeClr w14:val="tx1"/>
                  </w14:solidFill>
                </w14:textFill>
              </w:rPr>
              <w:t>《建材行业淘汰落后产能指导目录（2019年）》等政策的</w:t>
            </w:r>
            <w:r>
              <w:rPr>
                <w:color w:val="000000" w:themeColor="text1"/>
                <w:sz w:val="24"/>
                <w14:textFill>
                  <w14:solidFill>
                    <w14:schemeClr w14:val="tx1"/>
                  </w14:solidFill>
                </w14:textFill>
              </w:rPr>
              <w:t>符合性分析如下：</w:t>
            </w:r>
          </w:p>
          <w:p w14:paraId="52C5BA05">
            <w:pPr>
              <w:spacing w:line="360" w:lineRule="auto"/>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表1-2项目与《产业结构调整指导目录（2019年本》符</w:t>
            </w:r>
            <w:r>
              <w:rPr>
                <w:rFonts w:hint="eastAsia"/>
                <w:b/>
                <w:bCs/>
                <w:color w:val="000000" w:themeColor="text1"/>
                <w:sz w:val="24"/>
                <w:lang w:eastAsia="zh-CN"/>
                <w14:textFill>
                  <w14:solidFill>
                    <w14:schemeClr w14:val="tx1"/>
                  </w14:solidFill>
                </w14:textFill>
              </w:rPr>
              <w:t>合</w:t>
            </w:r>
            <w:r>
              <w:rPr>
                <w:b/>
                <w:bCs/>
                <w:color w:val="000000" w:themeColor="text1"/>
                <w:sz w:val="24"/>
                <w14:textFill>
                  <w14:solidFill>
                    <w14:schemeClr w14:val="tx1"/>
                  </w14:solidFill>
                </w14:textFill>
              </w:rPr>
              <w:t>性分析表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248"/>
              <w:gridCol w:w="1913"/>
              <w:gridCol w:w="945"/>
            </w:tblGrid>
            <w:tr w14:paraId="1610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Align w:val="center"/>
                </w:tcPr>
                <w:p w14:paraId="17FDB1B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671" w:type="pct"/>
                  <w:vAlign w:val="center"/>
                </w:tcPr>
                <w:p w14:paraId="0944E6DA">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《产业结构调整指导目录（2019年本》</w:t>
                  </w:r>
                </w:p>
              </w:tc>
              <w:tc>
                <w:tcPr>
                  <w:tcW w:w="1203" w:type="pct"/>
                  <w:vAlign w:val="center"/>
                </w:tcPr>
                <w:p w14:paraId="6CD6590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594" w:type="pct"/>
                  <w:vAlign w:val="center"/>
                </w:tcPr>
                <w:p w14:paraId="2728DEE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59BF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Align w:val="center"/>
                </w:tcPr>
                <w:p w14:paraId="553802E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鼓励类</w:t>
                  </w:r>
                </w:p>
              </w:tc>
              <w:tc>
                <w:tcPr>
                  <w:tcW w:w="2671" w:type="pct"/>
                  <w:vAlign w:val="center"/>
                </w:tcPr>
                <w:p w14:paraId="34AC314C">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第四十三项“环境保护与资源节约综合利用”第20条：城镇垃圾、农村生活垃圾、农村生活污水、污泥及其他固体废弃物减量化、资源化、无害化处理和综合利用工程</w:t>
                  </w:r>
                </w:p>
              </w:tc>
              <w:tc>
                <w:tcPr>
                  <w:tcW w:w="1203" w:type="pct"/>
                  <w:vAlign w:val="center"/>
                </w:tcPr>
                <w:p w14:paraId="645718D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本项目利用油基岩屑厌氧热回收处理后的一般固废干渣制砖，属于固废资源化利用工程</w:t>
                  </w:r>
                </w:p>
              </w:tc>
              <w:tc>
                <w:tcPr>
                  <w:tcW w:w="594" w:type="pct"/>
                  <w:vAlign w:val="center"/>
                </w:tcPr>
                <w:p w14:paraId="37BC2735">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533E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restart"/>
                  <w:vAlign w:val="center"/>
                </w:tcPr>
                <w:p w14:paraId="33B50FD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限制类</w:t>
                  </w:r>
                </w:p>
              </w:tc>
              <w:tc>
                <w:tcPr>
                  <w:tcW w:w="2671" w:type="pct"/>
                  <w:vAlign w:val="center"/>
                </w:tcPr>
                <w:p w14:paraId="3B43234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第九项“建材”第6条：、粘土空心砖生产线（陕西、青海、甘肃、新疆、西藏、宁夏除外）</w:t>
                  </w:r>
                </w:p>
              </w:tc>
              <w:tc>
                <w:tcPr>
                  <w:tcW w:w="1203" w:type="pct"/>
                  <w:vMerge w:val="restart"/>
                  <w:vAlign w:val="center"/>
                </w:tcPr>
                <w:p w14:paraId="6DC612B9">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本项目为蒸压灰砂砖生产线</w:t>
                  </w:r>
                </w:p>
              </w:tc>
              <w:tc>
                <w:tcPr>
                  <w:tcW w:w="594" w:type="pct"/>
                  <w:vMerge w:val="restart"/>
                  <w:vAlign w:val="center"/>
                </w:tcPr>
                <w:p w14:paraId="12F2DCC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2C3E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02712C2D">
                  <w:pPr>
                    <w:rPr>
                      <w:b/>
                      <w:bCs/>
                      <w:color w:val="000000" w:themeColor="text1"/>
                      <w:szCs w:val="21"/>
                      <w14:textFill>
                        <w14:solidFill>
                          <w14:schemeClr w14:val="tx1"/>
                        </w14:solidFill>
                      </w14:textFill>
                    </w:rPr>
                  </w:pPr>
                </w:p>
              </w:tc>
              <w:tc>
                <w:tcPr>
                  <w:tcW w:w="2671" w:type="pct"/>
                  <w:vAlign w:val="center"/>
                </w:tcPr>
                <w:p w14:paraId="4D60E4C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九项“建材”第7条：15万平方米/年（不含）以下的石膏（空心）砌块生产线、单班5万立方米/年（不含）以下的混凝土小型空心砌块以及单班15万平方米/年（不含）以下的混凝土铺地砖固定式生产线、5万立方米/年（不含）以下的人造轻集料（陶粒）生产线</w:t>
                  </w:r>
                </w:p>
              </w:tc>
              <w:tc>
                <w:tcPr>
                  <w:tcW w:w="1203" w:type="pct"/>
                  <w:vMerge w:val="continue"/>
                  <w:vAlign w:val="center"/>
                </w:tcPr>
                <w:p w14:paraId="2D322238">
                  <w:pPr>
                    <w:rPr>
                      <w:color w:val="000000" w:themeColor="text1"/>
                      <w:szCs w:val="21"/>
                      <w14:textFill>
                        <w14:solidFill>
                          <w14:schemeClr w14:val="tx1"/>
                        </w14:solidFill>
                      </w14:textFill>
                    </w:rPr>
                  </w:pPr>
                </w:p>
              </w:tc>
              <w:tc>
                <w:tcPr>
                  <w:tcW w:w="594" w:type="pct"/>
                  <w:vMerge w:val="continue"/>
                  <w:vAlign w:val="center"/>
                </w:tcPr>
                <w:p w14:paraId="2774BB50">
                  <w:pPr>
                    <w:rPr>
                      <w:b/>
                      <w:bCs/>
                      <w:color w:val="000000" w:themeColor="text1"/>
                      <w:szCs w:val="21"/>
                      <w14:textFill>
                        <w14:solidFill>
                          <w14:schemeClr w14:val="tx1"/>
                        </w14:solidFill>
                      </w14:textFill>
                    </w:rPr>
                  </w:pPr>
                </w:p>
              </w:tc>
            </w:tr>
            <w:tr w14:paraId="3825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restart"/>
                  <w:vAlign w:val="center"/>
                </w:tcPr>
                <w:p w14:paraId="4249611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淘汰类</w:t>
                  </w:r>
                </w:p>
              </w:tc>
              <w:tc>
                <w:tcPr>
                  <w:tcW w:w="2671" w:type="pct"/>
                  <w:vAlign w:val="center"/>
                </w:tcPr>
                <w:p w14:paraId="1FC2E65E">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第八项“建材”第12条：、砖瓦轮窑（2020年12月31日）以及立窑、无顶轮窑、马蹄窑等土窑</w:t>
                  </w:r>
                </w:p>
              </w:tc>
              <w:tc>
                <w:tcPr>
                  <w:tcW w:w="1203" w:type="pct"/>
                  <w:vAlign w:val="center"/>
                </w:tcPr>
                <w:p w14:paraId="27A59254">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本项目不涉及轮窑土窑</w:t>
                  </w:r>
                </w:p>
              </w:tc>
              <w:tc>
                <w:tcPr>
                  <w:tcW w:w="594" w:type="pct"/>
                  <w:vMerge w:val="restart"/>
                  <w:vAlign w:val="center"/>
                </w:tcPr>
                <w:p w14:paraId="243E7E1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46FC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1777BC32">
                  <w:pPr>
                    <w:rPr>
                      <w:color w:val="000000" w:themeColor="text1"/>
                      <w:szCs w:val="21"/>
                      <w14:textFill>
                        <w14:solidFill>
                          <w14:schemeClr w14:val="tx1"/>
                        </w14:solidFill>
                      </w14:textFill>
                    </w:rPr>
                  </w:pPr>
                </w:p>
              </w:tc>
              <w:tc>
                <w:tcPr>
                  <w:tcW w:w="2671" w:type="pct"/>
                  <w:vAlign w:val="center"/>
                </w:tcPr>
                <w:p w14:paraId="2E867E0E">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第八项“建材”第13条：普通挤砖机</w:t>
                  </w:r>
                </w:p>
              </w:tc>
              <w:tc>
                <w:tcPr>
                  <w:tcW w:w="1203" w:type="pct"/>
                  <w:vAlign w:val="center"/>
                </w:tcPr>
                <w:p w14:paraId="09AF7C59">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本项目不使用挤砖机</w:t>
                  </w:r>
                </w:p>
              </w:tc>
              <w:tc>
                <w:tcPr>
                  <w:tcW w:w="594" w:type="pct"/>
                  <w:vMerge w:val="continue"/>
                  <w:vAlign w:val="center"/>
                </w:tcPr>
                <w:p w14:paraId="254795C2">
                  <w:pPr>
                    <w:rPr>
                      <w:color w:val="000000" w:themeColor="text1"/>
                      <w:szCs w:val="21"/>
                      <w14:textFill>
                        <w14:solidFill>
                          <w14:schemeClr w14:val="tx1"/>
                        </w14:solidFill>
                      </w14:textFill>
                    </w:rPr>
                  </w:pPr>
                </w:p>
              </w:tc>
            </w:tr>
            <w:tr w14:paraId="148E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7EF29794">
                  <w:pPr>
                    <w:rPr>
                      <w:color w:val="000000" w:themeColor="text1"/>
                      <w:szCs w:val="21"/>
                      <w14:textFill>
                        <w14:solidFill>
                          <w14:schemeClr w14:val="tx1"/>
                        </w14:solidFill>
                      </w14:textFill>
                    </w:rPr>
                  </w:pPr>
                </w:p>
              </w:tc>
              <w:tc>
                <w:tcPr>
                  <w:tcW w:w="2671" w:type="pct"/>
                  <w:vAlign w:val="center"/>
                </w:tcPr>
                <w:p w14:paraId="358A486C">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第八项“建材”第14条：SJ1580-3000双轴、单轴搅拌机</w:t>
                  </w:r>
                </w:p>
              </w:tc>
              <w:tc>
                <w:tcPr>
                  <w:tcW w:w="1203" w:type="pct"/>
                  <w:vAlign w:val="center"/>
                </w:tcPr>
                <w:p w14:paraId="63A9C9AE">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本项目使用S1140配料搅拌机</w:t>
                  </w:r>
                </w:p>
              </w:tc>
              <w:tc>
                <w:tcPr>
                  <w:tcW w:w="594" w:type="pct"/>
                  <w:vMerge w:val="continue"/>
                  <w:vAlign w:val="center"/>
                </w:tcPr>
                <w:p w14:paraId="7362A7BB">
                  <w:pPr>
                    <w:rPr>
                      <w:color w:val="000000" w:themeColor="text1"/>
                      <w:szCs w:val="21"/>
                      <w14:textFill>
                        <w14:solidFill>
                          <w14:schemeClr w14:val="tx1"/>
                        </w14:solidFill>
                      </w14:textFill>
                    </w:rPr>
                  </w:pPr>
                </w:p>
              </w:tc>
            </w:tr>
            <w:tr w14:paraId="4CA6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7D329422">
                  <w:pPr>
                    <w:rPr>
                      <w:color w:val="000000" w:themeColor="text1"/>
                      <w:szCs w:val="21"/>
                      <w14:textFill>
                        <w14:solidFill>
                          <w14:schemeClr w14:val="tx1"/>
                        </w14:solidFill>
                      </w14:textFill>
                    </w:rPr>
                  </w:pPr>
                </w:p>
              </w:tc>
              <w:tc>
                <w:tcPr>
                  <w:tcW w:w="2671" w:type="pct"/>
                  <w:vAlign w:val="center"/>
                </w:tcPr>
                <w:p w14:paraId="3D1193F9">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第八项“建材”第15条：</w:t>
                  </w:r>
                </w:p>
                <w:p w14:paraId="7D8D2D23">
                  <w:pPr>
                    <w:rPr>
                      <w:color w:val="000000" w:themeColor="text1"/>
                      <w:szCs w:val="21"/>
                      <w14:textFill>
                        <w14:solidFill>
                          <w14:schemeClr w14:val="tx1"/>
                        </w14:solidFill>
                      </w14:textFill>
                    </w:rPr>
                  </w:pPr>
                  <w:r>
                    <w:rPr>
                      <w:color w:val="000000" w:themeColor="text1"/>
                      <w:szCs w:val="21"/>
                      <w14:textFill>
                        <w14:solidFill>
                          <w14:schemeClr w14:val="tx1"/>
                        </w14:solidFill>
                      </w14:textFill>
                    </w:rPr>
                    <w:t>SQP400500-700500双辊破碎机</w:t>
                  </w:r>
                </w:p>
              </w:tc>
              <w:tc>
                <w:tcPr>
                  <w:tcW w:w="1203" w:type="pct"/>
                  <w:vAlign w:val="center"/>
                </w:tcPr>
                <w:p w14:paraId="7858124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本项目使用800卧式粉碎机</w:t>
                  </w:r>
                </w:p>
              </w:tc>
              <w:tc>
                <w:tcPr>
                  <w:tcW w:w="594" w:type="pct"/>
                  <w:vMerge w:val="continue"/>
                  <w:vAlign w:val="center"/>
                </w:tcPr>
                <w:p w14:paraId="49AAD98E">
                  <w:pPr>
                    <w:rPr>
                      <w:color w:val="000000" w:themeColor="text1"/>
                      <w:szCs w:val="21"/>
                      <w14:textFill>
                        <w14:solidFill>
                          <w14:schemeClr w14:val="tx1"/>
                        </w14:solidFill>
                      </w14:textFill>
                    </w:rPr>
                  </w:pPr>
                </w:p>
              </w:tc>
            </w:tr>
            <w:tr w14:paraId="7807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180442D9">
                  <w:pPr>
                    <w:rPr>
                      <w:color w:val="000000" w:themeColor="text1"/>
                      <w:szCs w:val="21"/>
                      <w14:textFill>
                        <w14:solidFill>
                          <w14:schemeClr w14:val="tx1"/>
                        </w14:solidFill>
                      </w14:textFill>
                    </w:rPr>
                  </w:pPr>
                </w:p>
              </w:tc>
              <w:tc>
                <w:tcPr>
                  <w:tcW w:w="2671" w:type="pct"/>
                  <w:vAlign w:val="center"/>
                </w:tcPr>
                <w:p w14:paraId="25C528DA">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第八项“建材”第16条：1000型普通切条机</w:t>
                  </w:r>
                </w:p>
              </w:tc>
              <w:tc>
                <w:tcPr>
                  <w:tcW w:w="1203" w:type="pct"/>
                  <w:vAlign w:val="center"/>
                </w:tcPr>
                <w:p w14:paraId="61A5B4B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本项目使用QTR260×250横向切条机</w:t>
                  </w:r>
                </w:p>
              </w:tc>
              <w:tc>
                <w:tcPr>
                  <w:tcW w:w="594" w:type="pct"/>
                  <w:vMerge w:val="continue"/>
                  <w:vAlign w:val="center"/>
                </w:tcPr>
                <w:p w14:paraId="1D4AF58C">
                  <w:pPr>
                    <w:rPr>
                      <w:color w:val="000000" w:themeColor="text1"/>
                      <w:szCs w:val="21"/>
                      <w14:textFill>
                        <w14:solidFill>
                          <w14:schemeClr w14:val="tx1"/>
                        </w14:solidFill>
                      </w14:textFill>
                    </w:rPr>
                  </w:pPr>
                </w:p>
              </w:tc>
            </w:tr>
            <w:tr w14:paraId="40F9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5C2E2265">
                  <w:pPr>
                    <w:rPr>
                      <w:color w:val="000000" w:themeColor="text1"/>
                      <w:szCs w:val="21"/>
                      <w14:textFill>
                        <w14:solidFill>
                          <w14:schemeClr w14:val="tx1"/>
                        </w14:solidFill>
                      </w14:textFill>
                    </w:rPr>
                  </w:pPr>
                </w:p>
              </w:tc>
              <w:tc>
                <w:tcPr>
                  <w:tcW w:w="2671" w:type="pct"/>
                  <w:vAlign w:val="center"/>
                </w:tcPr>
                <w:p w14:paraId="0CE04415">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第八项“建材”第17条：100吨以下盘转式压砖机</w:t>
                  </w:r>
                </w:p>
              </w:tc>
              <w:tc>
                <w:tcPr>
                  <w:tcW w:w="1203" w:type="pct"/>
                  <w:vAlign w:val="center"/>
                </w:tcPr>
                <w:p w14:paraId="2460DE80">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本项目不使用压砖机</w:t>
                  </w:r>
                </w:p>
              </w:tc>
              <w:tc>
                <w:tcPr>
                  <w:tcW w:w="594" w:type="pct"/>
                  <w:vMerge w:val="continue"/>
                  <w:vAlign w:val="center"/>
                </w:tcPr>
                <w:p w14:paraId="6E6CDDD8">
                  <w:pPr>
                    <w:rPr>
                      <w:color w:val="000000" w:themeColor="text1"/>
                      <w:szCs w:val="21"/>
                      <w14:textFill>
                        <w14:solidFill>
                          <w14:schemeClr w14:val="tx1"/>
                        </w14:solidFill>
                      </w14:textFill>
                    </w:rPr>
                  </w:pPr>
                </w:p>
              </w:tc>
            </w:tr>
            <w:tr w14:paraId="10B3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48FDA3CD">
                  <w:pPr>
                    <w:rPr>
                      <w:color w:val="000000" w:themeColor="text1"/>
                      <w:szCs w:val="21"/>
                      <w14:textFill>
                        <w14:solidFill>
                          <w14:schemeClr w14:val="tx1"/>
                        </w14:solidFill>
                      </w14:textFill>
                    </w:rPr>
                  </w:pPr>
                </w:p>
              </w:tc>
              <w:tc>
                <w:tcPr>
                  <w:tcW w:w="2671" w:type="pct"/>
                  <w:vAlign w:val="center"/>
                </w:tcPr>
                <w:p w14:paraId="0272C9DC">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第八项“建材”第20条：单班1万立方米/年以下的混凝土砌块固定式成型机、单班10万平方米/年以下的混凝土铺地砖固定式成型机</w:t>
                  </w:r>
                </w:p>
              </w:tc>
              <w:tc>
                <w:tcPr>
                  <w:tcW w:w="1203" w:type="pct"/>
                  <w:vAlign w:val="center"/>
                </w:tcPr>
                <w:p w14:paraId="0D567E87">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本项目使用的是1300双向模拟静压机</w:t>
                  </w:r>
                </w:p>
              </w:tc>
              <w:tc>
                <w:tcPr>
                  <w:tcW w:w="594" w:type="pct"/>
                  <w:vMerge w:val="continue"/>
                  <w:vAlign w:val="center"/>
                </w:tcPr>
                <w:p w14:paraId="019869E1">
                  <w:pPr>
                    <w:rPr>
                      <w:color w:val="000000" w:themeColor="text1"/>
                      <w:szCs w:val="21"/>
                      <w14:textFill>
                        <w14:solidFill>
                          <w14:schemeClr w14:val="tx1"/>
                        </w14:solidFill>
                      </w14:textFill>
                    </w:rPr>
                  </w:pPr>
                </w:p>
              </w:tc>
            </w:tr>
            <w:tr w14:paraId="362F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2" w:type="pct"/>
                  <w:vMerge w:val="continue"/>
                  <w:vAlign w:val="center"/>
                </w:tcPr>
                <w:p w14:paraId="7C7303AB">
                  <w:pPr>
                    <w:jc w:val="center"/>
                    <w:rPr>
                      <w:color w:val="000000" w:themeColor="text1"/>
                      <w:szCs w:val="21"/>
                      <w14:textFill>
                        <w14:solidFill>
                          <w14:schemeClr w14:val="tx1"/>
                        </w14:solidFill>
                      </w14:textFill>
                    </w:rPr>
                  </w:pPr>
                </w:p>
              </w:tc>
              <w:tc>
                <w:tcPr>
                  <w:tcW w:w="2671" w:type="pct"/>
                  <w:vAlign w:val="center"/>
                </w:tcPr>
                <w:p w14:paraId="1684D5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第八项“建材”第25条：非烧结、非蒸压粉煤灰砖生产线</w:t>
                  </w:r>
                </w:p>
              </w:tc>
              <w:tc>
                <w:tcPr>
                  <w:tcW w:w="1203" w:type="pct"/>
                  <w:vAlign w:val="center"/>
                </w:tcPr>
                <w:p w14:paraId="625692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本项目为蒸压灰砂砖生产线</w:t>
                  </w:r>
                </w:p>
              </w:tc>
              <w:tc>
                <w:tcPr>
                  <w:tcW w:w="594" w:type="pct"/>
                  <w:vMerge w:val="continue"/>
                  <w:vAlign w:val="center"/>
                </w:tcPr>
                <w:p w14:paraId="41B1F9F0">
                  <w:pPr>
                    <w:jc w:val="center"/>
                    <w:rPr>
                      <w:color w:val="000000" w:themeColor="text1"/>
                      <w:szCs w:val="21"/>
                      <w14:textFill>
                        <w14:solidFill>
                          <w14:schemeClr w14:val="tx1"/>
                        </w14:solidFill>
                      </w14:textFill>
                    </w:rPr>
                  </w:pPr>
                </w:p>
              </w:tc>
            </w:tr>
          </w:tbl>
          <w:p w14:paraId="05AF7403">
            <w:pPr>
              <w:spacing w:before="120" w:beforeLines="50" w:after="120" w:afterLines="5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表1-3项目与《建材行业淘汰落后产能指导目录（2019年）》的符合性分析</w:t>
            </w:r>
          </w:p>
          <w:tbl>
            <w:tblPr>
              <w:tblStyle w:val="25"/>
              <w:tblW w:w="5000" w:type="pct"/>
              <w:jc w:val="center"/>
              <w:tblLayout w:type="autofit"/>
              <w:tblCellMar>
                <w:top w:w="0" w:type="dxa"/>
                <w:left w:w="0" w:type="dxa"/>
                <w:bottom w:w="0" w:type="dxa"/>
                <w:right w:w="0" w:type="dxa"/>
              </w:tblCellMar>
            </w:tblPr>
            <w:tblGrid>
              <w:gridCol w:w="432"/>
              <w:gridCol w:w="3775"/>
              <w:gridCol w:w="2827"/>
              <w:gridCol w:w="928"/>
            </w:tblGrid>
            <w:tr w14:paraId="53F5B492">
              <w:tblPrEx>
                <w:tblCellMar>
                  <w:top w:w="0" w:type="dxa"/>
                  <w:left w:w="0" w:type="dxa"/>
                  <w:bottom w:w="0" w:type="dxa"/>
                  <w:right w:w="0" w:type="dxa"/>
                </w:tblCellMar>
              </w:tblPrEx>
              <w:trPr>
                <w:trHeight w:val="789" w:hRule="exact"/>
                <w:jc w:val="center"/>
              </w:trPr>
              <w:tc>
                <w:tcPr>
                  <w:tcW w:w="2637" w:type="pct"/>
                  <w:gridSpan w:val="2"/>
                  <w:tcBorders>
                    <w:top w:val="single" w:color="000000" w:sz="4" w:space="0"/>
                    <w:left w:val="single" w:color="000000" w:sz="4" w:space="0"/>
                    <w:bottom w:val="single" w:color="000000" w:sz="4" w:space="0"/>
                    <w:right w:val="single" w:color="000000" w:sz="4" w:space="0"/>
                  </w:tcBorders>
                  <w:vAlign w:val="center"/>
                </w:tcPr>
                <w:p w14:paraId="73B1F9C8">
                  <w:pPr>
                    <w:jc w:val="center"/>
                    <w:rPr>
                      <w:b/>
                      <w:bCs/>
                      <w:color w:val="000000" w:themeColor="text1"/>
                      <w:szCs w:val="21"/>
                      <w14:textFill>
                        <w14:solidFill>
                          <w14:schemeClr w14:val="tx1"/>
                        </w14:solidFill>
                      </w14:textFill>
                    </w:rPr>
                  </w:pPr>
                  <w:bookmarkStart w:id="2" w:name="_Hlk149143712"/>
                  <w:r>
                    <w:rPr>
                      <w:b/>
                      <w:bCs/>
                      <w:color w:val="000000" w:themeColor="text1"/>
                      <w:szCs w:val="21"/>
                      <w14:textFill>
                        <w14:solidFill>
                          <w14:schemeClr w14:val="tx1"/>
                        </w14:solidFill>
                      </w14:textFill>
                    </w:rPr>
                    <w:t>《建材行业淘汰落后产能指导目录（2019年）》</w:t>
                  </w:r>
                </w:p>
              </w:tc>
              <w:tc>
                <w:tcPr>
                  <w:tcW w:w="1778" w:type="pct"/>
                  <w:tcBorders>
                    <w:top w:val="single" w:color="000000" w:sz="4" w:space="0"/>
                    <w:left w:val="single" w:color="000000" w:sz="4" w:space="0"/>
                    <w:bottom w:val="single" w:color="000000" w:sz="4" w:space="0"/>
                    <w:right w:val="single" w:color="000000" w:sz="4" w:space="0"/>
                  </w:tcBorders>
                  <w:vAlign w:val="center"/>
                </w:tcPr>
                <w:p w14:paraId="1C4FCB6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585" w:type="pct"/>
                  <w:tcBorders>
                    <w:top w:val="single" w:color="000000" w:sz="4" w:space="0"/>
                    <w:left w:val="single" w:color="000000" w:sz="4" w:space="0"/>
                    <w:bottom w:val="single" w:color="000000" w:sz="4" w:space="0"/>
                    <w:right w:val="single" w:color="000000" w:sz="4" w:space="0"/>
                  </w:tcBorders>
                  <w:vAlign w:val="center"/>
                </w:tcPr>
                <w:p w14:paraId="2232619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064363DE">
              <w:tblPrEx>
                <w:tblCellMar>
                  <w:top w:w="0" w:type="dxa"/>
                  <w:left w:w="0" w:type="dxa"/>
                  <w:bottom w:w="0" w:type="dxa"/>
                  <w:right w:w="0" w:type="dxa"/>
                </w:tblCellMar>
              </w:tblPrEx>
              <w:trPr>
                <w:trHeight w:val="605" w:hRule="exact"/>
                <w:jc w:val="center"/>
              </w:trPr>
              <w:tc>
                <w:tcPr>
                  <w:tcW w:w="264" w:type="pct"/>
                  <w:vMerge w:val="restart"/>
                  <w:tcBorders>
                    <w:top w:val="single" w:color="000000" w:sz="4" w:space="0"/>
                    <w:left w:val="single" w:color="000000" w:sz="4" w:space="0"/>
                    <w:bottom w:val="single" w:color="000000" w:sz="4" w:space="0"/>
                    <w:right w:val="single" w:color="000000" w:sz="4" w:space="0"/>
                  </w:tcBorders>
                  <w:vAlign w:val="center"/>
                </w:tcPr>
                <w:p w14:paraId="65273C3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六、砖瓦</w:t>
                  </w:r>
                </w:p>
              </w:tc>
              <w:tc>
                <w:tcPr>
                  <w:tcW w:w="2373" w:type="pct"/>
                  <w:tcBorders>
                    <w:top w:val="single" w:color="000000" w:sz="4" w:space="0"/>
                    <w:left w:val="single" w:color="000000" w:sz="4" w:space="0"/>
                    <w:bottom w:val="single" w:color="000000" w:sz="4" w:space="0"/>
                    <w:right w:val="single" w:color="000000" w:sz="4" w:space="0"/>
                  </w:tcBorders>
                  <w:vAlign w:val="center"/>
                </w:tcPr>
                <w:p w14:paraId="54459EBA">
                  <w:pPr>
                    <w:rPr>
                      <w:color w:val="000000" w:themeColor="text1"/>
                      <w:szCs w:val="21"/>
                      <w14:textFill>
                        <w14:solidFill>
                          <w14:schemeClr w14:val="tx1"/>
                        </w14:solidFill>
                      </w14:textFill>
                    </w:rPr>
                  </w:pPr>
                  <w:r>
                    <w:rPr>
                      <w:color w:val="000000" w:themeColor="text1"/>
                      <w:szCs w:val="21"/>
                      <w14:textFill>
                        <w14:solidFill>
                          <w14:schemeClr w14:val="tx1"/>
                        </w14:solidFill>
                      </w14:textFill>
                    </w:rPr>
                    <w:t>砖瓦轮窑（2020年12月31日）以及立窑、无顶轮窑马蹄窑等土窑</w:t>
                  </w:r>
                </w:p>
              </w:tc>
              <w:tc>
                <w:tcPr>
                  <w:tcW w:w="1778" w:type="pct"/>
                  <w:tcBorders>
                    <w:top w:val="single" w:color="000000" w:sz="4" w:space="0"/>
                    <w:left w:val="single" w:color="000000" w:sz="4" w:space="0"/>
                    <w:bottom w:val="single" w:color="000000" w:sz="4" w:space="0"/>
                    <w:right w:val="single" w:color="000000" w:sz="4" w:space="0"/>
                  </w:tcBorders>
                  <w:vAlign w:val="center"/>
                </w:tcPr>
                <w:p w14:paraId="05BE4B2E">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本项目不涉及轮窑土窑</w:t>
                  </w:r>
                </w:p>
              </w:tc>
              <w:tc>
                <w:tcPr>
                  <w:tcW w:w="585" w:type="pct"/>
                  <w:tcBorders>
                    <w:top w:val="single" w:color="000000" w:sz="4" w:space="0"/>
                    <w:left w:val="single" w:color="000000" w:sz="4" w:space="0"/>
                    <w:bottom w:val="single" w:color="000000" w:sz="4" w:space="0"/>
                    <w:right w:val="single" w:color="000000" w:sz="4" w:space="0"/>
                  </w:tcBorders>
                  <w:vAlign w:val="center"/>
                </w:tcPr>
                <w:p w14:paraId="1BE2798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59D4134B">
              <w:tblPrEx>
                <w:tblCellMar>
                  <w:top w:w="0" w:type="dxa"/>
                  <w:left w:w="0" w:type="dxa"/>
                  <w:bottom w:w="0" w:type="dxa"/>
                  <w:right w:w="0" w:type="dxa"/>
                </w:tblCellMar>
              </w:tblPrEx>
              <w:trPr>
                <w:trHeight w:val="430"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54FB69C5">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7ABAE1E1">
                  <w:pPr>
                    <w:rPr>
                      <w:color w:val="000000" w:themeColor="text1"/>
                      <w:szCs w:val="21"/>
                      <w14:textFill>
                        <w14:solidFill>
                          <w14:schemeClr w14:val="tx1"/>
                        </w14:solidFill>
                      </w14:textFill>
                    </w:rPr>
                  </w:pPr>
                  <w:r>
                    <w:rPr>
                      <w:color w:val="000000" w:themeColor="text1"/>
                      <w:szCs w:val="21"/>
                      <w14:textFill>
                        <w14:solidFill>
                          <w14:schemeClr w14:val="tx1"/>
                        </w14:solidFill>
                      </w14:textFill>
                    </w:rPr>
                    <w:t>普通挤砖机</w:t>
                  </w:r>
                </w:p>
              </w:tc>
              <w:tc>
                <w:tcPr>
                  <w:tcW w:w="1778" w:type="pct"/>
                  <w:tcBorders>
                    <w:top w:val="single" w:color="000000" w:sz="4" w:space="0"/>
                    <w:left w:val="single" w:color="000000" w:sz="4" w:space="0"/>
                    <w:bottom w:val="single" w:color="000000" w:sz="4" w:space="0"/>
                    <w:right w:val="single" w:color="000000" w:sz="4" w:space="0"/>
                  </w:tcBorders>
                  <w:vAlign w:val="center"/>
                </w:tcPr>
                <w:p w14:paraId="7462796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本项目不使用挤砖机</w:t>
                  </w:r>
                </w:p>
              </w:tc>
              <w:tc>
                <w:tcPr>
                  <w:tcW w:w="585" w:type="pct"/>
                  <w:tcBorders>
                    <w:top w:val="single" w:color="000000" w:sz="4" w:space="0"/>
                    <w:left w:val="single" w:color="000000" w:sz="4" w:space="0"/>
                    <w:bottom w:val="single" w:color="000000" w:sz="4" w:space="0"/>
                    <w:right w:val="single" w:color="000000" w:sz="4" w:space="0"/>
                  </w:tcBorders>
                  <w:vAlign w:val="center"/>
                </w:tcPr>
                <w:p w14:paraId="0B75E5D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6358019C">
              <w:tblPrEx>
                <w:tblCellMar>
                  <w:top w:w="0" w:type="dxa"/>
                  <w:left w:w="0" w:type="dxa"/>
                  <w:bottom w:w="0" w:type="dxa"/>
                  <w:right w:w="0" w:type="dxa"/>
                </w:tblCellMar>
              </w:tblPrEx>
              <w:trPr>
                <w:trHeight w:val="563"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6B880AD9">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75C8AD40">
                  <w:pPr>
                    <w:rPr>
                      <w:color w:val="000000" w:themeColor="text1"/>
                      <w:szCs w:val="21"/>
                      <w14:textFill>
                        <w14:solidFill>
                          <w14:schemeClr w14:val="tx1"/>
                        </w14:solidFill>
                      </w14:textFill>
                    </w:rPr>
                  </w:pPr>
                  <w:r>
                    <w:rPr>
                      <w:color w:val="000000" w:themeColor="text1"/>
                      <w:szCs w:val="21"/>
                      <w14:textFill>
                        <w14:solidFill>
                          <w14:schemeClr w14:val="tx1"/>
                        </w14:solidFill>
                      </w14:textFill>
                    </w:rPr>
                    <w:t>SJ1580-3000双轴、单轴制砖搅拌机</w:t>
                  </w:r>
                </w:p>
              </w:tc>
              <w:tc>
                <w:tcPr>
                  <w:tcW w:w="1778" w:type="pct"/>
                  <w:tcBorders>
                    <w:top w:val="single" w:color="000000" w:sz="4" w:space="0"/>
                    <w:left w:val="single" w:color="000000" w:sz="4" w:space="0"/>
                    <w:bottom w:val="single" w:color="000000" w:sz="4" w:space="0"/>
                    <w:right w:val="single" w:color="000000" w:sz="4" w:space="0"/>
                  </w:tcBorders>
                  <w:vAlign w:val="center"/>
                </w:tcPr>
                <w:p w14:paraId="6C4C244F">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本项目使用S1140配料搅拌机</w:t>
                  </w:r>
                </w:p>
              </w:tc>
              <w:tc>
                <w:tcPr>
                  <w:tcW w:w="585" w:type="pct"/>
                  <w:tcBorders>
                    <w:top w:val="single" w:color="000000" w:sz="4" w:space="0"/>
                    <w:left w:val="single" w:color="000000" w:sz="4" w:space="0"/>
                    <w:bottom w:val="single" w:color="000000" w:sz="4" w:space="0"/>
                    <w:right w:val="single" w:color="000000" w:sz="4" w:space="0"/>
                  </w:tcBorders>
                  <w:vAlign w:val="center"/>
                </w:tcPr>
                <w:p w14:paraId="55807EB2">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0D98CF18">
              <w:tblPrEx>
                <w:tblCellMar>
                  <w:top w:w="0" w:type="dxa"/>
                  <w:left w:w="0" w:type="dxa"/>
                  <w:bottom w:w="0" w:type="dxa"/>
                  <w:right w:w="0" w:type="dxa"/>
                </w:tblCellMar>
              </w:tblPrEx>
              <w:trPr>
                <w:trHeight w:val="485"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04E4A132">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61CF7D2F">
                  <w:pPr>
                    <w:rPr>
                      <w:color w:val="000000" w:themeColor="text1"/>
                      <w:szCs w:val="21"/>
                      <w14:textFill>
                        <w14:solidFill>
                          <w14:schemeClr w14:val="tx1"/>
                        </w14:solidFill>
                      </w14:textFill>
                    </w:rPr>
                  </w:pPr>
                  <w:r>
                    <w:rPr>
                      <w:color w:val="000000" w:themeColor="text1"/>
                      <w:szCs w:val="21"/>
                      <w14:textFill>
                        <w14:solidFill>
                          <w14:schemeClr w14:val="tx1"/>
                        </w14:solidFill>
                      </w14:textFill>
                    </w:rPr>
                    <w:t>SQP400500-700500双辊破碎机</w:t>
                  </w:r>
                </w:p>
              </w:tc>
              <w:tc>
                <w:tcPr>
                  <w:tcW w:w="1778" w:type="pct"/>
                  <w:tcBorders>
                    <w:top w:val="single" w:color="000000" w:sz="4" w:space="0"/>
                    <w:left w:val="single" w:color="000000" w:sz="4" w:space="0"/>
                    <w:bottom w:val="single" w:color="000000" w:sz="4" w:space="0"/>
                    <w:right w:val="single" w:color="000000" w:sz="4" w:space="0"/>
                  </w:tcBorders>
                  <w:vAlign w:val="center"/>
                </w:tcPr>
                <w:p w14:paraId="73316801">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本项目使用800卧式粉碎机</w:t>
                  </w:r>
                </w:p>
              </w:tc>
              <w:tc>
                <w:tcPr>
                  <w:tcW w:w="585" w:type="pct"/>
                  <w:tcBorders>
                    <w:top w:val="single" w:color="000000" w:sz="4" w:space="0"/>
                    <w:left w:val="single" w:color="000000" w:sz="4" w:space="0"/>
                    <w:bottom w:val="single" w:color="000000" w:sz="4" w:space="0"/>
                    <w:right w:val="single" w:color="000000" w:sz="4" w:space="0"/>
                  </w:tcBorders>
                  <w:vAlign w:val="center"/>
                </w:tcPr>
                <w:p w14:paraId="7E5553F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114884B2">
              <w:tblPrEx>
                <w:tblCellMar>
                  <w:top w:w="0" w:type="dxa"/>
                  <w:left w:w="0" w:type="dxa"/>
                  <w:bottom w:w="0" w:type="dxa"/>
                  <w:right w:w="0" w:type="dxa"/>
                </w:tblCellMar>
              </w:tblPrEx>
              <w:trPr>
                <w:trHeight w:val="663"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2F35817C">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5AEAE35F">
                  <w:pPr>
                    <w:rPr>
                      <w:color w:val="000000" w:themeColor="text1"/>
                      <w:szCs w:val="21"/>
                      <w14:textFill>
                        <w14:solidFill>
                          <w14:schemeClr w14:val="tx1"/>
                        </w14:solidFill>
                      </w14:textFill>
                    </w:rPr>
                  </w:pPr>
                  <w:r>
                    <w:rPr>
                      <w:color w:val="000000" w:themeColor="text1"/>
                      <w:szCs w:val="21"/>
                      <w14:textFill>
                        <w14:solidFill>
                          <w14:schemeClr w14:val="tx1"/>
                        </w14:solidFill>
                      </w14:textFill>
                    </w:rPr>
                    <w:t>1000型普通切条机</w:t>
                  </w:r>
                </w:p>
              </w:tc>
              <w:tc>
                <w:tcPr>
                  <w:tcW w:w="1778" w:type="pct"/>
                  <w:tcBorders>
                    <w:top w:val="single" w:color="000000" w:sz="4" w:space="0"/>
                    <w:left w:val="single" w:color="000000" w:sz="4" w:space="0"/>
                    <w:bottom w:val="single" w:color="000000" w:sz="4" w:space="0"/>
                    <w:right w:val="single" w:color="000000" w:sz="4" w:space="0"/>
                  </w:tcBorders>
                  <w:vAlign w:val="center"/>
                </w:tcPr>
                <w:p w14:paraId="466D2782">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本项目使用QTR260×250横向切条机</w:t>
                  </w:r>
                </w:p>
              </w:tc>
              <w:tc>
                <w:tcPr>
                  <w:tcW w:w="585" w:type="pct"/>
                  <w:tcBorders>
                    <w:top w:val="single" w:color="000000" w:sz="4" w:space="0"/>
                    <w:left w:val="single" w:color="000000" w:sz="4" w:space="0"/>
                    <w:bottom w:val="single" w:color="000000" w:sz="4" w:space="0"/>
                    <w:right w:val="single" w:color="000000" w:sz="4" w:space="0"/>
                  </w:tcBorders>
                  <w:vAlign w:val="center"/>
                </w:tcPr>
                <w:p w14:paraId="14A6F18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4B0E2222">
              <w:tblPrEx>
                <w:tblCellMar>
                  <w:top w:w="0" w:type="dxa"/>
                  <w:left w:w="0" w:type="dxa"/>
                  <w:bottom w:w="0" w:type="dxa"/>
                  <w:right w:w="0" w:type="dxa"/>
                </w:tblCellMar>
              </w:tblPrEx>
              <w:trPr>
                <w:trHeight w:val="442"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513E685C">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3E469DE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100吨以下盘转式压砖机</w:t>
                  </w:r>
                </w:p>
              </w:tc>
              <w:tc>
                <w:tcPr>
                  <w:tcW w:w="1778" w:type="pct"/>
                  <w:tcBorders>
                    <w:top w:val="single" w:color="000000" w:sz="4" w:space="0"/>
                    <w:left w:val="single" w:color="000000" w:sz="4" w:space="0"/>
                    <w:bottom w:val="single" w:color="000000" w:sz="4" w:space="0"/>
                    <w:right w:val="single" w:color="000000" w:sz="4" w:space="0"/>
                  </w:tcBorders>
                  <w:vAlign w:val="center"/>
                </w:tcPr>
                <w:p w14:paraId="47A9FEEC">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本项目不使用压砖机</w:t>
                  </w:r>
                </w:p>
              </w:tc>
              <w:tc>
                <w:tcPr>
                  <w:tcW w:w="585" w:type="pct"/>
                  <w:tcBorders>
                    <w:top w:val="single" w:color="000000" w:sz="4" w:space="0"/>
                    <w:left w:val="single" w:color="000000" w:sz="4" w:space="0"/>
                    <w:bottom w:val="single" w:color="000000" w:sz="4" w:space="0"/>
                    <w:right w:val="single" w:color="000000" w:sz="4" w:space="0"/>
                  </w:tcBorders>
                  <w:vAlign w:val="center"/>
                </w:tcPr>
                <w:p w14:paraId="7D0E894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3445D88F">
              <w:tblPrEx>
                <w:tblCellMar>
                  <w:top w:w="0" w:type="dxa"/>
                  <w:left w:w="0" w:type="dxa"/>
                  <w:bottom w:w="0" w:type="dxa"/>
                  <w:right w:w="0" w:type="dxa"/>
                </w:tblCellMar>
              </w:tblPrEx>
              <w:trPr>
                <w:trHeight w:val="820"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427C8398">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6BBD965A">
                  <w:pPr>
                    <w:rPr>
                      <w:color w:val="000000" w:themeColor="text1"/>
                      <w:szCs w:val="21"/>
                      <w14:textFill>
                        <w14:solidFill>
                          <w14:schemeClr w14:val="tx1"/>
                        </w14:solidFill>
                      </w14:textFill>
                    </w:rPr>
                  </w:pPr>
                </w:p>
                <w:p w14:paraId="6200611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破坏农田、耕地和破坏环境取土烧制的实心粘土砖生产线</w:t>
                  </w:r>
                </w:p>
              </w:tc>
              <w:tc>
                <w:tcPr>
                  <w:tcW w:w="1778" w:type="pct"/>
                  <w:tcBorders>
                    <w:top w:val="single" w:color="000000" w:sz="4" w:space="0"/>
                    <w:left w:val="single" w:color="000000" w:sz="4" w:space="0"/>
                    <w:bottom w:val="single" w:color="000000" w:sz="4" w:space="0"/>
                    <w:right w:val="single" w:color="000000" w:sz="4" w:space="0"/>
                  </w:tcBorders>
                  <w:vAlign w:val="center"/>
                </w:tcPr>
                <w:p w14:paraId="7D362803">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项目不取土烧制</w:t>
                  </w:r>
                </w:p>
                <w:p w14:paraId="5F033350">
                  <w:pPr>
                    <w:rPr>
                      <w:color w:val="000000" w:themeColor="text1"/>
                      <w:szCs w:val="21"/>
                      <w14:textFill>
                        <w14:solidFill>
                          <w14:schemeClr w14:val="tx1"/>
                        </w14:solidFill>
                      </w14:textFill>
                    </w:rPr>
                  </w:pPr>
                </w:p>
              </w:tc>
              <w:tc>
                <w:tcPr>
                  <w:tcW w:w="585" w:type="pct"/>
                  <w:tcBorders>
                    <w:top w:val="single" w:color="000000" w:sz="4" w:space="0"/>
                    <w:left w:val="single" w:color="000000" w:sz="4" w:space="0"/>
                    <w:bottom w:val="single" w:color="000000" w:sz="4" w:space="0"/>
                    <w:right w:val="single" w:color="000000" w:sz="4" w:space="0"/>
                  </w:tcBorders>
                  <w:vAlign w:val="center"/>
                </w:tcPr>
                <w:p w14:paraId="5B5479A6">
                  <w:pPr>
                    <w:rPr>
                      <w:b/>
                      <w:bCs/>
                      <w:color w:val="000000" w:themeColor="text1"/>
                      <w:szCs w:val="21"/>
                      <w14:textFill>
                        <w14:solidFill>
                          <w14:schemeClr w14:val="tx1"/>
                        </w14:solidFill>
                      </w14:textFill>
                    </w:rPr>
                  </w:pPr>
                </w:p>
                <w:p w14:paraId="2E909299">
                  <w:pPr>
                    <w:rPr>
                      <w:b/>
                      <w:bCs/>
                      <w:color w:val="000000" w:themeColor="text1"/>
                      <w:szCs w:val="21"/>
                      <w14:textFill>
                        <w14:solidFill>
                          <w14:schemeClr w14:val="tx1"/>
                        </w14:solidFill>
                      </w14:textFill>
                    </w:rPr>
                  </w:pPr>
                </w:p>
                <w:p w14:paraId="370DD01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tr w14:paraId="40CB118A">
              <w:tblPrEx>
                <w:tblCellMar>
                  <w:top w:w="0" w:type="dxa"/>
                  <w:left w:w="0" w:type="dxa"/>
                  <w:bottom w:w="0" w:type="dxa"/>
                  <w:right w:w="0" w:type="dxa"/>
                </w:tblCellMar>
              </w:tblPrEx>
              <w:trPr>
                <w:trHeight w:val="1414" w:hRule="exact"/>
                <w:jc w:val="center"/>
              </w:trPr>
              <w:tc>
                <w:tcPr>
                  <w:tcW w:w="264" w:type="pct"/>
                  <w:vMerge w:val="continue"/>
                  <w:tcBorders>
                    <w:top w:val="single" w:color="000000" w:sz="4" w:space="0"/>
                    <w:left w:val="single" w:color="000000" w:sz="4" w:space="0"/>
                    <w:bottom w:val="single" w:color="000000" w:sz="4" w:space="0"/>
                    <w:right w:val="single" w:color="000000" w:sz="4" w:space="0"/>
                  </w:tcBorders>
                  <w:vAlign w:val="center"/>
                </w:tcPr>
                <w:p w14:paraId="43297666">
                  <w:pPr>
                    <w:rPr>
                      <w:color w:val="000000" w:themeColor="text1"/>
                      <w:szCs w:val="21"/>
                      <w14:textFill>
                        <w14:solidFill>
                          <w14:schemeClr w14:val="tx1"/>
                        </w14:solidFill>
                      </w14:textFill>
                    </w:rPr>
                  </w:pPr>
                </w:p>
              </w:tc>
              <w:tc>
                <w:tcPr>
                  <w:tcW w:w="2373" w:type="pct"/>
                  <w:tcBorders>
                    <w:top w:val="single" w:color="000000" w:sz="4" w:space="0"/>
                    <w:left w:val="single" w:color="000000" w:sz="4" w:space="0"/>
                    <w:bottom w:val="single" w:color="000000" w:sz="4" w:space="0"/>
                    <w:right w:val="single" w:color="000000" w:sz="4" w:space="0"/>
                  </w:tcBorders>
                  <w:vAlign w:val="center"/>
                </w:tcPr>
                <w:p w14:paraId="69253592">
                  <w:pP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原料燃料破碎及制备成型颗粒物排放浓度超过30mg/m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，人工干燥机焙烧颗粒物、二氧化硫、氮氧化物排放浓度分别超过 30mg/m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、300mg/m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、200mg/m</w:t>
                  </w:r>
                  <w:r>
                    <w:rPr>
                      <w:color w:val="000000" w:themeColor="text1"/>
                      <w:szCs w:val="21"/>
                      <w:vertAlign w:val="superscript"/>
                      <w14:textFill>
                        <w14:solidFill>
                          <w14:schemeClr w14:val="tx1"/>
                        </w14:solidFill>
                      </w14:textFill>
                    </w:rPr>
                    <w:t xml:space="preserve">3 </w:t>
                  </w:r>
                  <w:r>
                    <w:rPr>
                      <w:color w:val="000000" w:themeColor="text1"/>
                      <w:szCs w:val="21"/>
                      <w14:textFill>
                        <w14:solidFill>
                          <w14:schemeClr w14:val="tx1"/>
                        </w14:solidFill>
                      </w14:textFill>
                    </w:rPr>
                    <w:t>的砖瓦生产线</w:t>
                  </w:r>
                </w:p>
              </w:tc>
              <w:tc>
                <w:tcPr>
                  <w:tcW w:w="1778" w:type="pct"/>
                  <w:tcBorders>
                    <w:top w:val="single" w:color="000000" w:sz="4" w:space="0"/>
                    <w:left w:val="single" w:color="000000" w:sz="4" w:space="0"/>
                    <w:bottom w:val="single" w:color="000000" w:sz="4" w:space="0"/>
                    <w:right w:val="single" w:color="000000" w:sz="4" w:space="0"/>
                  </w:tcBorders>
                  <w:vAlign w:val="center"/>
                </w:tcPr>
                <w:p w14:paraId="72FACE01">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项目原料燃料破碎及制备成型颗粒物排放浓度未超过30mg/m</w:t>
                  </w:r>
                  <w:r>
                    <w:rPr>
                      <w:color w:val="000000" w:themeColor="text1"/>
                      <w:szCs w:val="21"/>
                      <w:vertAlign w:val="superscript"/>
                      <w14:textFill>
                        <w14:solidFill>
                          <w14:schemeClr w14:val="tx1"/>
                        </w14:solidFill>
                      </w14:textFill>
                    </w:rPr>
                    <w:t>3</w:t>
                  </w:r>
                </w:p>
              </w:tc>
              <w:tc>
                <w:tcPr>
                  <w:tcW w:w="585" w:type="pct"/>
                  <w:tcBorders>
                    <w:top w:val="single" w:color="000000" w:sz="4" w:space="0"/>
                    <w:left w:val="single" w:color="000000" w:sz="4" w:space="0"/>
                    <w:bottom w:val="single" w:color="000000" w:sz="4" w:space="0"/>
                    <w:right w:val="single" w:color="000000" w:sz="4" w:space="0"/>
                  </w:tcBorders>
                  <w:vAlign w:val="center"/>
                </w:tcPr>
                <w:p w14:paraId="7943C4AB">
                  <w:pPr>
                    <w:rPr>
                      <w:b/>
                      <w:bCs/>
                      <w:color w:val="000000" w:themeColor="text1"/>
                      <w:szCs w:val="21"/>
                      <w14:textFill>
                        <w14:solidFill>
                          <w14:schemeClr w14:val="tx1"/>
                        </w14:solidFill>
                      </w14:textFill>
                    </w:rPr>
                  </w:pPr>
                </w:p>
                <w:p w14:paraId="04265C5F">
                  <w:pPr>
                    <w:rPr>
                      <w:b/>
                      <w:bCs/>
                      <w:color w:val="000000" w:themeColor="text1"/>
                      <w:szCs w:val="21"/>
                      <w14:textFill>
                        <w14:solidFill>
                          <w14:schemeClr w14:val="tx1"/>
                        </w14:solidFill>
                      </w14:textFill>
                    </w:rPr>
                  </w:pPr>
                </w:p>
                <w:p w14:paraId="529FC17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不属于</w:t>
                  </w:r>
                </w:p>
              </w:tc>
            </w:tr>
            <w:bookmarkEnd w:id="2"/>
          </w:tbl>
          <w:p w14:paraId="1BA0A9A4">
            <w:pPr>
              <w:spacing w:before="120" w:beforeLines="50"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本项目属于《产业结构调整指导目录（2019年本》中鼓励类项目，不在《西部地区鼓励类产业目录(2020年本)》中，所用设备不属于《部分工业行业淘汰落后生产工艺装备和产品指导目录》（2010年本）中的淘汰类。</w:t>
            </w:r>
            <w:r>
              <w:rPr>
                <w:color w:val="000000" w:themeColor="text1"/>
                <w:sz w:val="24"/>
                <w14:textFill>
                  <w14:solidFill>
                    <w14:schemeClr w14:val="tx1"/>
                  </w14:solidFill>
                </w14:textFill>
              </w:rPr>
              <w:t>项目砖厂选用的生产工艺和主要生产设备均不属于《建材行业淘汰落后产能指导目录（2019年）》中的淘汰类设备。</w:t>
            </w:r>
          </w:p>
          <w:p w14:paraId="4047B4A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本项目于2023年9月22日完成了四川省固定投资项目备案，</w:t>
            </w:r>
            <w:r>
              <w:rPr>
                <w:rFonts w:hint="eastAsia"/>
                <w:color w:val="000000" w:themeColor="text1"/>
                <w:sz w:val="24"/>
                <w:lang w:eastAsia="zh-CN"/>
                <w14:textFill>
                  <w14:solidFill>
                    <w14:schemeClr w14:val="tx1"/>
                  </w14:solidFill>
                </w14:textFill>
              </w:rPr>
              <w:t>取得了</w:t>
            </w:r>
            <w:r>
              <w:rPr>
                <w:color w:val="000000" w:themeColor="text1"/>
                <w:sz w:val="24"/>
                <w14:textFill>
                  <w14:solidFill>
                    <w14:schemeClr w14:val="tx1"/>
                  </w14:solidFill>
                </w14:textFill>
              </w:rPr>
              <w:t>大英县经济</w:t>
            </w:r>
            <w:r>
              <w:rPr>
                <w:color w:val="000000" w:themeColor="text1"/>
                <w:kern w:val="0"/>
                <w:sz w:val="24"/>
                <w14:textFill>
                  <w14:solidFill>
                    <w14:schemeClr w14:val="tx1"/>
                  </w14:solidFill>
                </w14:textFill>
              </w:rPr>
              <w:t>信息化</w:t>
            </w:r>
            <w:r>
              <w:rPr>
                <w:color w:val="000000" w:themeColor="text1"/>
                <w:sz w:val="24"/>
                <w14:textFill>
                  <w14:solidFill>
                    <w14:schemeClr w14:val="tx1"/>
                  </w14:solidFill>
                </w14:textFill>
              </w:rPr>
              <w:t>和科学技术局出具的四川省资产投资项目备案表（川投资备【2309-510923-07-02-961329】JXQB-0121号）。</w:t>
            </w:r>
          </w:p>
          <w:p w14:paraId="748FD882">
            <w:pPr>
              <w:spacing w:line="360" w:lineRule="auto"/>
              <w:ind w:firstLine="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综上，本项目符合国家现行产业政策。</w:t>
            </w:r>
          </w:p>
          <w:p w14:paraId="68B7648E">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2、用地规划符合性分析</w:t>
            </w:r>
          </w:p>
          <w:p w14:paraId="4BE9AE65">
            <w:pPr>
              <w:spacing w:line="360" w:lineRule="auto"/>
              <w:ind w:firstLine="480" w:firstLineChars="200"/>
              <w:rPr>
                <w:color w:val="000000" w:themeColor="text1"/>
                <w:sz w:val="24"/>
                <w14:textFill>
                  <w14:solidFill>
                    <w14:schemeClr w14:val="tx1"/>
                  </w14:solidFill>
                </w14:textFill>
              </w:rPr>
            </w:pPr>
            <w:bookmarkStart w:id="3" w:name="OLE_LINK6"/>
            <w:bookmarkStart w:id="4" w:name="OLE_LINK11"/>
            <w:r>
              <w:rPr>
                <w:color w:val="000000" w:themeColor="text1"/>
                <w:sz w:val="24"/>
                <w14:textFill>
                  <w14:solidFill>
                    <w14:schemeClr w14:val="tx1"/>
                  </w14:solidFill>
                </w14:textFill>
              </w:rPr>
              <w:t>本项目位于大英县蓬莱镇虎泉村8社，利用大英县火井建材有限公司虎林砖厂内部闲置场地660m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搭建</w:t>
            </w:r>
            <w:r>
              <w:rPr>
                <w:color w:val="000000" w:themeColor="text1"/>
                <w:kern w:val="0"/>
                <w:sz w:val="24"/>
                <w14:textFill>
                  <w14:solidFill>
                    <w14:schemeClr w14:val="tx1"/>
                  </w14:solidFill>
                </w14:textFill>
              </w:rPr>
              <w:t>简易式管架结构厂房</w:t>
            </w:r>
            <w:r>
              <w:rPr>
                <w:color w:val="000000" w:themeColor="text1"/>
                <w:sz w:val="24"/>
                <w14:textFill>
                  <w14:solidFill>
                    <w14:schemeClr w14:val="tx1"/>
                  </w14:solidFill>
                </w14:textFill>
              </w:rPr>
              <w:t>进行生产。根据大英县自然资源和规划局出具的相关证明资料（详见附件11），本项目不占用耕地和基本农田，不新增国有建设用地，根据《四川省城乡规划条例》第三十九条规定，不需出具选址意见书”</w:t>
            </w:r>
          </w:p>
          <w:p w14:paraId="25B27B1B">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本项目选址用地不在其限制用地和禁止用地目录内，用地合法。因此本项目建设符合用地规划要求。</w:t>
            </w:r>
          </w:p>
          <w:bookmarkEnd w:id="3"/>
          <w:bookmarkEnd w:id="4"/>
          <w:p w14:paraId="6D48808F">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3、项目建设与“三线一单”符合性分析</w:t>
            </w:r>
          </w:p>
          <w:p w14:paraId="7D5FAB79">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3.1生态红线</w:t>
            </w:r>
          </w:p>
          <w:p w14:paraId="523F92F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四川省人民政府《关于印发四川省生态保护红线方案的通知》（川府发〔2018〕24号）（以下简称《方案》），《方案》明确四川省生态保护红线总面积14.80万平方公里，其中遂宁市区域范围涉及的为：“盆中城市饮用水源—水土保持生态保护红线”。该区的生态保护红线主要以保障城市饮水安全的饮用水水源保护区为主，还有零散分布于四川盆地及成都平原区自然保护区、风景名胜区、湿地公园、地质公园等各类生态保护重要区域，它们在维护区域水土保持功能方面发挥着重要作用。</w:t>
            </w:r>
          </w:p>
          <w:p w14:paraId="293B7E09">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本项目位于大英县蓬莱镇虎泉村8社，不涉及上述生态红线保护区（详见附图2）。</w:t>
            </w:r>
          </w:p>
          <w:p w14:paraId="54B96DCC">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3.2环境质量底线</w:t>
            </w:r>
          </w:p>
          <w:p w14:paraId="43293B5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项目选址区域为环境空气功能区二类区，根据《2022年遂宁市环境质量公告》，区域环境空气质量达标。根据现状监测数据，项目区域TSP满足《环境空气质量标准》（GB3095-2012）二级标准。</w:t>
            </w:r>
          </w:p>
          <w:p w14:paraId="49D2738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项目所在区域为2类声环境功能区，根据环境噪声现状监测结果，项目区域声环境能够满足《声环境质量标准》2类标准要求。本项目营运期主要为设备噪声，采取相关降噪措施后不会改变区域的声环境功能。</w:t>
            </w:r>
          </w:p>
          <w:p w14:paraId="2710CB17">
            <w:pPr>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项目运营期产生的粉尘、噪声等污染物在采取相应的措施后均能做到达标排放，项目建设不会对周围环境造成较大影响，不会降低周围的环境质量，能够满足环境功能区要求，符合环境质量底线要求。</w:t>
            </w:r>
          </w:p>
          <w:p w14:paraId="0332277C">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3.3资源利用上线</w:t>
            </w:r>
          </w:p>
          <w:p w14:paraId="5854FD49">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用地利用虎林砖厂内部空地进行建设，不新增国有建设用地。项目使用的原材料主要为一般工业固体废物，不仅能解决废弃物的处置问题，又能带来集体经济，具有较好的环境效益和社会效益。项目废水经沉淀处理后回用生产，且不属于高耗水产业；项目年用电量约8万kw•h，由区域供电电网统一提供，用电量较少，不属于高耗能产业。</w:t>
            </w:r>
          </w:p>
          <w:p w14:paraId="026F3D55">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因此，本项目不突破地区能源、水、土地等资源消耗的上限。</w:t>
            </w:r>
          </w:p>
          <w:p w14:paraId="7F7F9796">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3.4环境准入负面清单</w:t>
            </w:r>
          </w:p>
          <w:p w14:paraId="18023F7B">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环境准入负面清单是基于生态保护红线、环境质量底线和资源利用上线，以清单方式列出的禁止、限制等差别化环境准入条件和要求。查阅《四川省国家重点生态功能区产业准入负面清单（第一批）（试行）》及《四川省国家重点生态功能区产业准入负面清单（第二批）（试行）》本项目不属于其中的限制类和禁止类，本项目所在地不属于国家重点生态功能区，不属于《四川省、重庆市长江经济带发展负面清单实施细则（试行，2022年版）》禁止或限制发展的项目。</w:t>
            </w:r>
          </w:p>
          <w:p w14:paraId="7CA8CCD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2022年8月28日，四川省推动长江经济带发展领导小组办公室、重庆市推动长江经济带发展领导小组办公室联合发布了《关于印发&lt;四川省、重庆市长江经济带发展负面清单实施细则（试行，2022年版）&gt;的通知》（川长江办〔2022〕17号），本项目与该通知符合性分析见下表所示：</w:t>
            </w:r>
          </w:p>
          <w:p w14:paraId="27E1F0ED">
            <w:pPr>
              <w:spacing w:line="360" w:lineRule="auto"/>
              <w:ind w:firstLine="482" w:firstLineChars="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表1-4项目与川长江办〔2022〕17号符合性分析</w:t>
            </w:r>
          </w:p>
          <w:tbl>
            <w:tblPr>
              <w:tblStyle w:val="25"/>
              <w:tblW w:w="7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5341"/>
              <w:gridCol w:w="916"/>
              <w:gridCol w:w="706"/>
            </w:tblGrid>
            <w:tr w14:paraId="499E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noWrap/>
                  <w:vAlign w:val="center"/>
                </w:tcPr>
                <w:p w14:paraId="7232650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480" w:type="pct"/>
                  <w:shd w:val="clear" w:color="auto" w:fill="auto"/>
                  <w:vAlign w:val="center"/>
                </w:tcPr>
                <w:p w14:paraId="26F76EF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四川省、重庆市长江经济带发展负面清单要求</w:t>
                  </w:r>
                </w:p>
              </w:tc>
              <w:tc>
                <w:tcPr>
                  <w:tcW w:w="597" w:type="pct"/>
                  <w:shd w:val="clear" w:color="auto" w:fill="auto"/>
                  <w:vAlign w:val="center"/>
                </w:tcPr>
                <w:p w14:paraId="01CB76F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460" w:type="pct"/>
                  <w:shd w:val="clear" w:color="auto" w:fill="auto"/>
                  <w:vAlign w:val="center"/>
                </w:tcPr>
                <w:p w14:paraId="081B998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7FE5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11C8AC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480" w:type="pct"/>
                  <w:vMerge w:val="restart"/>
                  <w:shd w:val="clear" w:color="auto" w:fill="auto"/>
                  <w:vAlign w:val="center"/>
                </w:tcPr>
                <w:p w14:paraId="43D19B7F">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禁止新建、改建和扩建不符合全国港口布局规划，以及《四川省内河水运发展规划》《遂宁-宜宾-乐山港口群布局规划》《重庆港总体规划（2035年）》等省级港口布局规划及市级港口总体规划的码头项目。</w:t>
                  </w:r>
                </w:p>
              </w:tc>
              <w:tc>
                <w:tcPr>
                  <w:tcW w:w="597" w:type="pct"/>
                  <w:vMerge w:val="restart"/>
                  <w:shd w:val="clear" w:color="auto" w:fill="auto"/>
                  <w:vAlign w:val="center"/>
                </w:tcPr>
                <w:p w14:paraId="47BA37B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0FAED46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5DC3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00F5D8A5">
                  <w:pPr>
                    <w:jc w:val="center"/>
                    <w:rPr>
                      <w:color w:val="000000" w:themeColor="text1"/>
                      <w:szCs w:val="21"/>
                      <w14:textFill>
                        <w14:solidFill>
                          <w14:schemeClr w14:val="tx1"/>
                        </w14:solidFill>
                      </w14:textFill>
                    </w:rPr>
                  </w:pPr>
                </w:p>
              </w:tc>
              <w:tc>
                <w:tcPr>
                  <w:tcW w:w="3480" w:type="pct"/>
                  <w:vMerge w:val="continue"/>
                  <w:vAlign w:val="center"/>
                </w:tcPr>
                <w:p w14:paraId="24D7C338">
                  <w:pPr>
                    <w:rPr>
                      <w:color w:val="000000" w:themeColor="text1"/>
                      <w:szCs w:val="21"/>
                      <w14:textFill>
                        <w14:solidFill>
                          <w14:schemeClr w14:val="tx1"/>
                        </w14:solidFill>
                      </w14:textFill>
                    </w:rPr>
                  </w:pPr>
                </w:p>
              </w:tc>
              <w:tc>
                <w:tcPr>
                  <w:tcW w:w="597" w:type="pct"/>
                  <w:vMerge w:val="continue"/>
                  <w:vAlign w:val="center"/>
                </w:tcPr>
                <w:p w14:paraId="792928D3">
                  <w:pPr>
                    <w:rPr>
                      <w:color w:val="000000" w:themeColor="text1"/>
                      <w:szCs w:val="21"/>
                      <w14:textFill>
                        <w14:solidFill>
                          <w14:schemeClr w14:val="tx1"/>
                        </w14:solidFill>
                      </w14:textFill>
                    </w:rPr>
                  </w:pPr>
                </w:p>
              </w:tc>
              <w:tc>
                <w:tcPr>
                  <w:tcW w:w="460" w:type="pct"/>
                  <w:vMerge w:val="continue"/>
                  <w:vAlign w:val="center"/>
                </w:tcPr>
                <w:p w14:paraId="0DD21C9D">
                  <w:pPr>
                    <w:rPr>
                      <w:b/>
                      <w:bCs/>
                      <w:color w:val="000000" w:themeColor="text1"/>
                      <w:szCs w:val="21"/>
                      <w14:textFill>
                        <w14:solidFill>
                          <w14:schemeClr w14:val="tx1"/>
                        </w14:solidFill>
                      </w14:textFill>
                    </w:rPr>
                  </w:pPr>
                </w:p>
              </w:tc>
            </w:tr>
            <w:tr w14:paraId="060A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63" w:type="pct"/>
                  <w:vMerge w:val="restart"/>
                  <w:shd w:val="clear" w:color="auto" w:fill="auto"/>
                  <w:vAlign w:val="center"/>
                </w:tcPr>
                <w:p w14:paraId="3B4050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480" w:type="pct"/>
                  <w:vMerge w:val="restart"/>
                  <w:shd w:val="clear" w:color="auto" w:fill="auto"/>
                  <w:vAlign w:val="center"/>
                </w:tcPr>
                <w:p w14:paraId="008FD629">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禁止新建、改建和扩建不符合《长江干线过江通道布局规划（2020-2035年）》的过长江通道项目（含桥梁、隧道），国家发展改革委同意过长江通道线位调整的除外。</w:t>
                  </w:r>
                </w:p>
              </w:tc>
              <w:tc>
                <w:tcPr>
                  <w:tcW w:w="597" w:type="pct"/>
                  <w:vMerge w:val="restart"/>
                  <w:shd w:val="clear" w:color="auto" w:fill="auto"/>
                  <w:vAlign w:val="center"/>
                </w:tcPr>
                <w:p w14:paraId="2951B842">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0678FCD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6BCE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728DAB11">
                  <w:pPr>
                    <w:jc w:val="center"/>
                    <w:rPr>
                      <w:color w:val="000000" w:themeColor="text1"/>
                      <w:szCs w:val="21"/>
                      <w14:textFill>
                        <w14:solidFill>
                          <w14:schemeClr w14:val="tx1"/>
                        </w14:solidFill>
                      </w14:textFill>
                    </w:rPr>
                  </w:pPr>
                </w:p>
              </w:tc>
              <w:tc>
                <w:tcPr>
                  <w:tcW w:w="3480" w:type="pct"/>
                  <w:vMerge w:val="continue"/>
                  <w:vAlign w:val="center"/>
                </w:tcPr>
                <w:p w14:paraId="35B01FD2">
                  <w:pPr>
                    <w:rPr>
                      <w:color w:val="000000" w:themeColor="text1"/>
                      <w:szCs w:val="21"/>
                      <w14:textFill>
                        <w14:solidFill>
                          <w14:schemeClr w14:val="tx1"/>
                        </w14:solidFill>
                      </w14:textFill>
                    </w:rPr>
                  </w:pPr>
                </w:p>
              </w:tc>
              <w:tc>
                <w:tcPr>
                  <w:tcW w:w="597" w:type="pct"/>
                  <w:vMerge w:val="continue"/>
                  <w:vAlign w:val="center"/>
                </w:tcPr>
                <w:p w14:paraId="2C7ECA61">
                  <w:pPr>
                    <w:rPr>
                      <w:color w:val="000000" w:themeColor="text1"/>
                      <w:szCs w:val="21"/>
                      <w14:textFill>
                        <w14:solidFill>
                          <w14:schemeClr w14:val="tx1"/>
                        </w14:solidFill>
                      </w14:textFill>
                    </w:rPr>
                  </w:pPr>
                </w:p>
              </w:tc>
              <w:tc>
                <w:tcPr>
                  <w:tcW w:w="460" w:type="pct"/>
                  <w:vMerge w:val="continue"/>
                  <w:vAlign w:val="center"/>
                </w:tcPr>
                <w:p w14:paraId="6FE6DD5B">
                  <w:pPr>
                    <w:rPr>
                      <w:b/>
                      <w:bCs/>
                      <w:color w:val="000000" w:themeColor="text1"/>
                      <w:szCs w:val="21"/>
                      <w14:textFill>
                        <w14:solidFill>
                          <w14:schemeClr w14:val="tx1"/>
                        </w14:solidFill>
                      </w14:textFill>
                    </w:rPr>
                  </w:pPr>
                </w:p>
              </w:tc>
            </w:tr>
            <w:tr w14:paraId="44B0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68AA49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480" w:type="pct"/>
                  <w:vMerge w:val="restart"/>
                  <w:shd w:val="clear" w:color="auto" w:fill="auto"/>
                  <w:vAlign w:val="center"/>
                </w:tcPr>
                <w:p w14:paraId="637FFF86">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禁止在自然保护区核心区、缓冲区的岸线和河段范围内投资建设旅游和生产经营项目。自然保护区的内部未分区的，依照核心区和缓冲区的规定管控。</w:t>
                  </w:r>
                </w:p>
              </w:tc>
              <w:tc>
                <w:tcPr>
                  <w:tcW w:w="597" w:type="pct"/>
                  <w:vMerge w:val="restart"/>
                  <w:shd w:val="clear" w:color="auto" w:fill="auto"/>
                  <w:vAlign w:val="center"/>
                </w:tcPr>
                <w:p w14:paraId="024424BC">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48FF5012">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68E2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02B609F8">
                  <w:pPr>
                    <w:jc w:val="center"/>
                    <w:rPr>
                      <w:color w:val="000000" w:themeColor="text1"/>
                      <w:szCs w:val="21"/>
                      <w14:textFill>
                        <w14:solidFill>
                          <w14:schemeClr w14:val="tx1"/>
                        </w14:solidFill>
                      </w14:textFill>
                    </w:rPr>
                  </w:pPr>
                </w:p>
              </w:tc>
              <w:tc>
                <w:tcPr>
                  <w:tcW w:w="3480" w:type="pct"/>
                  <w:vMerge w:val="continue"/>
                  <w:vAlign w:val="center"/>
                </w:tcPr>
                <w:p w14:paraId="5D752636">
                  <w:pPr>
                    <w:rPr>
                      <w:color w:val="000000" w:themeColor="text1"/>
                      <w:szCs w:val="21"/>
                      <w14:textFill>
                        <w14:solidFill>
                          <w14:schemeClr w14:val="tx1"/>
                        </w14:solidFill>
                      </w14:textFill>
                    </w:rPr>
                  </w:pPr>
                </w:p>
              </w:tc>
              <w:tc>
                <w:tcPr>
                  <w:tcW w:w="597" w:type="pct"/>
                  <w:vMerge w:val="continue"/>
                  <w:vAlign w:val="center"/>
                </w:tcPr>
                <w:p w14:paraId="29937548">
                  <w:pPr>
                    <w:rPr>
                      <w:color w:val="000000" w:themeColor="text1"/>
                      <w:szCs w:val="21"/>
                      <w14:textFill>
                        <w14:solidFill>
                          <w14:schemeClr w14:val="tx1"/>
                        </w14:solidFill>
                      </w14:textFill>
                    </w:rPr>
                  </w:pPr>
                </w:p>
              </w:tc>
              <w:tc>
                <w:tcPr>
                  <w:tcW w:w="460" w:type="pct"/>
                  <w:vMerge w:val="continue"/>
                  <w:vAlign w:val="center"/>
                </w:tcPr>
                <w:p w14:paraId="11278439">
                  <w:pPr>
                    <w:rPr>
                      <w:b/>
                      <w:bCs/>
                      <w:color w:val="000000" w:themeColor="text1"/>
                      <w:szCs w:val="21"/>
                      <w14:textFill>
                        <w14:solidFill>
                          <w14:schemeClr w14:val="tx1"/>
                        </w14:solidFill>
                      </w14:textFill>
                    </w:rPr>
                  </w:pPr>
                </w:p>
              </w:tc>
            </w:tr>
            <w:tr w14:paraId="3A26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61FB78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480" w:type="pct"/>
                  <w:vMerge w:val="restart"/>
                  <w:shd w:val="clear" w:color="auto" w:fill="auto"/>
                  <w:vAlign w:val="center"/>
                </w:tcPr>
                <w:p w14:paraId="261A20D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禁止违反风景名胜区规划，在风景名胜区内设立各类开发区。禁止在风景名胜区核心景区的岸线和河段范围内建设宾馆、招待所、培训中心、疗养院以及与风景名胜资源保护无关的项目。</w:t>
                  </w:r>
                </w:p>
              </w:tc>
              <w:tc>
                <w:tcPr>
                  <w:tcW w:w="597" w:type="pct"/>
                  <w:vMerge w:val="restart"/>
                  <w:shd w:val="clear" w:color="auto" w:fill="auto"/>
                  <w:vAlign w:val="center"/>
                </w:tcPr>
                <w:p w14:paraId="4A01BB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55B80FD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5F9A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3ED2CFEF">
                  <w:pPr>
                    <w:jc w:val="center"/>
                    <w:rPr>
                      <w:color w:val="000000" w:themeColor="text1"/>
                      <w:szCs w:val="21"/>
                      <w14:textFill>
                        <w14:solidFill>
                          <w14:schemeClr w14:val="tx1"/>
                        </w14:solidFill>
                      </w14:textFill>
                    </w:rPr>
                  </w:pPr>
                </w:p>
              </w:tc>
              <w:tc>
                <w:tcPr>
                  <w:tcW w:w="3480" w:type="pct"/>
                  <w:vMerge w:val="continue"/>
                  <w:vAlign w:val="center"/>
                </w:tcPr>
                <w:p w14:paraId="16B1319D">
                  <w:pPr>
                    <w:rPr>
                      <w:color w:val="000000" w:themeColor="text1"/>
                      <w:szCs w:val="21"/>
                      <w14:textFill>
                        <w14:solidFill>
                          <w14:schemeClr w14:val="tx1"/>
                        </w14:solidFill>
                      </w14:textFill>
                    </w:rPr>
                  </w:pPr>
                </w:p>
              </w:tc>
              <w:tc>
                <w:tcPr>
                  <w:tcW w:w="597" w:type="pct"/>
                  <w:vMerge w:val="continue"/>
                  <w:vAlign w:val="center"/>
                </w:tcPr>
                <w:p w14:paraId="6B0D6FAF">
                  <w:pPr>
                    <w:rPr>
                      <w:color w:val="000000" w:themeColor="text1"/>
                      <w:szCs w:val="21"/>
                      <w14:textFill>
                        <w14:solidFill>
                          <w14:schemeClr w14:val="tx1"/>
                        </w14:solidFill>
                      </w14:textFill>
                    </w:rPr>
                  </w:pPr>
                </w:p>
              </w:tc>
              <w:tc>
                <w:tcPr>
                  <w:tcW w:w="460" w:type="pct"/>
                  <w:vMerge w:val="continue"/>
                  <w:vAlign w:val="center"/>
                </w:tcPr>
                <w:p w14:paraId="081E729F">
                  <w:pPr>
                    <w:rPr>
                      <w:b/>
                      <w:bCs/>
                      <w:color w:val="000000" w:themeColor="text1"/>
                      <w:szCs w:val="21"/>
                      <w14:textFill>
                        <w14:solidFill>
                          <w14:schemeClr w14:val="tx1"/>
                        </w14:solidFill>
                      </w14:textFill>
                    </w:rPr>
                  </w:pPr>
                </w:p>
              </w:tc>
            </w:tr>
            <w:tr w14:paraId="0ED5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14067750">
                  <w:pPr>
                    <w:jc w:val="center"/>
                    <w:rPr>
                      <w:color w:val="000000" w:themeColor="text1"/>
                      <w:szCs w:val="21"/>
                      <w14:textFill>
                        <w14:solidFill>
                          <w14:schemeClr w14:val="tx1"/>
                        </w14:solidFill>
                      </w14:textFill>
                    </w:rPr>
                  </w:pPr>
                </w:p>
              </w:tc>
              <w:tc>
                <w:tcPr>
                  <w:tcW w:w="3480" w:type="pct"/>
                  <w:vMerge w:val="continue"/>
                  <w:vAlign w:val="center"/>
                </w:tcPr>
                <w:p w14:paraId="46C47D94">
                  <w:pPr>
                    <w:rPr>
                      <w:color w:val="000000" w:themeColor="text1"/>
                      <w:szCs w:val="21"/>
                      <w14:textFill>
                        <w14:solidFill>
                          <w14:schemeClr w14:val="tx1"/>
                        </w14:solidFill>
                      </w14:textFill>
                    </w:rPr>
                  </w:pPr>
                </w:p>
              </w:tc>
              <w:tc>
                <w:tcPr>
                  <w:tcW w:w="597" w:type="pct"/>
                  <w:vMerge w:val="continue"/>
                  <w:vAlign w:val="center"/>
                </w:tcPr>
                <w:p w14:paraId="6C96A0D9">
                  <w:pPr>
                    <w:rPr>
                      <w:color w:val="000000" w:themeColor="text1"/>
                      <w:szCs w:val="21"/>
                      <w14:textFill>
                        <w14:solidFill>
                          <w14:schemeClr w14:val="tx1"/>
                        </w14:solidFill>
                      </w14:textFill>
                    </w:rPr>
                  </w:pPr>
                </w:p>
              </w:tc>
              <w:tc>
                <w:tcPr>
                  <w:tcW w:w="460" w:type="pct"/>
                  <w:vMerge w:val="continue"/>
                  <w:vAlign w:val="center"/>
                </w:tcPr>
                <w:p w14:paraId="79FF861B">
                  <w:pPr>
                    <w:rPr>
                      <w:b/>
                      <w:bCs/>
                      <w:color w:val="000000" w:themeColor="text1"/>
                      <w:szCs w:val="21"/>
                      <w14:textFill>
                        <w14:solidFill>
                          <w14:schemeClr w14:val="tx1"/>
                        </w14:solidFill>
                      </w14:textFill>
                    </w:rPr>
                  </w:pPr>
                </w:p>
              </w:tc>
            </w:tr>
            <w:tr w14:paraId="5008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3F35D5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480" w:type="pct"/>
                  <w:vMerge w:val="restart"/>
                  <w:shd w:val="clear" w:color="auto" w:fill="auto"/>
                  <w:vAlign w:val="center"/>
                </w:tcPr>
                <w:p w14:paraId="72846528">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禁止在饮用水</w:t>
                  </w:r>
                  <w:r>
                    <w:rPr>
                      <w:rFonts w:hint="eastAsia"/>
                      <w:color w:val="000000" w:themeColor="text1"/>
                      <w:szCs w:val="21"/>
                      <w:lang w:eastAsia="zh-CN"/>
                      <w14:textFill>
                        <w14:solidFill>
                          <w14:schemeClr w14:val="tx1"/>
                        </w14:solidFill>
                      </w14:textFill>
                    </w:rPr>
                    <w:t>水源标准保护区</w:t>
                  </w:r>
                  <w:r>
                    <w:rPr>
                      <w:color w:val="000000" w:themeColor="text1"/>
                      <w:szCs w:val="21"/>
                      <w14:textFill>
                        <w14:solidFill>
                          <w14:schemeClr w14:val="tx1"/>
                        </w14:solidFill>
                      </w14:textFill>
                    </w:rPr>
                    <w:t>的岸线和河段范围内新建、扩建对水体污染严重的建设项目，禁止改建增加排污量的建设项目。</w:t>
                  </w:r>
                </w:p>
              </w:tc>
              <w:tc>
                <w:tcPr>
                  <w:tcW w:w="597" w:type="pct"/>
                  <w:vMerge w:val="restart"/>
                  <w:shd w:val="clear" w:color="auto" w:fill="auto"/>
                  <w:vAlign w:val="center"/>
                </w:tcPr>
                <w:p w14:paraId="5AADEE34">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7BD8568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4518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7960734E">
                  <w:pPr>
                    <w:jc w:val="center"/>
                    <w:rPr>
                      <w:color w:val="000000" w:themeColor="text1"/>
                      <w:szCs w:val="21"/>
                      <w14:textFill>
                        <w14:solidFill>
                          <w14:schemeClr w14:val="tx1"/>
                        </w14:solidFill>
                      </w14:textFill>
                    </w:rPr>
                  </w:pPr>
                </w:p>
              </w:tc>
              <w:tc>
                <w:tcPr>
                  <w:tcW w:w="3480" w:type="pct"/>
                  <w:vMerge w:val="continue"/>
                  <w:vAlign w:val="center"/>
                </w:tcPr>
                <w:p w14:paraId="353F840C">
                  <w:pPr>
                    <w:rPr>
                      <w:color w:val="000000" w:themeColor="text1"/>
                      <w:szCs w:val="21"/>
                      <w14:textFill>
                        <w14:solidFill>
                          <w14:schemeClr w14:val="tx1"/>
                        </w14:solidFill>
                      </w14:textFill>
                    </w:rPr>
                  </w:pPr>
                </w:p>
              </w:tc>
              <w:tc>
                <w:tcPr>
                  <w:tcW w:w="597" w:type="pct"/>
                  <w:vMerge w:val="continue"/>
                  <w:vAlign w:val="center"/>
                </w:tcPr>
                <w:p w14:paraId="00CAAD99">
                  <w:pPr>
                    <w:rPr>
                      <w:color w:val="000000" w:themeColor="text1"/>
                      <w:szCs w:val="21"/>
                      <w14:textFill>
                        <w14:solidFill>
                          <w14:schemeClr w14:val="tx1"/>
                        </w14:solidFill>
                      </w14:textFill>
                    </w:rPr>
                  </w:pPr>
                </w:p>
              </w:tc>
              <w:tc>
                <w:tcPr>
                  <w:tcW w:w="460" w:type="pct"/>
                  <w:vMerge w:val="continue"/>
                  <w:vAlign w:val="center"/>
                </w:tcPr>
                <w:p w14:paraId="52202C97">
                  <w:pPr>
                    <w:rPr>
                      <w:b/>
                      <w:bCs/>
                      <w:color w:val="000000" w:themeColor="text1"/>
                      <w:szCs w:val="21"/>
                      <w14:textFill>
                        <w14:solidFill>
                          <w14:schemeClr w14:val="tx1"/>
                        </w14:solidFill>
                      </w14:textFill>
                    </w:rPr>
                  </w:pPr>
                </w:p>
              </w:tc>
            </w:tr>
            <w:tr w14:paraId="43B9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4CDCFE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3480" w:type="pct"/>
                  <w:vMerge w:val="restart"/>
                  <w:shd w:val="clear" w:color="auto" w:fill="auto"/>
                  <w:vAlign w:val="center"/>
                </w:tcPr>
                <w:p w14:paraId="357796D1">
                  <w:pPr>
                    <w:rPr>
                      <w:color w:val="000000" w:themeColor="text1"/>
                      <w:szCs w:val="21"/>
                      <w14:textFill>
                        <w14:solidFill>
                          <w14:schemeClr w14:val="tx1"/>
                        </w14:solidFill>
                      </w14:textFill>
                    </w:rPr>
                  </w:pPr>
                  <w:r>
                    <w:rPr>
                      <w:color w:val="000000" w:themeColor="text1"/>
                      <w:szCs w:val="21"/>
                      <w14:textFill>
                        <w14:solidFill>
                          <w14:schemeClr w14:val="tx1"/>
                        </w14:solidFill>
                      </w14:textFill>
                    </w:rPr>
                    <w:t>饮用水水源二级保护区的岸线和河段范围内，除遵守准保护区规定外，禁止新建、改建、扩建排放污染物的投资建设项目；禁止从事对水体有污染的水产养殖等活动。</w:t>
                  </w:r>
                </w:p>
              </w:tc>
              <w:tc>
                <w:tcPr>
                  <w:tcW w:w="597" w:type="pct"/>
                  <w:vMerge w:val="restart"/>
                  <w:shd w:val="clear" w:color="auto" w:fill="auto"/>
                  <w:vAlign w:val="center"/>
                </w:tcPr>
                <w:p w14:paraId="1BC875D2">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324B0F12">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AD5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3EC04A45">
                  <w:pPr>
                    <w:jc w:val="center"/>
                    <w:rPr>
                      <w:color w:val="000000" w:themeColor="text1"/>
                      <w:szCs w:val="21"/>
                      <w14:textFill>
                        <w14:solidFill>
                          <w14:schemeClr w14:val="tx1"/>
                        </w14:solidFill>
                      </w14:textFill>
                    </w:rPr>
                  </w:pPr>
                </w:p>
              </w:tc>
              <w:tc>
                <w:tcPr>
                  <w:tcW w:w="3480" w:type="pct"/>
                  <w:vMerge w:val="continue"/>
                  <w:vAlign w:val="center"/>
                </w:tcPr>
                <w:p w14:paraId="295267B5">
                  <w:pPr>
                    <w:rPr>
                      <w:color w:val="000000" w:themeColor="text1"/>
                      <w:szCs w:val="21"/>
                      <w14:textFill>
                        <w14:solidFill>
                          <w14:schemeClr w14:val="tx1"/>
                        </w14:solidFill>
                      </w14:textFill>
                    </w:rPr>
                  </w:pPr>
                </w:p>
              </w:tc>
              <w:tc>
                <w:tcPr>
                  <w:tcW w:w="597" w:type="pct"/>
                  <w:vMerge w:val="continue"/>
                  <w:vAlign w:val="center"/>
                </w:tcPr>
                <w:p w14:paraId="03646A29">
                  <w:pPr>
                    <w:rPr>
                      <w:color w:val="000000" w:themeColor="text1"/>
                      <w:szCs w:val="21"/>
                      <w14:textFill>
                        <w14:solidFill>
                          <w14:schemeClr w14:val="tx1"/>
                        </w14:solidFill>
                      </w14:textFill>
                    </w:rPr>
                  </w:pPr>
                </w:p>
              </w:tc>
              <w:tc>
                <w:tcPr>
                  <w:tcW w:w="460" w:type="pct"/>
                  <w:vMerge w:val="continue"/>
                  <w:vAlign w:val="center"/>
                </w:tcPr>
                <w:p w14:paraId="362C54FF">
                  <w:pPr>
                    <w:rPr>
                      <w:b/>
                      <w:bCs/>
                      <w:color w:val="000000" w:themeColor="text1"/>
                      <w:szCs w:val="21"/>
                      <w14:textFill>
                        <w14:solidFill>
                          <w14:schemeClr w14:val="tx1"/>
                        </w14:solidFill>
                      </w14:textFill>
                    </w:rPr>
                  </w:pPr>
                </w:p>
              </w:tc>
            </w:tr>
            <w:tr w14:paraId="5206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4B06D0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3480" w:type="pct"/>
                  <w:vMerge w:val="restart"/>
                  <w:shd w:val="clear" w:color="auto" w:fill="auto"/>
                  <w:vAlign w:val="center"/>
                </w:tcPr>
                <w:p w14:paraId="7E11E150">
                  <w:pPr>
                    <w:rPr>
                      <w:color w:val="000000" w:themeColor="text1"/>
                      <w:szCs w:val="21"/>
                      <w14:textFill>
                        <w14:solidFill>
                          <w14:schemeClr w14:val="tx1"/>
                        </w14:solidFill>
                      </w14:textFill>
                    </w:rPr>
                  </w:pPr>
                  <w:r>
                    <w:rPr>
                      <w:color w:val="000000" w:themeColor="text1"/>
                      <w:szCs w:val="21"/>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597" w:type="pct"/>
                  <w:vMerge w:val="restart"/>
                  <w:shd w:val="clear" w:color="auto" w:fill="auto"/>
                  <w:vAlign w:val="center"/>
                </w:tcPr>
                <w:p w14:paraId="6C76A30B">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3557FFD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A1D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6DD3629B">
                  <w:pPr>
                    <w:jc w:val="center"/>
                    <w:rPr>
                      <w:color w:val="000000" w:themeColor="text1"/>
                      <w:szCs w:val="21"/>
                      <w14:textFill>
                        <w14:solidFill>
                          <w14:schemeClr w14:val="tx1"/>
                        </w14:solidFill>
                      </w14:textFill>
                    </w:rPr>
                  </w:pPr>
                </w:p>
              </w:tc>
              <w:tc>
                <w:tcPr>
                  <w:tcW w:w="3480" w:type="pct"/>
                  <w:vMerge w:val="continue"/>
                  <w:vAlign w:val="center"/>
                </w:tcPr>
                <w:p w14:paraId="48CA393B">
                  <w:pPr>
                    <w:rPr>
                      <w:color w:val="000000" w:themeColor="text1"/>
                      <w:szCs w:val="21"/>
                      <w14:textFill>
                        <w14:solidFill>
                          <w14:schemeClr w14:val="tx1"/>
                        </w14:solidFill>
                      </w14:textFill>
                    </w:rPr>
                  </w:pPr>
                </w:p>
              </w:tc>
              <w:tc>
                <w:tcPr>
                  <w:tcW w:w="597" w:type="pct"/>
                  <w:vMerge w:val="continue"/>
                  <w:vAlign w:val="center"/>
                </w:tcPr>
                <w:p w14:paraId="0505C938">
                  <w:pPr>
                    <w:rPr>
                      <w:color w:val="000000" w:themeColor="text1"/>
                      <w:szCs w:val="21"/>
                      <w14:textFill>
                        <w14:solidFill>
                          <w14:schemeClr w14:val="tx1"/>
                        </w14:solidFill>
                      </w14:textFill>
                    </w:rPr>
                  </w:pPr>
                </w:p>
              </w:tc>
              <w:tc>
                <w:tcPr>
                  <w:tcW w:w="460" w:type="pct"/>
                  <w:vMerge w:val="continue"/>
                  <w:vAlign w:val="center"/>
                </w:tcPr>
                <w:p w14:paraId="43B1E009">
                  <w:pPr>
                    <w:rPr>
                      <w:b/>
                      <w:bCs/>
                      <w:color w:val="000000" w:themeColor="text1"/>
                      <w:szCs w:val="21"/>
                      <w14:textFill>
                        <w14:solidFill>
                          <w14:schemeClr w14:val="tx1"/>
                        </w14:solidFill>
                      </w14:textFill>
                    </w:rPr>
                  </w:pPr>
                </w:p>
              </w:tc>
            </w:tr>
            <w:tr w14:paraId="26C9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4C63E5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3480" w:type="pct"/>
                  <w:vMerge w:val="restart"/>
                  <w:shd w:val="clear" w:color="auto" w:fill="auto"/>
                  <w:vAlign w:val="center"/>
                </w:tcPr>
                <w:p w14:paraId="028FB575">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禁止在水产种质资源保护区岸线和河段范围内新建围湖造田、围湖造地或挖沙采石等投资建设项目。</w:t>
                  </w:r>
                </w:p>
              </w:tc>
              <w:tc>
                <w:tcPr>
                  <w:tcW w:w="597" w:type="pct"/>
                  <w:vMerge w:val="restart"/>
                  <w:shd w:val="clear" w:color="auto" w:fill="auto"/>
                  <w:vAlign w:val="center"/>
                </w:tcPr>
                <w:p w14:paraId="0AA85E4C">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54EDFA6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F45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3" w:type="pct"/>
                  <w:vMerge w:val="continue"/>
                  <w:vAlign w:val="center"/>
                </w:tcPr>
                <w:p w14:paraId="76704EE8">
                  <w:pPr>
                    <w:jc w:val="center"/>
                    <w:rPr>
                      <w:color w:val="000000" w:themeColor="text1"/>
                      <w:szCs w:val="21"/>
                      <w14:textFill>
                        <w14:solidFill>
                          <w14:schemeClr w14:val="tx1"/>
                        </w14:solidFill>
                      </w14:textFill>
                    </w:rPr>
                  </w:pPr>
                </w:p>
              </w:tc>
              <w:tc>
                <w:tcPr>
                  <w:tcW w:w="3480" w:type="pct"/>
                  <w:vMerge w:val="continue"/>
                  <w:vAlign w:val="center"/>
                </w:tcPr>
                <w:p w14:paraId="7225C2CE">
                  <w:pPr>
                    <w:rPr>
                      <w:color w:val="000000" w:themeColor="text1"/>
                      <w:szCs w:val="21"/>
                      <w14:textFill>
                        <w14:solidFill>
                          <w14:schemeClr w14:val="tx1"/>
                        </w14:solidFill>
                      </w14:textFill>
                    </w:rPr>
                  </w:pPr>
                </w:p>
              </w:tc>
              <w:tc>
                <w:tcPr>
                  <w:tcW w:w="597" w:type="pct"/>
                  <w:vMerge w:val="continue"/>
                  <w:vAlign w:val="center"/>
                </w:tcPr>
                <w:p w14:paraId="71899774">
                  <w:pPr>
                    <w:rPr>
                      <w:color w:val="000000" w:themeColor="text1"/>
                      <w:szCs w:val="21"/>
                      <w14:textFill>
                        <w14:solidFill>
                          <w14:schemeClr w14:val="tx1"/>
                        </w14:solidFill>
                      </w14:textFill>
                    </w:rPr>
                  </w:pPr>
                </w:p>
              </w:tc>
              <w:tc>
                <w:tcPr>
                  <w:tcW w:w="460" w:type="pct"/>
                  <w:vMerge w:val="continue"/>
                  <w:vAlign w:val="center"/>
                </w:tcPr>
                <w:p w14:paraId="01A6A62A">
                  <w:pPr>
                    <w:rPr>
                      <w:b/>
                      <w:bCs/>
                      <w:color w:val="000000" w:themeColor="text1"/>
                      <w:szCs w:val="21"/>
                      <w14:textFill>
                        <w14:solidFill>
                          <w14:schemeClr w14:val="tx1"/>
                        </w14:solidFill>
                      </w14:textFill>
                    </w:rPr>
                  </w:pPr>
                </w:p>
              </w:tc>
            </w:tr>
            <w:tr w14:paraId="6CD5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5C18128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3480" w:type="pct"/>
                  <w:vMerge w:val="restart"/>
                  <w:shd w:val="clear" w:color="auto" w:fill="auto"/>
                  <w:vAlign w:val="center"/>
                </w:tcPr>
                <w:p w14:paraId="1D7DCE91">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597" w:type="pct"/>
                  <w:vMerge w:val="restart"/>
                  <w:shd w:val="clear" w:color="auto" w:fill="auto"/>
                  <w:vAlign w:val="center"/>
                </w:tcPr>
                <w:p w14:paraId="2BB2F361">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5507B49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175B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70ABC66D">
                  <w:pPr>
                    <w:jc w:val="center"/>
                    <w:rPr>
                      <w:color w:val="000000" w:themeColor="text1"/>
                      <w:szCs w:val="21"/>
                      <w14:textFill>
                        <w14:solidFill>
                          <w14:schemeClr w14:val="tx1"/>
                        </w14:solidFill>
                      </w14:textFill>
                    </w:rPr>
                  </w:pPr>
                </w:p>
              </w:tc>
              <w:tc>
                <w:tcPr>
                  <w:tcW w:w="3480" w:type="pct"/>
                  <w:vMerge w:val="continue"/>
                  <w:vAlign w:val="center"/>
                </w:tcPr>
                <w:p w14:paraId="0324AD77">
                  <w:pPr>
                    <w:rPr>
                      <w:color w:val="000000" w:themeColor="text1"/>
                      <w:szCs w:val="21"/>
                      <w14:textFill>
                        <w14:solidFill>
                          <w14:schemeClr w14:val="tx1"/>
                        </w14:solidFill>
                      </w14:textFill>
                    </w:rPr>
                  </w:pPr>
                </w:p>
              </w:tc>
              <w:tc>
                <w:tcPr>
                  <w:tcW w:w="597" w:type="pct"/>
                  <w:vMerge w:val="continue"/>
                  <w:vAlign w:val="center"/>
                </w:tcPr>
                <w:p w14:paraId="6E2D3338">
                  <w:pPr>
                    <w:rPr>
                      <w:color w:val="000000" w:themeColor="text1"/>
                      <w:szCs w:val="21"/>
                      <w14:textFill>
                        <w14:solidFill>
                          <w14:schemeClr w14:val="tx1"/>
                        </w14:solidFill>
                      </w14:textFill>
                    </w:rPr>
                  </w:pPr>
                </w:p>
              </w:tc>
              <w:tc>
                <w:tcPr>
                  <w:tcW w:w="460" w:type="pct"/>
                  <w:vMerge w:val="continue"/>
                  <w:vAlign w:val="center"/>
                </w:tcPr>
                <w:p w14:paraId="4FE1920C">
                  <w:pPr>
                    <w:rPr>
                      <w:color w:val="000000" w:themeColor="text1"/>
                      <w:szCs w:val="21"/>
                      <w14:textFill>
                        <w14:solidFill>
                          <w14:schemeClr w14:val="tx1"/>
                        </w14:solidFill>
                      </w14:textFill>
                    </w:rPr>
                  </w:pPr>
                </w:p>
              </w:tc>
            </w:tr>
            <w:tr w14:paraId="44E8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291776FA">
                  <w:pPr>
                    <w:jc w:val="center"/>
                    <w:rPr>
                      <w:color w:val="000000" w:themeColor="text1"/>
                      <w:szCs w:val="21"/>
                      <w14:textFill>
                        <w14:solidFill>
                          <w14:schemeClr w14:val="tx1"/>
                        </w14:solidFill>
                      </w14:textFill>
                    </w:rPr>
                  </w:pPr>
                </w:p>
              </w:tc>
              <w:tc>
                <w:tcPr>
                  <w:tcW w:w="3480" w:type="pct"/>
                  <w:vMerge w:val="continue"/>
                  <w:vAlign w:val="center"/>
                </w:tcPr>
                <w:p w14:paraId="5DC19195">
                  <w:pPr>
                    <w:rPr>
                      <w:color w:val="000000" w:themeColor="text1"/>
                      <w:szCs w:val="21"/>
                      <w14:textFill>
                        <w14:solidFill>
                          <w14:schemeClr w14:val="tx1"/>
                        </w14:solidFill>
                      </w14:textFill>
                    </w:rPr>
                  </w:pPr>
                </w:p>
              </w:tc>
              <w:tc>
                <w:tcPr>
                  <w:tcW w:w="597" w:type="pct"/>
                  <w:vMerge w:val="continue"/>
                  <w:vAlign w:val="center"/>
                </w:tcPr>
                <w:p w14:paraId="232ECB7D">
                  <w:pPr>
                    <w:rPr>
                      <w:color w:val="000000" w:themeColor="text1"/>
                      <w:szCs w:val="21"/>
                      <w14:textFill>
                        <w14:solidFill>
                          <w14:schemeClr w14:val="tx1"/>
                        </w14:solidFill>
                      </w14:textFill>
                    </w:rPr>
                  </w:pPr>
                </w:p>
              </w:tc>
              <w:tc>
                <w:tcPr>
                  <w:tcW w:w="460" w:type="pct"/>
                  <w:vMerge w:val="continue"/>
                  <w:vAlign w:val="center"/>
                </w:tcPr>
                <w:p w14:paraId="6CDECD26">
                  <w:pPr>
                    <w:rPr>
                      <w:color w:val="000000" w:themeColor="text1"/>
                      <w:szCs w:val="21"/>
                      <w14:textFill>
                        <w14:solidFill>
                          <w14:schemeClr w14:val="tx1"/>
                        </w14:solidFill>
                      </w14:textFill>
                    </w:rPr>
                  </w:pPr>
                </w:p>
              </w:tc>
            </w:tr>
            <w:tr w14:paraId="459F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463" w:type="pct"/>
                  <w:shd w:val="clear" w:color="auto" w:fill="auto"/>
                  <w:vAlign w:val="center"/>
                </w:tcPr>
                <w:p w14:paraId="743816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480" w:type="pct"/>
                  <w:shd w:val="clear" w:color="auto" w:fill="auto"/>
                  <w:vAlign w:val="center"/>
                </w:tcPr>
                <w:p w14:paraId="54E6A03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597" w:type="pct"/>
                  <w:shd w:val="clear" w:color="auto" w:fill="auto"/>
                  <w:vAlign w:val="center"/>
                </w:tcPr>
                <w:p w14:paraId="51C3B28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shd w:val="clear" w:color="auto" w:fill="auto"/>
                  <w:vAlign w:val="center"/>
                </w:tcPr>
                <w:p w14:paraId="34ACC5C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595A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5CB45A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3480" w:type="pct"/>
                  <w:vMerge w:val="restart"/>
                  <w:shd w:val="clear" w:color="auto" w:fill="auto"/>
                  <w:vAlign w:val="center"/>
                </w:tcPr>
                <w:p w14:paraId="30866519">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禁止在《全国重要江河湖泊水功能区划》划定的河段及湖泊保护区、保留区内投资建设不利于水资源及自然生态保护的项目。</w:t>
                  </w:r>
                </w:p>
              </w:tc>
              <w:tc>
                <w:tcPr>
                  <w:tcW w:w="597" w:type="pct"/>
                  <w:vMerge w:val="restart"/>
                  <w:shd w:val="clear" w:color="auto" w:fill="auto"/>
                  <w:vAlign w:val="center"/>
                </w:tcPr>
                <w:p w14:paraId="5ECFB5F6">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62B4523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73F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2D7C3458">
                  <w:pPr>
                    <w:jc w:val="center"/>
                    <w:rPr>
                      <w:color w:val="000000" w:themeColor="text1"/>
                      <w:szCs w:val="21"/>
                      <w14:textFill>
                        <w14:solidFill>
                          <w14:schemeClr w14:val="tx1"/>
                        </w14:solidFill>
                      </w14:textFill>
                    </w:rPr>
                  </w:pPr>
                </w:p>
              </w:tc>
              <w:tc>
                <w:tcPr>
                  <w:tcW w:w="3480" w:type="pct"/>
                  <w:vMerge w:val="continue"/>
                  <w:vAlign w:val="center"/>
                </w:tcPr>
                <w:p w14:paraId="287A4960">
                  <w:pPr>
                    <w:rPr>
                      <w:color w:val="000000" w:themeColor="text1"/>
                      <w:szCs w:val="21"/>
                      <w14:textFill>
                        <w14:solidFill>
                          <w14:schemeClr w14:val="tx1"/>
                        </w14:solidFill>
                      </w14:textFill>
                    </w:rPr>
                  </w:pPr>
                </w:p>
              </w:tc>
              <w:tc>
                <w:tcPr>
                  <w:tcW w:w="597" w:type="pct"/>
                  <w:vMerge w:val="continue"/>
                  <w:vAlign w:val="center"/>
                </w:tcPr>
                <w:p w14:paraId="030F45A7">
                  <w:pPr>
                    <w:rPr>
                      <w:color w:val="000000" w:themeColor="text1"/>
                      <w:szCs w:val="21"/>
                      <w14:textFill>
                        <w14:solidFill>
                          <w14:schemeClr w14:val="tx1"/>
                        </w14:solidFill>
                      </w14:textFill>
                    </w:rPr>
                  </w:pPr>
                </w:p>
              </w:tc>
              <w:tc>
                <w:tcPr>
                  <w:tcW w:w="460" w:type="pct"/>
                  <w:vMerge w:val="continue"/>
                  <w:vAlign w:val="center"/>
                </w:tcPr>
                <w:p w14:paraId="130A86C4">
                  <w:pPr>
                    <w:rPr>
                      <w:b/>
                      <w:bCs/>
                      <w:color w:val="000000" w:themeColor="text1"/>
                      <w:szCs w:val="21"/>
                      <w14:textFill>
                        <w14:solidFill>
                          <w14:schemeClr w14:val="tx1"/>
                        </w14:solidFill>
                      </w14:textFill>
                    </w:rPr>
                  </w:pPr>
                </w:p>
              </w:tc>
            </w:tr>
            <w:tr w14:paraId="0B88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59C30D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3480" w:type="pct"/>
                  <w:vMerge w:val="restart"/>
                  <w:shd w:val="clear" w:color="auto" w:fill="auto"/>
                  <w:vAlign w:val="center"/>
                </w:tcPr>
                <w:p w14:paraId="04CC9522">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597" w:type="pct"/>
                  <w:vMerge w:val="restart"/>
                  <w:shd w:val="clear" w:color="auto" w:fill="auto"/>
                  <w:vAlign w:val="center"/>
                </w:tcPr>
                <w:p w14:paraId="41DAB547">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358F85C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51B4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60D56B26">
                  <w:pPr>
                    <w:jc w:val="center"/>
                    <w:rPr>
                      <w:color w:val="000000" w:themeColor="text1"/>
                      <w:szCs w:val="21"/>
                      <w14:textFill>
                        <w14:solidFill>
                          <w14:schemeClr w14:val="tx1"/>
                        </w14:solidFill>
                      </w14:textFill>
                    </w:rPr>
                  </w:pPr>
                </w:p>
              </w:tc>
              <w:tc>
                <w:tcPr>
                  <w:tcW w:w="3480" w:type="pct"/>
                  <w:vMerge w:val="continue"/>
                  <w:vAlign w:val="center"/>
                </w:tcPr>
                <w:p w14:paraId="1B051962">
                  <w:pPr>
                    <w:rPr>
                      <w:color w:val="000000" w:themeColor="text1"/>
                      <w:szCs w:val="21"/>
                      <w14:textFill>
                        <w14:solidFill>
                          <w14:schemeClr w14:val="tx1"/>
                        </w14:solidFill>
                      </w14:textFill>
                    </w:rPr>
                  </w:pPr>
                </w:p>
              </w:tc>
              <w:tc>
                <w:tcPr>
                  <w:tcW w:w="597" w:type="pct"/>
                  <w:vMerge w:val="continue"/>
                  <w:vAlign w:val="center"/>
                </w:tcPr>
                <w:p w14:paraId="41315A19">
                  <w:pPr>
                    <w:rPr>
                      <w:color w:val="000000" w:themeColor="text1"/>
                      <w:szCs w:val="21"/>
                      <w14:textFill>
                        <w14:solidFill>
                          <w14:schemeClr w14:val="tx1"/>
                        </w14:solidFill>
                      </w14:textFill>
                    </w:rPr>
                  </w:pPr>
                </w:p>
              </w:tc>
              <w:tc>
                <w:tcPr>
                  <w:tcW w:w="460" w:type="pct"/>
                  <w:vMerge w:val="continue"/>
                  <w:vAlign w:val="center"/>
                </w:tcPr>
                <w:p w14:paraId="5B8D555A">
                  <w:pPr>
                    <w:rPr>
                      <w:b/>
                      <w:bCs/>
                      <w:color w:val="000000" w:themeColor="text1"/>
                      <w:szCs w:val="21"/>
                      <w14:textFill>
                        <w14:solidFill>
                          <w14:schemeClr w14:val="tx1"/>
                        </w14:solidFill>
                      </w14:textFill>
                    </w:rPr>
                  </w:pPr>
                </w:p>
              </w:tc>
            </w:tr>
            <w:tr w14:paraId="7CA1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5B65C28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3480" w:type="pct"/>
                  <w:vMerge w:val="restart"/>
                  <w:shd w:val="clear" w:color="auto" w:fill="auto"/>
                  <w:vAlign w:val="center"/>
                </w:tcPr>
                <w:p w14:paraId="0F938B02">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禁止在长江干流、大渡河、山民江、赤水河、沱江、嘉陵江、乌江、汉江和51个（四川省45个、重庆市6个）水生生物保护区开展生产性捕捞。</w:t>
                  </w:r>
                </w:p>
              </w:tc>
              <w:tc>
                <w:tcPr>
                  <w:tcW w:w="597" w:type="pct"/>
                  <w:vMerge w:val="restart"/>
                  <w:shd w:val="clear" w:color="auto" w:fill="auto"/>
                  <w:vAlign w:val="center"/>
                </w:tcPr>
                <w:p w14:paraId="1D7AE8AE">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0F12901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7C2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3698EB3A">
                  <w:pPr>
                    <w:jc w:val="center"/>
                    <w:rPr>
                      <w:color w:val="000000" w:themeColor="text1"/>
                      <w:szCs w:val="21"/>
                      <w14:textFill>
                        <w14:solidFill>
                          <w14:schemeClr w14:val="tx1"/>
                        </w14:solidFill>
                      </w14:textFill>
                    </w:rPr>
                  </w:pPr>
                </w:p>
              </w:tc>
              <w:tc>
                <w:tcPr>
                  <w:tcW w:w="3480" w:type="pct"/>
                  <w:vMerge w:val="continue"/>
                  <w:vAlign w:val="center"/>
                </w:tcPr>
                <w:p w14:paraId="7A6C57D5">
                  <w:pPr>
                    <w:rPr>
                      <w:color w:val="000000" w:themeColor="text1"/>
                      <w:szCs w:val="21"/>
                      <w14:textFill>
                        <w14:solidFill>
                          <w14:schemeClr w14:val="tx1"/>
                        </w14:solidFill>
                      </w14:textFill>
                    </w:rPr>
                  </w:pPr>
                </w:p>
              </w:tc>
              <w:tc>
                <w:tcPr>
                  <w:tcW w:w="597" w:type="pct"/>
                  <w:vMerge w:val="continue"/>
                  <w:vAlign w:val="center"/>
                </w:tcPr>
                <w:p w14:paraId="1A452270">
                  <w:pPr>
                    <w:rPr>
                      <w:color w:val="000000" w:themeColor="text1"/>
                      <w:szCs w:val="21"/>
                      <w14:textFill>
                        <w14:solidFill>
                          <w14:schemeClr w14:val="tx1"/>
                        </w14:solidFill>
                      </w14:textFill>
                    </w:rPr>
                  </w:pPr>
                </w:p>
              </w:tc>
              <w:tc>
                <w:tcPr>
                  <w:tcW w:w="460" w:type="pct"/>
                  <w:vMerge w:val="continue"/>
                  <w:vAlign w:val="center"/>
                </w:tcPr>
                <w:p w14:paraId="5544B189">
                  <w:pPr>
                    <w:rPr>
                      <w:b/>
                      <w:bCs/>
                      <w:color w:val="000000" w:themeColor="text1"/>
                      <w:szCs w:val="21"/>
                      <w14:textFill>
                        <w14:solidFill>
                          <w14:schemeClr w14:val="tx1"/>
                        </w14:solidFill>
                      </w14:textFill>
                    </w:rPr>
                  </w:pPr>
                </w:p>
              </w:tc>
            </w:tr>
            <w:tr w14:paraId="7060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14:paraId="3A01A6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3480" w:type="pct"/>
                  <w:shd w:val="clear" w:color="auto" w:fill="auto"/>
                  <w:vAlign w:val="center"/>
                </w:tcPr>
                <w:p w14:paraId="3F4DC192">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禁止在长江干支流、重要湖泊岸线一公里范围内新建、扩建化工园区和化工项目。</w:t>
                  </w:r>
                </w:p>
              </w:tc>
              <w:tc>
                <w:tcPr>
                  <w:tcW w:w="597" w:type="pct"/>
                  <w:shd w:val="clear" w:color="auto" w:fill="auto"/>
                  <w:vAlign w:val="center"/>
                </w:tcPr>
                <w:p w14:paraId="5B253F6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shd w:val="clear" w:color="auto" w:fill="auto"/>
                  <w:vAlign w:val="center"/>
                </w:tcPr>
                <w:p w14:paraId="024E248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8D0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1E165A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3480" w:type="pct"/>
                  <w:vMerge w:val="restart"/>
                  <w:shd w:val="clear" w:color="auto" w:fill="auto"/>
                  <w:vAlign w:val="center"/>
                </w:tcPr>
                <w:p w14:paraId="64CEDA08">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597" w:type="pct"/>
                  <w:vMerge w:val="restart"/>
                  <w:shd w:val="clear" w:color="auto" w:fill="auto"/>
                  <w:vAlign w:val="center"/>
                </w:tcPr>
                <w:p w14:paraId="14369CA9">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38FD284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EF8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77072C27">
                  <w:pPr>
                    <w:jc w:val="center"/>
                    <w:rPr>
                      <w:color w:val="000000" w:themeColor="text1"/>
                      <w:szCs w:val="21"/>
                      <w14:textFill>
                        <w14:solidFill>
                          <w14:schemeClr w14:val="tx1"/>
                        </w14:solidFill>
                      </w14:textFill>
                    </w:rPr>
                  </w:pPr>
                </w:p>
              </w:tc>
              <w:tc>
                <w:tcPr>
                  <w:tcW w:w="3480" w:type="pct"/>
                  <w:vMerge w:val="continue"/>
                  <w:vAlign w:val="center"/>
                </w:tcPr>
                <w:p w14:paraId="37692E32">
                  <w:pPr>
                    <w:rPr>
                      <w:color w:val="000000" w:themeColor="text1"/>
                      <w:szCs w:val="21"/>
                      <w14:textFill>
                        <w14:solidFill>
                          <w14:schemeClr w14:val="tx1"/>
                        </w14:solidFill>
                      </w14:textFill>
                    </w:rPr>
                  </w:pPr>
                </w:p>
              </w:tc>
              <w:tc>
                <w:tcPr>
                  <w:tcW w:w="597" w:type="pct"/>
                  <w:vMerge w:val="continue"/>
                  <w:vAlign w:val="center"/>
                </w:tcPr>
                <w:p w14:paraId="3A2A3DE6">
                  <w:pPr>
                    <w:rPr>
                      <w:color w:val="000000" w:themeColor="text1"/>
                      <w:szCs w:val="21"/>
                      <w14:textFill>
                        <w14:solidFill>
                          <w14:schemeClr w14:val="tx1"/>
                        </w14:solidFill>
                      </w14:textFill>
                    </w:rPr>
                  </w:pPr>
                </w:p>
              </w:tc>
              <w:tc>
                <w:tcPr>
                  <w:tcW w:w="460" w:type="pct"/>
                  <w:vMerge w:val="continue"/>
                  <w:vAlign w:val="center"/>
                </w:tcPr>
                <w:p w14:paraId="5243633F">
                  <w:pPr>
                    <w:rPr>
                      <w:b/>
                      <w:bCs/>
                      <w:color w:val="000000" w:themeColor="text1"/>
                      <w:szCs w:val="21"/>
                      <w14:textFill>
                        <w14:solidFill>
                          <w14:schemeClr w14:val="tx1"/>
                        </w14:solidFill>
                      </w14:textFill>
                    </w:rPr>
                  </w:pPr>
                </w:p>
              </w:tc>
            </w:tr>
            <w:tr w14:paraId="1420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183EF1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3480" w:type="pct"/>
                  <w:vMerge w:val="restart"/>
                  <w:shd w:val="clear" w:color="auto" w:fill="auto"/>
                  <w:vAlign w:val="center"/>
                </w:tcPr>
                <w:p w14:paraId="485BF9C9">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禁止在生态保护红线区域、永久基本农田集中区域和其他需要特别保护的区域内选址建设尾矿库、冶炼渣库、磷石膏库。</w:t>
                  </w:r>
                </w:p>
              </w:tc>
              <w:tc>
                <w:tcPr>
                  <w:tcW w:w="597" w:type="pct"/>
                  <w:vMerge w:val="restart"/>
                  <w:shd w:val="clear" w:color="auto" w:fill="auto"/>
                  <w:vAlign w:val="center"/>
                </w:tcPr>
                <w:p w14:paraId="44754510">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551A3CC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6347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6652E3A8">
                  <w:pPr>
                    <w:jc w:val="center"/>
                    <w:rPr>
                      <w:color w:val="000000" w:themeColor="text1"/>
                      <w:szCs w:val="21"/>
                      <w14:textFill>
                        <w14:solidFill>
                          <w14:schemeClr w14:val="tx1"/>
                        </w14:solidFill>
                      </w14:textFill>
                    </w:rPr>
                  </w:pPr>
                </w:p>
              </w:tc>
              <w:tc>
                <w:tcPr>
                  <w:tcW w:w="3480" w:type="pct"/>
                  <w:vMerge w:val="continue"/>
                  <w:vAlign w:val="center"/>
                </w:tcPr>
                <w:p w14:paraId="78A7765D">
                  <w:pPr>
                    <w:rPr>
                      <w:color w:val="000000" w:themeColor="text1"/>
                      <w:szCs w:val="21"/>
                      <w14:textFill>
                        <w14:solidFill>
                          <w14:schemeClr w14:val="tx1"/>
                        </w14:solidFill>
                      </w14:textFill>
                    </w:rPr>
                  </w:pPr>
                </w:p>
              </w:tc>
              <w:tc>
                <w:tcPr>
                  <w:tcW w:w="597" w:type="pct"/>
                  <w:vMerge w:val="continue"/>
                  <w:vAlign w:val="center"/>
                </w:tcPr>
                <w:p w14:paraId="2C56E5E6">
                  <w:pPr>
                    <w:rPr>
                      <w:color w:val="000000" w:themeColor="text1"/>
                      <w:szCs w:val="21"/>
                      <w14:textFill>
                        <w14:solidFill>
                          <w14:schemeClr w14:val="tx1"/>
                        </w14:solidFill>
                      </w14:textFill>
                    </w:rPr>
                  </w:pPr>
                </w:p>
              </w:tc>
              <w:tc>
                <w:tcPr>
                  <w:tcW w:w="460" w:type="pct"/>
                  <w:vMerge w:val="continue"/>
                  <w:vAlign w:val="center"/>
                </w:tcPr>
                <w:p w14:paraId="12E6D1D0">
                  <w:pPr>
                    <w:rPr>
                      <w:b/>
                      <w:bCs/>
                      <w:color w:val="000000" w:themeColor="text1"/>
                      <w:szCs w:val="21"/>
                      <w14:textFill>
                        <w14:solidFill>
                          <w14:schemeClr w14:val="tx1"/>
                        </w14:solidFill>
                      </w14:textFill>
                    </w:rPr>
                  </w:pPr>
                </w:p>
              </w:tc>
            </w:tr>
            <w:tr w14:paraId="44B5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17C24B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3480" w:type="pct"/>
                  <w:vMerge w:val="restart"/>
                  <w:shd w:val="clear" w:color="auto" w:fill="auto"/>
                  <w:vAlign w:val="center"/>
                </w:tcPr>
                <w:p w14:paraId="068B410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禁止在合规园区外新建、扩建钢铁、石化、化工、焦化、建材、有色、制浆造纸等高污染项目。</w:t>
                  </w:r>
                </w:p>
              </w:tc>
              <w:tc>
                <w:tcPr>
                  <w:tcW w:w="597" w:type="pct"/>
                  <w:vMerge w:val="restart"/>
                  <w:shd w:val="clear" w:color="auto" w:fill="auto"/>
                  <w:vAlign w:val="center"/>
                </w:tcPr>
                <w:p w14:paraId="64ED791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2D1139F5">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52B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3" w:type="pct"/>
                  <w:vMerge w:val="continue"/>
                  <w:vAlign w:val="center"/>
                </w:tcPr>
                <w:p w14:paraId="012609C1">
                  <w:pPr>
                    <w:jc w:val="center"/>
                    <w:rPr>
                      <w:color w:val="000000" w:themeColor="text1"/>
                      <w:szCs w:val="21"/>
                      <w14:textFill>
                        <w14:solidFill>
                          <w14:schemeClr w14:val="tx1"/>
                        </w14:solidFill>
                      </w14:textFill>
                    </w:rPr>
                  </w:pPr>
                </w:p>
              </w:tc>
              <w:tc>
                <w:tcPr>
                  <w:tcW w:w="3480" w:type="pct"/>
                  <w:vMerge w:val="continue"/>
                  <w:vAlign w:val="center"/>
                </w:tcPr>
                <w:p w14:paraId="2A3601E9">
                  <w:pPr>
                    <w:rPr>
                      <w:color w:val="000000" w:themeColor="text1"/>
                      <w:szCs w:val="21"/>
                      <w14:textFill>
                        <w14:solidFill>
                          <w14:schemeClr w14:val="tx1"/>
                        </w14:solidFill>
                      </w14:textFill>
                    </w:rPr>
                  </w:pPr>
                </w:p>
              </w:tc>
              <w:tc>
                <w:tcPr>
                  <w:tcW w:w="597" w:type="pct"/>
                  <w:vMerge w:val="continue"/>
                  <w:vAlign w:val="center"/>
                </w:tcPr>
                <w:p w14:paraId="6DB6FBB2">
                  <w:pPr>
                    <w:rPr>
                      <w:color w:val="000000" w:themeColor="text1"/>
                      <w:szCs w:val="21"/>
                      <w14:textFill>
                        <w14:solidFill>
                          <w14:schemeClr w14:val="tx1"/>
                        </w14:solidFill>
                      </w14:textFill>
                    </w:rPr>
                  </w:pPr>
                </w:p>
              </w:tc>
              <w:tc>
                <w:tcPr>
                  <w:tcW w:w="460" w:type="pct"/>
                  <w:vMerge w:val="continue"/>
                  <w:vAlign w:val="center"/>
                </w:tcPr>
                <w:p w14:paraId="7ACF8B01">
                  <w:pPr>
                    <w:rPr>
                      <w:b/>
                      <w:bCs/>
                      <w:color w:val="000000" w:themeColor="text1"/>
                      <w:szCs w:val="21"/>
                      <w14:textFill>
                        <w14:solidFill>
                          <w14:schemeClr w14:val="tx1"/>
                        </w14:solidFill>
                      </w14:textFill>
                    </w:rPr>
                  </w:pPr>
                </w:p>
              </w:tc>
            </w:tr>
            <w:tr w14:paraId="64B1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3" w:type="pct"/>
                  <w:vMerge w:val="restart"/>
                  <w:shd w:val="clear" w:color="auto" w:fill="auto"/>
                  <w:vAlign w:val="center"/>
                </w:tcPr>
                <w:p w14:paraId="05D427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3480" w:type="pct"/>
                  <w:vMerge w:val="restart"/>
                  <w:shd w:val="clear" w:color="auto" w:fill="auto"/>
                  <w:vAlign w:val="center"/>
                </w:tcPr>
                <w:p w14:paraId="79FD2CB2">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禁止新建、扩建不符合国家石化、现代煤化工等产业布局规划的项目。</w:t>
                  </w:r>
                </w:p>
              </w:tc>
              <w:tc>
                <w:tcPr>
                  <w:tcW w:w="597" w:type="pct"/>
                  <w:vMerge w:val="restart"/>
                  <w:shd w:val="clear" w:color="auto" w:fill="auto"/>
                  <w:vAlign w:val="center"/>
                </w:tcPr>
                <w:p w14:paraId="1819034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1D4F2AC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D31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3" w:type="pct"/>
                  <w:vMerge w:val="continue"/>
                  <w:vAlign w:val="center"/>
                </w:tcPr>
                <w:p w14:paraId="76BD5B44">
                  <w:pPr>
                    <w:jc w:val="center"/>
                    <w:rPr>
                      <w:color w:val="000000" w:themeColor="text1"/>
                      <w:szCs w:val="21"/>
                      <w14:textFill>
                        <w14:solidFill>
                          <w14:schemeClr w14:val="tx1"/>
                        </w14:solidFill>
                      </w14:textFill>
                    </w:rPr>
                  </w:pPr>
                </w:p>
              </w:tc>
              <w:tc>
                <w:tcPr>
                  <w:tcW w:w="3480" w:type="pct"/>
                  <w:vMerge w:val="continue"/>
                  <w:vAlign w:val="center"/>
                </w:tcPr>
                <w:p w14:paraId="01972102">
                  <w:pPr>
                    <w:rPr>
                      <w:color w:val="000000" w:themeColor="text1"/>
                      <w:szCs w:val="21"/>
                      <w14:textFill>
                        <w14:solidFill>
                          <w14:schemeClr w14:val="tx1"/>
                        </w14:solidFill>
                      </w14:textFill>
                    </w:rPr>
                  </w:pPr>
                </w:p>
              </w:tc>
              <w:tc>
                <w:tcPr>
                  <w:tcW w:w="597" w:type="pct"/>
                  <w:vMerge w:val="continue"/>
                  <w:vAlign w:val="center"/>
                </w:tcPr>
                <w:p w14:paraId="410E73C7">
                  <w:pPr>
                    <w:rPr>
                      <w:color w:val="000000" w:themeColor="text1"/>
                      <w:szCs w:val="21"/>
                      <w14:textFill>
                        <w14:solidFill>
                          <w14:schemeClr w14:val="tx1"/>
                        </w14:solidFill>
                      </w14:textFill>
                    </w:rPr>
                  </w:pPr>
                </w:p>
              </w:tc>
              <w:tc>
                <w:tcPr>
                  <w:tcW w:w="460" w:type="pct"/>
                  <w:vMerge w:val="continue"/>
                  <w:vAlign w:val="center"/>
                </w:tcPr>
                <w:p w14:paraId="365F6764">
                  <w:pPr>
                    <w:rPr>
                      <w:b/>
                      <w:bCs/>
                      <w:color w:val="000000" w:themeColor="text1"/>
                      <w:szCs w:val="21"/>
                      <w14:textFill>
                        <w14:solidFill>
                          <w14:schemeClr w14:val="tx1"/>
                        </w14:solidFill>
                      </w14:textFill>
                    </w:rPr>
                  </w:pPr>
                </w:p>
              </w:tc>
            </w:tr>
            <w:tr w14:paraId="3723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3" w:type="pct"/>
                  <w:vMerge w:val="continue"/>
                  <w:vAlign w:val="center"/>
                </w:tcPr>
                <w:p w14:paraId="1A35372A">
                  <w:pPr>
                    <w:jc w:val="center"/>
                    <w:rPr>
                      <w:color w:val="000000" w:themeColor="text1"/>
                      <w:szCs w:val="21"/>
                      <w14:textFill>
                        <w14:solidFill>
                          <w14:schemeClr w14:val="tx1"/>
                        </w14:solidFill>
                      </w14:textFill>
                    </w:rPr>
                  </w:pPr>
                </w:p>
              </w:tc>
              <w:tc>
                <w:tcPr>
                  <w:tcW w:w="3480" w:type="pct"/>
                  <w:vMerge w:val="continue"/>
                  <w:vAlign w:val="center"/>
                </w:tcPr>
                <w:p w14:paraId="709A6799">
                  <w:pPr>
                    <w:rPr>
                      <w:color w:val="000000" w:themeColor="text1"/>
                      <w:szCs w:val="21"/>
                      <w14:textFill>
                        <w14:solidFill>
                          <w14:schemeClr w14:val="tx1"/>
                        </w14:solidFill>
                      </w14:textFill>
                    </w:rPr>
                  </w:pPr>
                </w:p>
              </w:tc>
              <w:tc>
                <w:tcPr>
                  <w:tcW w:w="597" w:type="pct"/>
                  <w:vMerge w:val="continue"/>
                  <w:vAlign w:val="center"/>
                </w:tcPr>
                <w:p w14:paraId="34017B0A">
                  <w:pPr>
                    <w:rPr>
                      <w:color w:val="000000" w:themeColor="text1"/>
                      <w:szCs w:val="21"/>
                      <w14:textFill>
                        <w14:solidFill>
                          <w14:schemeClr w14:val="tx1"/>
                        </w14:solidFill>
                      </w14:textFill>
                    </w:rPr>
                  </w:pPr>
                </w:p>
              </w:tc>
              <w:tc>
                <w:tcPr>
                  <w:tcW w:w="460" w:type="pct"/>
                  <w:vMerge w:val="continue"/>
                  <w:vAlign w:val="center"/>
                </w:tcPr>
                <w:p w14:paraId="11DB808C">
                  <w:pPr>
                    <w:rPr>
                      <w:b/>
                      <w:bCs/>
                      <w:color w:val="000000" w:themeColor="text1"/>
                      <w:szCs w:val="21"/>
                      <w14:textFill>
                        <w14:solidFill>
                          <w14:schemeClr w14:val="tx1"/>
                        </w14:solidFill>
                      </w14:textFill>
                    </w:rPr>
                  </w:pPr>
                </w:p>
              </w:tc>
            </w:tr>
            <w:tr w14:paraId="0AE8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0CA8B9AB">
                  <w:pPr>
                    <w:jc w:val="center"/>
                    <w:rPr>
                      <w:color w:val="000000" w:themeColor="text1"/>
                      <w:szCs w:val="21"/>
                      <w14:textFill>
                        <w14:solidFill>
                          <w14:schemeClr w14:val="tx1"/>
                        </w14:solidFill>
                      </w14:textFill>
                    </w:rPr>
                  </w:pPr>
                </w:p>
              </w:tc>
              <w:tc>
                <w:tcPr>
                  <w:tcW w:w="3480" w:type="pct"/>
                  <w:shd w:val="clear" w:color="auto" w:fill="auto"/>
                  <w:vAlign w:val="center"/>
                </w:tcPr>
                <w:p w14:paraId="273DC2E0">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（一）严格控制新增炼油产能，未列入《石化产业规划布局方案（修订版）》的新增炼油产能一律不得建设。</w:t>
                  </w:r>
                </w:p>
              </w:tc>
              <w:tc>
                <w:tcPr>
                  <w:tcW w:w="597" w:type="pct"/>
                  <w:vMerge w:val="continue"/>
                  <w:vAlign w:val="center"/>
                </w:tcPr>
                <w:p w14:paraId="1CB71B9F">
                  <w:pPr>
                    <w:rPr>
                      <w:color w:val="000000" w:themeColor="text1"/>
                      <w:szCs w:val="21"/>
                      <w14:textFill>
                        <w14:solidFill>
                          <w14:schemeClr w14:val="tx1"/>
                        </w14:solidFill>
                      </w14:textFill>
                    </w:rPr>
                  </w:pPr>
                </w:p>
              </w:tc>
              <w:tc>
                <w:tcPr>
                  <w:tcW w:w="460" w:type="pct"/>
                  <w:vMerge w:val="continue"/>
                  <w:vAlign w:val="center"/>
                </w:tcPr>
                <w:p w14:paraId="4B362D90">
                  <w:pPr>
                    <w:rPr>
                      <w:b/>
                      <w:bCs/>
                      <w:color w:val="000000" w:themeColor="text1"/>
                      <w:szCs w:val="21"/>
                      <w14:textFill>
                        <w14:solidFill>
                          <w14:schemeClr w14:val="tx1"/>
                        </w14:solidFill>
                      </w14:textFill>
                    </w:rPr>
                  </w:pPr>
                </w:p>
              </w:tc>
            </w:tr>
            <w:tr w14:paraId="6525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463" w:type="pct"/>
                  <w:vMerge w:val="continue"/>
                  <w:vAlign w:val="center"/>
                </w:tcPr>
                <w:p w14:paraId="7C9E3170">
                  <w:pPr>
                    <w:jc w:val="center"/>
                    <w:rPr>
                      <w:color w:val="000000" w:themeColor="text1"/>
                      <w:szCs w:val="21"/>
                      <w14:textFill>
                        <w14:solidFill>
                          <w14:schemeClr w14:val="tx1"/>
                        </w14:solidFill>
                      </w14:textFill>
                    </w:rPr>
                  </w:pPr>
                </w:p>
              </w:tc>
              <w:tc>
                <w:tcPr>
                  <w:tcW w:w="3480" w:type="pct"/>
                  <w:shd w:val="clear" w:color="auto" w:fill="auto"/>
                  <w:vAlign w:val="center"/>
                </w:tcPr>
                <w:p w14:paraId="5BA5C8A9">
                  <w:pPr>
                    <w:rPr>
                      <w:color w:val="000000" w:themeColor="text1"/>
                      <w:szCs w:val="21"/>
                      <w14:textFill>
                        <w14:solidFill>
                          <w14:schemeClr w14:val="tx1"/>
                        </w14:solidFill>
                      </w14:textFill>
                    </w:rPr>
                  </w:pPr>
                  <w:r>
                    <w:rPr>
                      <w:color w:val="000000" w:themeColor="text1"/>
                      <w:szCs w:val="21"/>
                      <w14:textFill>
                        <w14:solidFill>
                          <w14:schemeClr w14:val="tx1"/>
                        </w14:solidFill>
                      </w14:textFill>
                    </w:rPr>
                    <w:t>（二）新建煤制烯烃、煤制芳烃项目必须列入《现代煤化工产业创新发展布局方案》，必须符合《现代煤化工建设项目环境准入条件（试行）》要求。</w:t>
                  </w:r>
                </w:p>
              </w:tc>
              <w:tc>
                <w:tcPr>
                  <w:tcW w:w="597" w:type="pct"/>
                  <w:vMerge w:val="continue"/>
                  <w:vAlign w:val="center"/>
                </w:tcPr>
                <w:p w14:paraId="5954E2FB">
                  <w:pPr>
                    <w:rPr>
                      <w:color w:val="000000" w:themeColor="text1"/>
                      <w:szCs w:val="21"/>
                      <w14:textFill>
                        <w14:solidFill>
                          <w14:schemeClr w14:val="tx1"/>
                        </w14:solidFill>
                      </w14:textFill>
                    </w:rPr>
                  </w:pPr>
                </w:p>
              </w:tc>
              <w:tc>
                <w:tcPr>
                  <w:tcW w:w="460" w:type="pct"/>
                  <w:vMerge w:val="continue"/>
                  <w:vAlign w:val="center"/>
                </w:tcPr>
                <w:p w14:paraId="2FEBB613">
                  <w:pPr>
                    <w:rPr>
                      <w:b/>
                      <w:bCs/>
                      <w:color w:val="000000" w:themeColor="text1"/>
                      <w:szCs w:val="21"/>
                      <w14:textFill>
                        <w14:solidFill>
                          <w14:schemeClr w14:val="tx1"/>
                        </w14:solidFill>
                      </w14:textFill>
                    </w:rPr>
                  </w:pPr>
                </w:p>
              </w:tc>
            </w:tr>
            <w:tr w14:paraId="60E6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14:paraId="4C533C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3480" w:type="pct"/>
                  <w:shd w:val="clear" w:color="auto" w:fill="auto"/>
                  <w:vAlign w:val="center"/>
                </w:tcPr>
                <w:p w14:paraId="30616F35">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禁止未经许可在长江干支流及湖泊新设、改设或扩大排污口。</w:t>
                  </w:r>
                </w:p>
              </w:tc>
              <w:tc>
                <w:tcPr>
                  <w:tcW w:w="597" w:type="pct"/>
                  <w:shd w:val="clear" w:color="auto" w:fill="auto"/>
                  <w:vAlign w:val="center"/>
                </w:tcPr>
                <w:p w14:paraId="5F86101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shd w:val="clear" w:color="auto" w:fill="auto"/>
                  <w:vAlign w:val="center"/>
                </w:tcPr>
                <w:p w14:paraId="7C21DD9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5309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14:paraId="78805F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480" w:type="pct"/>
                  <w:shd w:val="clear" w:color="auto" w:fill="auto"/>
                  <w:vAlign w:val="center"/>
                </w:tcPr>
                <w:p w14:paraId="6126AA9B">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禁止在“一江一口两湖七河”和332个水生生物保护区开展生产性捕捞。</w:t>
                  </w:r>
                </w:p>
              </w:tc>
              <w:tc>
                <w:tcPr>
                  <w:tcW w:w="597" w:type="pct"/>
                  <w:shd w:val="clear" w:color="auto" w:fill="auto"/>
                  <w:vAlign w:val="center"/>
                </w:tcPr>
                <w:p w14:paraId="7A81C217">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shd w:val="clear" w:color="auto" w:fill="auto"/>
                  <w:vAlign w:val="center"/>
                </w:tcPr>
                <w:p w14:paraId="6FEE8B3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2D48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366446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3480" w:type="pct"/>
                  <w:vMerge w:val="restart"/>
                  <w:shd w:val="clear" w:color="auto" w:fill="auto"/>
                  <w:vAlign w:val="center"/>
                </w:tcPr>
                <w:p w14:paraId="07E22955">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597" w:type="pct"/>
                  <w:vMerge w:val="restart"/>
                  <w:shd w:val="clear" w:color="auto" w:fill="auto"/>
                  <w:vAlign w:val="center"/>
                </w:tcPr>
                <w:p w14:paraId="57965CF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62E7185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6BF8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285566FF">
                  <w:pPr>
                    <w:jc w:val="center"/>
                    <w:rPr>
                      <w:color w:val="000000" w:themeColor="text1"/>
                      <w:szCs w:val="21"/>
                      <w14:textFill>
                        <w14:solidFill>
                          <w14:schemeClr w14:val="tx1"/>
                        </w14:solidFill>
                      </w14:textFill>
                    </w:rPr>
                  </w:pPr>
                </w:p>
              </w:tc>
              <w:tc>
                <w:tcPr>
                  <w:tcW w:w="3480" w:type="pct"/>
                  <w:vMerge w:val="continue"/>
                  <w:vAlign w:val="center"/>
                </w:tcPr>
                <w:p w14:paraId="65CE65C1">
                  <w:pPr>
                    <w:rPr>
                      <w:color w:val="000000" w:themeColor="text1"/>
                      <w:szCs w:val="21"/>
                      <w14:textFill>
                        <w14:solidFill>
                          <w14:schemeClr w14:val="tx1"/>
                        </w14:solidFill>
                      </w14:textFill>
                    </w:rPr>
                  </w:pPr>
                </w:p>
              </w:tc>
              <w:tc>
                <w:tcPr>
                  <w:tcW w:w="597" w:type="pct"/>
                  <w:vMerge w:val="continue"/>
                  <w:vAlign w:val="center"/>
                </w:tcPr>
                <w:p w14:paraId="5CDE03E8">
                  <w:pPr>
                    <w:rPr>
                      <w:color w:val="000000" w:themeColor="text1"/>
                      <w:szCs w:val="21"/>
                      <w14:textFill>
                        <w14:solidFill>
                          <w14:schemeClr w14:val="tx1"/>
                        </w14:solidFill>
                      </w14:textFill>
                    </w:rPr>
                  </w:pPr>
                </w:p>
              </w:tc>
              <w:tc>
                <w:tcPr>
                  <w:tcW w:w="460" w:type="pct"/>
                  <w:vMerge w:val="continue"/>
                  <w:vAlign w:val="center"/>
                </w:tcPr>
                <w:p w14:paraId="3818BFF6">
                  <w:pPr>
                    <w:rPr>
                      <w:b/>
                      <w:bCs/>
                      <w:color w:val="000000" w:themeColor="text1"/>
                      <w:szCs w:val="21"/>
                      <w14:textFill>
                        <w14:solidFill>
                          <w14:schemeClr w14:val="tx1"/>
                        </w14:solidFill>
                      </w14:textFill>
                    </w:rPr>
                  </w:pPr>
                </w:p>
              </w:tc>
            </w:tr>
            <w:tr w14:paraId="20C1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015CEE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3480" w:type="pct"/>
                  <w:vMerge w:val="restart"/>
                  <w:shd w:val="clear" w:color="auto" w:fill="auto"/>
                  <w:vAlign w:val="center"/>
                </w:tcPr>
                <w:p w14:paraId="35394D7F">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禁止新建、扩建法律法规和相关政策明令禁止的落后产能项目。对目录中淘汰类项目，禁止投资；限制类的新建项目，禁止投资，对属于限制类的现有生产能力，允许企业在一定期限内采取措施改造升级。</w:t>
                  </w:r>
                </w:p>
              </w:tc>
              <w:tc>
                <w:tcPr>
                  <w:tcW w:w="597" w:type="pct"/>
                  <w:vMerge w:val="restart"/>
                  <w:shd w:val="clear" w:color="auto" w:fill="auto"/>
                  <w:vAlign w:val="center"/>
                </w:tcPr>
                <w:p w14:paraId="4F40328E">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项目属于鼓励类项目</w:t>
                  </w:r>
                </w:p>
              </w:tc>
              <w:tc>
                <w:tcPr>
                  <w:tcW w:w="460" w:type="pct"/>
                  <w:vMerge w:val="restart"/>
                  <w:shd w:val="clear" w:color="auto" w:fill="auto"/>
                  <w:vAlign w:val="center"/>
                </w:tcPr>
                <w:p w14:paraId="1748B7F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7B4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670F6B33">
                  <w:pPr>
                    <w:jc w:val="center"/>
                    <w:rPr>
                      <w:color w:val="000000" w:themeColor="text1"/>
                      <w:szCs w:val="21"/>
                      <w14:textFill>
                        <w14:solidFill>
                          <w14:schemeClr w14:val="tx1"/>
                        </w14:solidFill>
                      </w14:textFill>
                    </w:rPr>
                  </w:pPr>
                </w:p>
              </w:tc>
              <w:tc>
                <w:tcPr>
                  <w:tcW w:w="3480" w:type="pct"/>
                  <w:vMerge w:val="continue"/>
                  <w:vAlign w:val="center"/>
                </w:tcPr>
                <w:p w14:paraId="0CE51ECE">
                  <w:pPr>
                    <w:rPr>
                      <w:color w:val="000000" w:themeColor="text1"/>
                      <w:szCs w:val="21"/>
                      <w14:textFill>
                        <w14:solidFill>
                          <w14:schemeClr w14:val="tx1"/>
                        </w14:solidFill>
                      </w14:textFill>
                    </w:rPr>
                  </w:pPr>
                </w:p>
              </w:tc>
              <w:tc>
                <w:tcPr>
                  <w:tcW w:w="597" w:type="pct"/>
                  <w:vMerge w:val="continue"/>
                  <w:vAlign w:val="center"/>
                </w:tcPr>
                <w:p w14:paraId="703C7AAA">
                  <w:pPr>
                    <w:rPr>
                      <w:color w:val="000000" w:themeColor="text1"/>
                      <w:szCs w:val="21"/>
                      <w14:textFill>
                        <w14:solidFill>
                          <w14:schemeClr w14:val="tx1"/>
                        </w14:solidFill>
                      </w14:textFill>
                    </w:rPr>
                  </w:pPr>
                </w:p>
              </w:tc>
              <w:tc>
                <w:tcPr>
                  <w:tcW w:w="460" w:type="pct"/>
                  <w:vMerge w:val="continue"/>
                  <w:vAlign w:val="center"/>
                </w:tcPr>
                <w:p w14:paraId="567D7EDB">
                  <w:pPr>
                    <w:rPr>
                      <w:b/>
                      <w:bCs/>
                      <w:color w:val="000000" w:themeColor="text1"/>
                      <w:szCs w:val="21"/>
                      <w14:textFill>
                        <w14:solidFill>
                          <w14:schemeClr w14:val="tx1"/>
                        </w14:solidFill>
                      </w14:textFill>
                    </w:rPr>
                  </w:pPr>
                </w:p>
              </w:tc>
            </w:tr>
            <w:tr w14:paraId="32DF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3" w:type="pct"/>
                  <w:vMerge w:val="continue"/>
                  <w:vAlign w:val="center"/>
                </w:tcPr>
                <w:p w14:paraId="06FB6B9C">
                  <w:pPr>
                    <w:jc w:val="center"/>
                    <w:rPr>
                      <w:color w:val="000000" w:themeColor="text1"/>
                      <w:szCs w:val="21"/>
                      <w14:textFill>
                        <w14:solidFill>
                          <w14:schemeClr w14:val="tx1"/>
                        </w14:solidFill>
                      </w14:textFill>
                    </w:rPr>
                  </w:pPr>
                </w:p>
              </w:tc>
              <w:tc>
                <w:tcPr>
                  <w:tcW w:w="3480" w:type="pct"/>
                  <w:vMerge w:val="continue"/>
                  <w:vAlign w:val="center"/>
                </w:tcPr>
                <w:p w14:paraId="4DADF288">
                  <w:pPr>
                    <w:rPr>
                      <w:color w:val="000000" w:themeColor="text1"/>
                      <w:szCs w:val="21"/>
                      <w14:textFill>
                        <w14:solidFill>
                          <w14:schemeClr w14:val="tx1"/>
                        </w14:solidFill>
                      </w14:textFill>
                    </w:rPr>
                  </w:pPr>
                </w:p>
              </w:tc>
              <w:tc>
                <w:tcPr>
                  <w:tcW w:w="597" w:type="pct"/>
                  <w:vMerge w:val="continue"/>
                  <w:vAlign w:val="center"/>
                </w:tcPr>
                <w:p w14:paraId="4960AEDF">
                  <w:pPr>
                    <w:rPr>
                      <w:color w:val="000000" w:themeColor="text1"/>
                      <w:szCs w:val="21"/>
                      <w14:textFill>
                        <w14:solidFill>
                          <w14:schemeClr w14:val="tx1"/>
                        </w14:solidFill>
                      </w14:textFill>
                    </w:rPr>
                  </w:pPr>
                </w:p>
              </w:tc>
              <w:tc>
                <w:tcPr>
                  <w:tcW w:w="460" w:type="pct"/>
                  <w:vMerge w:val="continue"/>
                  <w:vAlign w:val="center"/>
                </w:tcPr>
                <w:p w14:paraId="01FBA829">
                  <w:pPr>
                    <w:rPr>
                      <w:b/>
                      <w:bCs/>
                      <w:color w:val="000000" w:themeColor="text1"/>
                      <w:szCs w:val="21"/>
                      <w14:textFill>
                        <w14:solidFill>
                          <w14:schemeClr w14:val="tx1"/>
                        </w14:solidFill>
                      </w14:textFill>
                    </w:rPr>
                  </w:pPr>
                </w:p>
              </w:tc>
            </w:tr>
            <w:tr w14:paraId="71DC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463" w:type="pct"/>
                  <w:shd w:val="clear" w:color="auto" w:fill="auto"/>
                  <w:vAlign w:val="center"/>
                </w:tcPr>
                <w:p w14:paraId="3C2E10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3480" w:type="pct"/>
                  <w:shd w:val="clear" w:color="auto" w:fill="auto"/>
                  <w:vAlign w:val="center"/>
                </w:tcPr>
                <w:p w14:paraId="264E922B">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597" w:type="pct"/>
                  <w:shd w:val="clear" w:color="auto" w:fill="auto"/>
                  <w:vAlign w:val="center"/>
                </w:tcPr>
                <w:p w14:paraId="3C1C9602">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shd w:val="clear" w:color="auto" w:fill="auto"/>
                  <w:vAlign w:val="center"/>
                </w:tcPr>
                <w:p w14:paraId="6834A015">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988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restart"/>
                  <w:shd w:val="clear" w:color="auto" w:fill="auto"/>
                  <w:vAlign w:val="center"/>
                </w:tcPr>
                <w:p w14:paraId="2C8D42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3480" w:type="pct"/>
                  <w:shd w:val="clear" w:color="auto" w:fill="auto"/>
                  <w:vAlign w:val="center"/>
                </w:tcPr>
                <w:p w14:paraId="7746A0C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禁止建设以下燃油汽车投资项目（不在中国境内销售产品的投资项目除外）：</w:t>
                  </w:r>
                </w:p>
              </w:tc>
              <w:tc>
                <w:tcPr>
                  <w:tcW w:w="597" w:type="pct"/>
                  <w:vMerge w:val="restart"/>
                  <w:shd w:val="clear" w:color="auto" w:fill="auto"/>
                  <w:vAlign w:val="center"/>
                </w:tcPr>
                <w:p w14:paraId="2939C3C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vMerge w:val="restart"/>
                  <w:shd w:val="clear" w:color="auto" w:fill="auto"/>
                  <w:vAlign w:val="center"/>
                </w:tcPr>
                <w:p w14:paraId="3D0A931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6F8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3" w:type="pct"/>
                  <w:vMerge w:val="continue"/>
                  <w:vAlign w:val="center"/>
                </w:tcPr>
                <w:p w14:paraId="2B640732">
                  <w:pPr>
                    <w:jc w:val="center"/>
                    <w:rPr>
                      <w:color w:val="000000" w:themeColor="text1"/>
                      <w:szCs w:val="21"/>
                      <w14:textFill>
                        <w14:solidFill>
                          <w14:schemeClr w14:val="tx1"/>
                        </w14:solidFill>
                      </w14:textFill>
                    </w:rPr>
                  </w:pPr>
                </w:p>
              </w:tc>
              <w:tc>
                <w:tcPr>
                  <w:tcW w:w="3480" w:type="pct"/>
                  <w:shd w:val="clear" w:color="auto" w:fill="auto"/>
                  <w:vAlign w:val="center"/>
                </w:tcPr>
                <w:p w14:paraId="34EE0EF7">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（一）新建独立燃油汽车企业；</w:t>
                  </w:r>
                </w:p>
              </w:tc>
              <w:tc>
                <w:tcPr>
                  <w:tcW w:w="597" w:type="pct"/>
                  <w:vMerge w:val="continue"/>
                  <w:vAlign w:val="center"/>
                </w:tcPr>
                <w:p w14:paraId="166462E9">
                  <w:pPr>
                    <w:rPr>
                      <w:color w:val="000000" w:themeColor="text1"/>
                      <w:szCs w:val="21"/>
                      <w14:textFill>
                        <w14:solidFill>
                          <w14:schemeClr w14:val="tx1"/>
                        </w14:solidFill>
                      </w14:textFill>
                    </w:rPr>
                  </w:pPr>
                </w:p>
              </w:tc>
              <w:tc>
                <w:tcPr>
                  <w:tcW w:w="460" w:type="pct"/>
                  <w:vMerge w:val="continue"/>
                  <w:vAlign w:val="center"/>
                </w:tcPr>
                <w:p w14:paraId="2322A011">
                  <w:pPr>
                    <w:rPr>
                      <w:b/>
                      <w:bCs/>
                      <w:color w:val="000000" w:themeColor="text1"/>
                      <w:szCs w:val="21"/>
                      <w14:textFill>
                        <w14:solidFill>
                          <w14:schemeClr w14:val="tx1"/>
                        </w14:solidFill>
                      </w14:textFill>
                    </w:rPr>
                  </w:pPr>
                </w:p>
              </w:tc>
            </w:tr>
            <w:tr w14:paraId="65C1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32662509">
                  <w:pPr>
                    <w:jc w:val="center"/>
                    <w:rPr>
                      <w:color w:val="000000" w:themeColor="text1"/>
                      <w:szCs w:val="21"/>
                      <w14:textFill>
                        <w14:solidFill>
                          <w14:schemeClr w14:val="tx1"/>
                        </w14:solidFill>
                      </w14:textFill>
                    </w:rPr>
                  </w:pPr>
                </w:p>
              </w:tc>
              <w:tc>
                <w:tcPr>
                  <w:tcW w:w="3480" w:type="pct"/>
                  <w:shd w:val="clear" w:color="auto" w:fill="auto"/>
                  <w:vAlign w:val="center"/>
                </w:tcPr>
                <w:p w14:paraId="0CF140E2">
                  <w:pPr>
                    <w:rPr>
                      <w:color w:val="000000" w:themeColor="text1"/>
                      <w:szCs w:val="21"/>
                      <w14:textFill>
                        <w14:solidFill>
                          <w14:schemeClr w14:val="tx1"/>
                        </w14:solidFill>
                      </w14:textFill>
                    </w:rPr>
                  </w:pPr>
                  <w:r>
                    <w:rPr>
                      <w:color w:val="000000" w:themeColor="text1"/>
                      <w:szCs w:val="21"/>
                      <w14:textFill>
                        <w14:solidFill>
                          <w14:schemeClr w14:val="tx1"/>
                        </w14:solidFill>
                      </w14:textFill>
                    </w:rPr>
                    <w:t>（二）现有汽车企业跨乘用车、商用车类别建设燃油汽车生产能力；</w:t>
                  </w:r>
                </w:p>
              </w:tc>
              <w:tc>
                <w:tcPr>
                  <w:tcW w:w="597" w:type="pct"/>
                  <w:vMerge w:val="continue"/>
                  <w:vAlign w:val="center"/>
                </w:tcPr>
                <w:p w14:paraId="3FC0FD47">
                  <w:pPr>
                    <w:rPr>
                      <w:color w:val="000000" w:themeColor="text1"/>
                      <w:szCs w:val="21"/>
                      <w14:textFill>
                        <w14:solidFill>
                          <w14:schemeClr w14:val="tx1"/>
                        </w14:solidFill>
                      </w14:textFill>
                    </w:rPr>
                  </w:pPr>
                </w:p>
              </w:tc>
              <w:tc>
                <w:tcPr>
                  <w:tcW w:w="460" w:type="pct"/>
                  <w:vMerge w:val="continue"/>
                  <w:vAlign w:val="center"/>
                </w:tcPr>
                <w:p w14:paraId="50D6534E">
                  <w:pPr>
                    <w:rPr>
                      <w:b/>
                      <w:bCs/>
                      <w:color w:val="000000" w:themeColor="text1"/>
                      <w:szCs w:val="21"/>
                      <w14:textFill>
                        <w14:solidFill>
                          <w14:schemeClr w14:val="tx1"/>
                        </w14:solidFill>
                      </w14:textFill>
                    </w:rPr>
                  </w:pPr>
                </w:p>
              </w:tc>
            </w:tr>
            <w:tr w14:paraId="0C96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1CC21B5E">
                  <w:pPr>
                    <w:jc w:val="center"/>
                    <w:rPr>
                      <w:color w:val="000000" w:themeColor="text1"/>
                      <w:szCs w:val="21"/>
                      <w14:textFill>
                        <w14:solidFill>
                          <w14:schemeClr w14:val="tx1"/>
                        </w14:solidFill>
                      </w14:textFill>
                    </w:rPr>
                  </w:pPr>
                </w:p>
              </w:tc>
              <w:tc>
                <w:tcPr>
                  <w:tcW w:w="3480" w:type="pct"/>
                  <w:shd w:val="clear" w:color="auto" w:fill="auto"/>
                  <w:vAlign w:val="center"/>
                </w:tcPr>
                <w:p w14:paraId="196A5EE8">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（三）外省现有燃油汽车企业整体搬迁至本省（列入国家级区域发展规划或不改变企业股权结构的项目除外）；</w:t>
                  </w:r>
                </w:p>
              </w:tc>
              <w:tc>
                <w:tcPr>
                  <w:tcW w:w="597" w:type="pct"/>
                  <w:vMerge w:val="continue"/>
                  <w:vAlign w:val="center"/>
                </w:tcPr>
                <w:p w14:paraId="714D6340">
                  <w:pPr>
                    <w:rPr>
                      <w:color w:val="000000" w:themeColor="text1"/>
                      <w:szCs w:val="21"/>
                      <w14:textFill>
                        <w14:solidFill>
                          <w14:schemeClr w14:val="tx1"/>
                        </w14:solidFill>
                      </w14:textFill>
                    </w:rPr>
                  </w:pPr>
                </w:p>
              </w:tc>
              <w:tc>
                <w:tcPr>
                  <w:tcW w:w="460" w:type="pct"/>
                  <w:vMerge w:val="continue"/>
                  <w:vAlign w:val="center"/>
                </w:tcPr>
                <w:p w14:paraId="6581F7AD">
                  <w:pPr>
                    <w:rPr>
                      <w:b/>
                      <w:bCs/>
                      <w:color w:val="000000" w:themeColor="text1"/>
                      <w:szCs w:val="21"/>
                      <w14:textFill>
                        <w14:solidFill>
                          <w14:schemeClr w14:val="tx1"/>
                        </w14:solidFill>
                      </w14:textFill>
                    </w:rPr>
                  </w:pPr>
                </w:p>
              </w:tc>
            </w:tr>
            <w:tr w14:paraId="10FA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290655BA">
                  <w:pPr>
                    <w:jc w:val="center"/>
                    <w:rPr>
                      <w:color w:val="000000" w:themeColor="text1"/>
                      <w:szCs w:val="21"/>
                      <w14:textFill>
                        <w14:solidFill>
                          <w14:schemeClr w14:val="tx1"/>
                        </w14:solidFill>
                      </w14:textFill>
                    </w:rPr>
                  </w:pPr>
                </w:p>
              </w:tc>
              <w:tc>
                <w:tcPr>
                  <w:tcW w:w="3480" w:type="pct"/>
                  <w:shd w:val="clear" w:color="auto" w:fill="auto"/>
                  <w:vAlign w:val="center"/>
                </w:tcPr>
                <w:p w14:paraId="2536BEAA">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（四）对行业管理部门特别公示的燃油汽车企业进行投资</w:t>
                  </w:r>
                </w:p>
              </w:tc>
              <w:tc>
                <w:tcPr>
                  <w:tcW w:w="597" w:type="pct"/>
                  <w:vMerge w:val="continue"/>
                  <w:vAlign w:val="center"/>
                </w:tcPr>
                <w:p w14:paraId="360FFF63">
                  <w:pPr>
                    <w:rPr>
                      <w:color w:val="000000" w:themeColor="text1"/>
                      <w:szCs w:val="21"/>
                      <w14:textFill>
                        <w14:solidFill>
                          <w14:schemeClr w14:val="tx1"/>
                        </w14:solidFill>
                      </w14:textFill>
                    </w:rPr>
                  </w:pPr>
                </w:p>
              </w:tc>
              <w:tc>
                <w:tcPr>
                  <w:tcW w:w="460" w:type="pct"/>
                  <w:vMerge w:val="continue"/>
                  <w:vAlign w:val="center"/>
                </w:tcPr>
                <w:p w14:paraId="280845A3">
                  <w:pPr>
                    <w:rPr>
                      <w:b/>
                      <w:bCs/>
                      <w:color w:val="000000" w:themeColor="text1"/>
                      <w:szCs w:val="21"/>
                      <w14:textFill>
                        <w14:solidFill>
                          <w14:schemeClr w14:val="tx1"/>
                        </w14:solidFill>
                      </w14:textFill>
                    </w:rPr>
                  </w:pPr>
                </w:p>
              </w:tc>
            </w:tr>
            <w:tr w14:paraId="36C5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vMerge w:val="continue"/>
                  <w:vAlign w:val="center"/>
                </w:tcPr>
                <w:p w14:paraId="7E725C5F">
                  <w:pPr>
                    <w:jc w:val="center"/>
                    <w:rPr>
                      <w:color w:val="000000" w:themeColor="text1"/>
                      <w:szCs w:val="21"/>
                      <w14:textFill>
                        <w14:solidFill>
                          <w14:schemeClr w14:val="tx1"/>
                        </w14:solidFill>
                      </w14:textFill>
                    </w:rPr>
                  </w:pPr>
                </w:p>
              </w:tc>
              <w:tc>
                <w:tcPr>
                  <w:tcW w:w="3480" w:type="pct"/>
                  <w:shd w:val="clear" w:color="auto" w:fill="auto"/>
                  <w:vAlign w:val="center"/>
                </w:tcPr>
                <w:p w14:paraId="525671DA">
                  <w:pP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（企业原有股东投资或将该企业转为非独立法人的投资项目除外）。</w:t>
                  </w:r>
                </w:p>
              </w:tc>
              <w:tc>
                <w:tcPr>
                  <w:tcW w:w="597" w:type="pct"/>
                  <w:vMerge w:val="continue"/>
                  <w:vAlign w:val="center"/>
                </w:tcPr>
                <w:p w14:paraId="3BB4DEA4">
                  <w:pPr>
                    <w:rPr>
                      <w:color w:val="000000" w:themeColor="text1"/>
                      <w:szCs w:val="21"/>
                      <w14:textFill>
                        <w14:solidFill>
                          <w14:schemeClr w14:val="tx1"/>
                        </w14:solidFill>
                      </w14:textFill>
                    </w:rPr>
                  </w:pPr>
                </w:p>
              </w:tc>
              <w:tc>
                <w:tcPr>
                  <w:tcW w:w="460" w:type="pct"/>
                  <w:vMerge w:val="continue"/>
                  <w:vAlign w:val="center"/>
                </w:tcPr>
                <w:p w14:paraId="1F8D931A">
                  <w:pPr>
                    <w:rPr>
                      <w:b/>
                      <w:bCs/>
                      <w:color w:val="000000" w:themeColor="text1"/>
                      <w:szCs w:val="21"/>
                      <w14:textFill>
                        <w14:solidFill>
                          <w14:schemeClr w14:val="tx1"/>
                        </w14:solidFill>
                      </w14:textFill>
                    </w:rPr>
                  </w:pPr>
                </w:p>
              </w:tc>
            </w:tr>
            <w:tr w14:paraId="40F2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63" w:type="pct"/>
                  <w:shd w:val="clear" w:color="auto" w:fill="auto"/>
                  <w:vAlign w:val="center"/>
                </w:tcPr>
                <w:p w14:paraId="3E212E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3480" w:type="pct"/>
                  <w:shd w:val="clear" w:color="auto" w:fill="auto"/>
                  <w:vAlign w:val="center"/>
                </w:tcPr>
                <w:p w14:paraId="2B4D105F">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禁止新建、扩建不符合要求的高耗能、高排放、低水平项目。</w:t>
                  </w:r>
                </w:p>
              </w:tc>
              <w:tc>
                <w:tcPr>
                  <w:tcW w:w="597" w:type="pct"/>
                  <w:shd w:val="clear" w:color="auto" w:fill="auto"/>
                  <w:vAlign w:val="center"/>
                </w:tcPr>
                <w:p w14:paraId="4529573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w:t>
                  </w:r>
                </w:p>
              </w:tc>
              <w:tc>
                <w:tcPr>
                  <w:tcW w:w="460" w:type="pct"/>
                  <w:shd w:val="clear" w:color="auto" w:fill="auto"/>
                  <w:vAlign w:val="center"/>
                </w:tcPr>
                <w:p w14:paraId="7F3C42E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bl>
          <w:p w14:paraId="7DF96ABE">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根据上表，本项目不属于上述四川省、重庆市长江经济带发展负面清单中的类别。本项目未列入环境准入负面清单内，符合相关要求。</w:t>
            </w:r>
          </w:p>
          <w:p w14:paraId="43379C68">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综上，经过与“三线一单”进行对照后，项目不在生态保护红线内、未超出环境质量底线及资源利用上线，未列入环境准入负面清单，项目建设满足国家“三线一单”的相关要求。</w:t>
            </w:r>
          </w:p>
          <w:p w14:paraId="6D62EB84">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3.5本项目与《遂宁市人民政府关于落实生态保护红线、环境质量底线、资源利用上线和生态环境准入清单实施生态环境分区管控的通知》遂府函〔2021〕74号文件的符合性分析</w:t>
            </w:r>
          </w:p>
          <w:p w14:paraId="37DA43AF">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0" distR="0">
                  <wp:extent cx="4772025" cy="3403600"/>
                  <wp:effectExtent l="19050" t="19050" r="9525" b="25400"/>
                  <wp:docPr id="8378465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4656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85621" cy="3413354"/>
                          </a:xfrm>
                          <a:prstGeom prst="rect">
                            <a:avLst/>
                          </a:prstGeom>
                          <a:noFill/>
                          <a:ln w="9525">
                            <a:solidFill>
                              <a:schemeClr val="tx1"/>
                            </a:solidFill>
                          </a:ln>
                        </pic:spPr>
                      </pic:pic>
                    </a:graphicData>
                  </a:graphic>
                </wp:inline>
              </w:drawing>
            </w:r>
          </w:p>
          <w:p w14:paraId="56D6BB29">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图1-1项目与遂宁市综合环境管控单元关系</w:t>
            </w:r>
          </w:p>
          <w:p w14:paraId="043F347F">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本项目与遂宁市的总体生态环境管控要求的符合性分析如下：</w:t>
            </w:r>
          </w:p>
          <w:p w14:paraId="3912D157">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表1-5本项目与遂宁市的总体生态环境管控要求的符合性</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759"/>
              <w:gridCol w:w="4703"/>
              <w:gridCol w:w="1245"/>
              <w:gridCol w:w="778"/>
            </w:tblGrid>
            <w:tr w14:paraId="054D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tcPr>
                <w:p w14:paraId="3F59BBB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477" w:type="pct"/>
                  <w:shd w:val="clear" w:color="auto" w:fill="auto"/>
                </w:tcPr>
                <w:p w14:paraId="76C027A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行政区划</w:t>
                  </w:r>
                </w:p>
              </w:tc>
              <w:tc>
                <w:tcPr>
                  <w:tcW w:w="2957" w:type="pct"/>
                  <w:shd w:val="clear" w:color="auto" w:fill="auto"/>
                </w:tcPr>
                <w:p w14:paraId="43528E1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全市及各县（市、区）总体生态环境管控要求</w:t>
                  </w:r>
                </w:p>
              </w:tc>
              <w:tc>
                <w:tcPr>
                  <w:tcW w:w="783" w:type="pct"/>
                  <w:shd w:val="clear" w:color="auto" w:fill="auto"/>
                </w:tcPr>
                <w:p w14:paraId="441ABBC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489" w:type="pct"/>
                  <w:shd w:val="clear" w:color="auto" w:fill="auto"/>
                </w:tcPr>
                <w:p w14:paraId="017DC97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0565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tcPr>
                <w:p w14:paraId="7389DF7E">
                  <w:pPr>
                    <w:rPr>
                      <w:color w:val="000000" w:themeColor="text1"/>
                      <w:szCs w:val="21"/>
                      <w14:textFill>
                        <w14:solidFill>
                          <w14:schemeClr w14:val="tx1"/>
                        </w14:solidFill>
                      </w14:textFill>
                    </w:rPr>
                  </w:pPr>
                </w:p>
              </w:tc>
              <w:tc>
                <w:tcPr>
                  <w:tcW w:w="477" w:type="pct"/>
                  <w:shd w:val="clear" w:color="auto" w:fill="auto"/>
                </w:tcPr>
                <w:p w14:paraId="03BCCCDB">
                  <w:pPr>
                    <w:rPr>
                      <w:color w:val="000000" w:themeColor="text1"/>
                      <w:szCs w:val="21"/>
                      <w14:textFill>
                        <w14:solidFill>
                          <w14:schemeClr w14:val="tx1"/>
                        </w14:solidFill>
                      </w14:textFill>
                    </w:rPr>
                  </w:pPr>
                  <w:r>
                    <w:rPr>
                      <w:color w:val="000000" w:themeColor="text1"/>
                      <w:szCs w:val="21"/>
                      <w14:textFill>
                        <w14:solidFill>
                          <w14:schemeClr w14:val="tx1"/>
                        </w14:solidFill>
                      </w14:textFill>
                    </w:rPr>
                    <w:t>遂宁市</w:t>
                  </w:r>
                </w:p>
              </w:tc>
              <w:tc>
                <w:tcPr>
                  <w:tcW w:w="2957" w:type="pct"/>
                  <w:shd w:val="clear" w:color="auto" w:fill="auto"/>
                </w:tcPr>
                <w:p w14:paraId="173F41B6">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2C13165E">
                  <w:pPr>
                    <w:rPr>
                      <w:color w:val="000000" w:themeColor="text1"/>
                      <w:szCs w:val="21"/>
                      <w14:textFill>
                        <w14:solidFill>
                          <w14:schemeClr w14:val="tx1"/>
                        </w14:solidFill>
                      </w14:textFill>
                    </w:rPr>
                  </w:pPr>
                  <w:r>
                    <w:rPr>
                      <w:color w:val="000000" w:themeColor="text1"/>
                      <w:szCs w:val="21"/>
                      <w14:textFill>
                        <w14:solidFill>
                          <w14:schemeClr w14:val="tx1"/>
                        </w14:solidFill>
                      </w14:textFill>
                    </w:rPr>
                    <w:t>（2）锂电产业中锂离子电池行业引入，严格执行其行业资源环境绩效指标准入要求；</w:t>
                  </w:r>
                </w:p>
                <w:p w14:paraId="73A3AA1D">
                  <w:pPr>
                    <w:rPr>
                      <w:color w:val="000000" w:themeColor="text1"/>
                      <w:szCs w:val="21"/>
                      <w14:textFill>
                        <w14:solidFill>
                          <w14:schemeClr w14:val="tx1"/>
                        </w14:solidFill>
                      </w14:textFill>
                    </w:rPr>
                  </w:pPr>
                  <w:r>
                    <w:rPr>
                      <w:color w:val="000000" w:themeColor="text1"/>
                      <w:szCs w:val="21"/>
                      <w14:textFill>
                        <w14:solidFill>
                          <w14:schemeClr w14:val="tx1"/>
                        </w14:solidFill>
                      </w14:textFill>
                    </w:rPr>
                    <w:t>（3）全市大气污染物排放执行《四川省生态环境厅关于执行大气污染物特别排放限值的公告》相关要求；</w:t>
                  </w:r>
                </w:p>
                <w:p w14:paraId="767BB3ED">
                  <w:pPr>
                    <w:rPr>
                      <w:color w:val="000000" w:themeColor="text1"/>
                      <w:szCs w:val="21"/>
                      <w14:textFill>
                        <w14:solidFill>
                          <w14:schemeClr w14:val="tx1"/>
                        </w14:solidFill>
                      </w14:textFill>
                    </w:rPr>
                  </w:pPr>
                  <w:r>
                    <w:rPr>
                      <w:color w:val="000000" w:themeColor="text1"/>
                      <w:szCs w:val="21"/>
                      <w14:textFill>
                        <w14:solidFill>
                          <w14:schemeClr w14:val="tx1"/>
                        </w14:solidFill>
                      </w14:textFill>
                    </w:rPr>
                    <w:t>（4）强化沿江化工企业与园区的污染治理与风险管控，细化突发环境事件风险管控措施，严控流域型环境风险；严格落实《生态环境部水利部关于建立跨省流域上下游突发水污染事件联防联控机制的指导意见》；</w:t>
                  </w:r>
                </w:p>
                <w:p w14:paraId="4648E9BA">
                  <w:pPr>
                    <w:rPr>
                      <w:color w:val="000000" w:themeColor="text1"/>
                      <w:szCs w:val="21"/>
                      <w14:textFill>
                        <w14:solidFill>
                          <w14:schemeClr w14:val="tx1"/>
                        </w14:solidFill>
                      </w14:textFill>
                    </w:rPr>
                  </w:pPr>
                  <w:r>
                    <w:rPr>
                      <w:color w:val="000000" w:themeColor="text1"/>
                      <w:szCs w:val="21"/>
                      <w14:textFill>
                        <w14:solidFill>
                          <w14:schemeClr w14:val="tx1"/>
                        </w14:solidFill>
                      </w14:textFill>
                    </w:rPr>
                    <w:t>（5）优化中心城区园区布局。</w:t>
                  </w:r>
                </w:p>
              </w:tc>
              <w:tc>
                <w:tcPr>
                  <w:tcW w:w="783" w:type="pct"/>
                  <w:vMerge w:val="restart"/>
                  <w:shd w:val="clear" w:color="auto" w:fill="auto"/>
                </w:tcPr>
                <w:p w14:paraId="76200DB2">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本项目为固废综合利用项目，大气污染物排放执行《四川省生态环境厅关于执行大气污染物特别排放限值的公告》相关要求</w:t>
                  </w:r>
                </w:p>
              </w:tc>
              <w:tc>
                <w:tcPr>
                  <w:tcW w:w="489" w:type="pct"/>
                  <w:vMerge w:val="restart"/>
                  <w:shd w:val="clear" w:color="auto" w:fill="auto"/>
                </w:tcPr>
                <w:p w14:paraId="7CAB31A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1886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tcPr>
                <w:p w14:paraId="1729AC82">
                  <w:pP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77" w:type="pct"/>
                  <w:shd w:val="clear" w:color="auto" w:fill="auto"/>
                </w:tcPr>
                <w:p w14:paraId="6233642F">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w:t>
                  </w:r>
                </w:p>
              </w:tc>
              <w:tc>
                <w:tcPr>
                  <w:tcW w:w="2957" w:type="pct"/>
                  <w:shd w:val="clear" w:color="auto" w:fill="auto"/>
                </w:tcPr>
                <w:p w14:paraId="7C9FA97A">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（1）加强郪江流域污染治理、农业面源污染治理，严格控制化肥农药使用量，科学划定禁养区，积极推广畜禽清洁养殖和畜禽粪污无害化、资源化处理技术；</w:t>
                  </w:r>
                </w:p>
                <w:p w14:paraId="714D1443">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（2）现有涉及五类重金属排放的企业，严控污染物排放；</w:t>
                  </w:r>
                </w:p>
                <w:p w14:paraId="4E40DEEE">
                  <w:pPr>
                    <w:rPr>
                      <w:color w:val="000000" w:themeColor="text1"/>
                      <w:szCs w:val="21"/>
                      <w14:textFill>
                        <w14:solidFill>
                          <w14:schemeClr w14:val="tx1"/>
                        </w14:solidFill>
                      </w14:textFill>
                    </w:rPr>
                  </w:pPr>
                  <w:r>
                    <w:rPr>
                      <w:color w:val="000000" w:themeColor="text1"/>
                      <w:szCs w:val="21"/>
                      <w14:textFill>
                        <w14:solidFill>
                          <w14:schemeClr w14:val="tx1"/>
                        </w14:solidFill>
                      </w14:textFill>
                    </w:rPr>
                    <w:t>（3）加强污染地块环境风险防控管理。</w:t>
                  </w:r>
                </w:p>
              </w:tc>
              <w:tc>
                <w:tcPr>
                  <w:tcW w:w="783" w:type="pct"/>
                  <w:vMerge w:val="continue"/>
                  <w:shd w:val="clear" w:color="auto" w:fill="auto"/>
                </w:tcPr>
                <w:p w14:paraId="5D77CF89">
                  <w:pPr>
                    <w:rPr>
                      <w:color w:val="000000" w:themeColor="text1"/>
                      <w:szCs w:val="21"/>
                      <w14:textFill>
                        <w14:solidFill>
                          <w14:schemeClr w14:val="tx1"/>
                        </w14:solidFill>
                      </w14:textFill>
                    </w:rPr>
                  </w:pPr>
                </w:p>
              </w:tc>
              <w:tc>
                <w:tcPr>
                  <w:tcW w:w="489" w:type="pct"/>
                  <w:vMerge w:val="continue"/>
                  <w:shd w:val="clear" w:color="auto" w:fill="auto"/>
                </w:tcPr>
                <w:p w14:paraId="2845A511">
                  <w:pPr>
                    <w:rPr>
                      <w:color w:val="000000" w:themeColor="text1"/>
                      <w:szCs w:val="21"/>
                      <w14:textFill>
                        <w14:solidFill>
                          <w14:schemeClr w14:val="tx1"/>
                        </w14:solidFill>
                      </w14:textFill>
                    </w:rPr>
                  </w:pPr>
                </w:p>
              </w:tc>
            </w:tr>
          </w:tbl>
          <w:p w14:paraId="265CA7C7">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该项目</w:t>
            </w:r>
            <w:r>
              <w:rPr>
                <w:rFonts w:hint="eastAsia"/>
                <w:color w:val="000000" w:themeColor="text1"/>
                <w:sz w:val="24"/>
                <w:lang w:eastAsia="zh-CN"/>
                <w14:textFill>
                  <w14:solidFill>
                    <w14:schemeClr w14:val="tx1"/>
                  </w14:solidFill>
                </w14:textFill>
              </w:rPr>
              <w:t>涉及</w:t>
            </w:r>
            <w:r>
              <w:rPr>
                <w:color w:val="000000" w:themeColor="text1"/>
                <w:sz w:val="24"/>
                <w14:textFill>
                  <w14:solidFill>
                    <w14:schemeClr w14:val="tx1"/>
                  </w14:solidFill>
                </w14:textFill>
              </w:rPr>
              <w:t>环境管控单元4个，</w:t>
            </w:r>
            <w:r>
              <w:rPr>
                <w:rFonts w:hint="eastAsia"/>
                <w:color w:val="000000" w:themeColor="text1"/>
                <w:sz w:val="24"/>
                <w:lang w:eastAsia="zh-CN"/>
                <w14:textFill>
                  <w14:solidFill>
                    <w14:schemeClr w14:val="tx1"/>
                  </w14:solidFill>
                </w14:textFill>
              </w:rPr>
              <w:t>涉及</w:t>
            </w:r>
            <w:r>
              <w:rPr>
                <w:color w:val="000000" w:themeColor="text1"/>
                <w:sz w:val="24"/>
                <w14:textFill>
                  <w14:solidFill>
                    <w14:schemeClr w14:val="tx1"/>
                  </w14:solidFill>
                </w14:textFill>
              </w:rPr>
              <w:t>管控单元见下表。</w:t>
            </w:r>
          </w:p>
          <w:p w14:paraId="69F45812">
            <w:pPr>
              <w:spacing w:line="360" w:lineRule="auto"/>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表1-6本项目涉及的环境管控单元</w:t>
            </w:r>
          </w:p>
          <w:tbl>
            <w:tblPr>
              <w:tblStyle w:val="25"/>
              <w:tblW w:w="7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1558"/>
              <w:gridCol w:w="1133"/>
              <w:gridCol w:w="663"/>
              <w:gridCol w:w="1145"/>
              <w:gridCol w:w="1582"/>
            </w:tblGrid>
            <w:tr w14:paraId="219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91" w:type="pct"/>
                  <w:tcBorders>
                    <w:top w:val="single" w:color="auto" w:sz="4" w:space="0"/>
                    <w:left w:val="single" w:color="auto" w:sz="4" w:space="0"/>
                    <w:bottom w:val="single" w:color="auto" w:sz="4" w:space="0"/>
                    <w:right w:val="single" w:color="auto" w:sz="4" w:space="0"/>
                  </w:tcBorders>
                  <w:vAlign w:val="center"/>
                </w:tcPr>
                <w:p w14:paraId="66283D7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环境管控单元编码</w:t>
                  </w:r>
                </w:p>
              </w:tc>
              <w:tc>
                <w:tcPr>
                  <w:tcW w:w="976" w:type="pct"/>
                  <w:tcBorders>
                    <w:top w:val="single" w:color="auto" w:sz="4" w:space="0"/>
                    <w:left w:val="single" w:color="auto" w:sz="4" w:space="0"/>
                    <w:bottom w:val="single" w:color="auto" w:sz="4" w:space="0"/>
                    <w:right w:val="single" w:color="auto" w:sz="4" w:space="0"/>
                  </w:tcBorders>
                  <w:vAlign w:val="center"/>
                </w:tcPr>
                <w:p w14:paraId="163B693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环境管控单元名称</w:t>
                  </w:r>
                </w:p>
              </w:tc>
              <w:tc>
                <w:tcPr>
                  <w:tcW w:w="710" w:type="pct"/>
                  <w:tcBorders>
                    <w:top w:val="single" w:color="auto" w:sz="4" w:space="0"/>
                    <w:left w:val="single" w:color="auto" w:sz="4" w:space="0"/>
                    <w:bottom w:val="single" w:color="auto" w:sz="4" w:space="0"/>
                    <w:right w:val="single" w:color="auto" w:sz="4" w:space="0"/>
                  </w:tcBorders>
                </w:tcPr>
                <w:p w14:paraId="6CFB79A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所属市（州）</w:t>
                  </w:r>
                </w:p>
              </w:tc>
              <w:tc>
                <w:tcPr>
                  <w:tcW w:w="415" w:type="pct"/>
                  <w:tcBorders>
                    <w:top w:val="single" w:color="auto" w:sz="4" w:space="0"/>
                    <w:left w:val="single" w:color="auto" w:sz="4" w:space="0"/>
                    <w:bottom w:val="single" w:color="auto" w:sz="4" w:space="0"/>
                    <w:right w:val="single" w:color="auto" w:sz="4" w:space="0"/>
                  </w:tcBorders>
                </w:tcPr>
                <w:p w14:paraId="3F9AE70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所属区县</w:t>
                  </w:r>
                </w:p>
              </w:tc>
              <w:tc>
                <w:tcPr>
                  <w:tcW w:w="717" w:type="pct"/>
                  <w:tcBorders>
                    <w:top w:val="single" w:color="auto" w:sz="4" w:space="0"/>
                    <w:left w:val="single" w:color="auto" w:sz="4" w:space="0"/>
                    <w:bottom w:val="single" w:color="auto" w:sz="4" w:space="0"/>
                    <w:right w:val="single" w:color="auto" w:sz="4" w:space="0"/>
                  </w:tcBorders>
                  <w:vAlign w:val="center"/>
                </w:tcPr>
                <w:p w14:paraId="3AC255D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准入清单类型</w:t>
                  </w:r>
                </w:p>
              </w:tc>
              <w:tc>
                <w:tcPr>
                  <w:tcW w:w="991" w:type="pct"/>
                  <w:tcBorders>
                    <w:top w:val="single" w:color="auto" w:sz="4" w:space="0"/>
                    <w:left w:val="single" w:color="auto" w:sz="4" w:space="0"/>
                    <w:bottom w:val="single" w:color="auto" w:sz="4" w:space="0"/>
                    <w:right w:val="single" w:color="auto" w:sz="4" w:space="0"/>
                  </w:tcBorders>
                  <w:vAlign w:val="center"/>
                </w:tcPr>
                <w:p w14:paraId="0BA8C405">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管控类型</w:t>
                  </w:r>
                </w:p>
              </w:tc>
            </w:tr>
            <w:tr w14:paraId="0E85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91" w:type="pct"/>
                  <w:tcBorders>
                    <w:top w:val="single" w:color="auto" w:sz="4" w:space="0"/>
                    <w:left w:val="single" w:color="auto" w:sz="4" w:space="0"/>
                    <w:bottom w:val="single" w:color="auto" w:sz="4" w:space="0"/>
                    <w:right w:val="single" w:color="auto" w:sz="4" w:space="0"/>
                  </w:tcBorders>
                  <w:vAlign w:val="center"/>
                </w:tcPr>
                <w:p w14:paraId="37479631">
                  <w:pPr>
                    <w:rPr>
                      <w:color w:val="000000" w:themeColor="text1"/>
                      <w:szCs w:val="21"/>
                      <w14:textFill>
                        <w14:solidFill>
                          <w14:schemeClr w14:val="tx1"/>
                        </w14:solidFill>
                      </w14:textFill>
                    </w:rPr>
                  </w:pPr>
                  <w:r>
                    <w:rPr>
                      <w:color w:val="000000" w:themeColor="text1"/>
                      <w:szCs w:val="21"/>
                      <w14:textFill>
                        <w14:solidFill>
                          <w14:schemeClr w14:val="tx1"/>
                        </w14:solidFill>
                      </w14:textFill>
                    </w:rPr>
                    <w:t>ZH51092320005</w:t>
                  </w:r>
                </w:p>
              </w:tc>
              <w:tc>
                <w:tcPr>
                  <w:tcW w:w="976" w:type="pct"/>
                  <w:tcBorders>
                    <w:top w:val="single" w:color="auto" w:sz="4" w:space="0"/>
                    <w:left w:val="single" w:color="auto" w:sz="4" w:space="0"/>
                    <w:bottom w:val="single" w:color="auto" w:sz="4" w:space="0"/>
                    <w:right w:val="single" w:color="auto" w:sz="4" w:space="0"/>
                  </w:tcBorders>
                  <w:vAlign w:val="center"/>
                </w:tcPr>
                <w:p w14:paraId="6308ADD3">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大英县要素重点管控单元</w:t>
                  </w:r>
                </w:p>
              </w:tc>
              <w:tc>
                <w:tcPr>
                  <w:tcW w:w="710" w:type="pct"/>
                  <w:tcBorders>
                    <w:top w:val="single" w:color="auto" w:sz="4" w:space="0"/>
                    <w:left w:val="single" w:color="auto" w:sz="4" w:space="0"/>
                    <w:bottom w:val="single" w:color="auto" w:sz="4" w:space="0"/>
                    <w:right w:val="single" w:color="auto" w:sz="4" w:space="0"/>
                  </w:tcBorders>
                  <w:vAlign w:val="center"/>
                </w:tcPr>
                <w:p w14:paraId="6A083A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遂宁市</w:t>
                  </w:r>
                </w:p>
              </w:tc>
              <w:tc>
                <w:tcPr>
                  <w:tcW w:w="415" w:type="pct"/>
                  <w:tcBorders>
                    <w:top w:val="single" w:color="auto" w:sz="4" w:space="0"/>
                    <w:left w:val="single" w:color="auto" w:sz="4" w:space="0"/>
                    <w:bottom w:val="single" w:color="auto" w:sz="4" w:space="0"/>
                    <w:right w:val="single" w:color="auto" w:sz="4" w:space="0"/>
                  </w:tcBorders>
                  <w:vAlign w:val="center"/>
                </w:tcPr>
                <w:p w14:paraId="39ABF9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w:t>
                  </w:r>
                </w:p>
              </w:tc>
              <w:tc>
                <w:tcPr>
                  <w:tcW w:w="717" w:type="pct"/>
                  <w:tcBorders>
                    <w:top w:val="single" w:color="auto" w:sz="4" w:space="0"/>
                    <w:left w:val="single" w:color="auto" w:sz="4" w:space="0"/>
                    <w:bottom w:val="single" w:color="auto" w:sz="4" w:space="0"/>
                    <w:right w:val="single" w:color="auto" w:sz="4" w:space="0"/>
                  </w:tcBorders>
                  <w:vAlign w:val="center"/>
                </w:tcPr>
                <w:p w14:paraId="0D43C7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环境管控单元</w:t>
                  </w:r>
                </w:p>
              </w:tc>
              <w:tc>
                <w:tcPr>
                  <w:tcW w:w="991" w:type="pct"/>
                  <w:tcBorders>
                    <w:top w:val="single" w:color="auto" w:sz="4" w:space="0"/>
                    <w:left w:val="single" w:color="auto" w:sz="4" w:space="0"/>
                    <w:bottom w:val="single" w:color="auto" w:sz="4" w:space="0"/>
                    <w:right w:val="single" w:color="auto" w:sz="4" w:space="0"/>
                  </w:tcBorders>
                  <w:vAlign w:val="center"/>
                </w:tcPr>
                <w:p w14:paraId="4434F8A0">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环境综合管控单元要素重点管控单元</w:t>
                  </w:r>
                </w:p>
              </w:tc>
            </w:tr>
            <w:tr w14:paraId="1242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91" w:type="pct"/>
                  <w:tcBorders>
                    <w:top w:val="single" w:color="auto" w:sz="4" w:space="0"/>
                    <w:left w:val="single" w:color="auto" w:sz="4" w:space="0"/>
                    <w:bottom w:val="single" w:color="auto" w:sz="4" w:space="0"/>
                    <w:right w:val="single" w:color="auto" w:sz="4" w:space="0"/>
                  </w:tcBorders>
                  <w:vAlign w:val="center"/>
                </w:tcPr>
                <w:p w14:paraId="213B4966">
                  <w:pPr>
                    <w:rPr>
                      <w:color w:val="000000" w:themeColor="text1"/>
                      <w:szCs w:val="21"/>
                      <w14:textFill>
                        <w14:solidFill>
                          <w14:schemeClr w14:val="tx1"/>
                        </w14:solidFill>
                      </w14:textFill>
                    </w:rPr>
                  </w:pPr>
                  <w:r>
                    <w:rPr>
                      <w:color w:val="000000" w:themeColor="text1"/>
                      <w:szCs w:val="21"/>
                      <w14:textFill>
                        <w14:solidFill>
                          <w14:schemeClr w14:val="tx1"/>
                        </w14:solidFill>
                      </w14:textFill>
                    </w:rPr>
                    <w:t>YS5109232230001</w:t>
                  </w:r>
                </w:p>
              </w:tc>
              <w:tc>
                <w:tcPr>
                  <w:tcW w:w="976" w:type="pct"/>
                  <w:tcBorders>
                    <w:top w:val="single" w:color="auto" w:sz="4" w:space="0"/>
                    <w:left w:val="single" w:color="auto" w:sz="4" w:space="0"/>
                    <w:bottom w:val="single" w:color="auto" w:sz="4" w:space="0"/>
                    <w:right w:val="single" w:color="auto" w:sz="4" w:space="0"/>
                  </w:tcBorders>
                  <w:vAlign w:val="center"/>
                </w:tcPr>
                <w:p w14:paraId="066D9D4F">
                  <w:pPr>
                    <w:rPr>
                      <w:color w:val="000000" w:themeColor="text1"/>
                      <w:szCs w:val="21"/>
                      <w14:textFill>
                        <w14:solidFill>
                          <w14:schemeClr w14:val="tx1"/>
                        </w14:solidFill>
                      </w14:textFill>
                    </w:rPr>
                  </w:pPr>
                  <w:r>
                    <w:rPr>
                      <w:color w:val="000000" w:themeColor="text1"/>
                      <w:szCs w:val="21"/>
                      <w14:textFill>
                        <w14:solidFill>
                          <w14:schemeClr w14:val="tx1"/>
                        </w14:solidFill>
                      </w14:textFill>
                    </w:rPr>
                    <w:t>郪江大英县郪江口控制单元</w:t>
                  </w:r>
                </w:p>
              </w:tc>
              <w:tc>
                <w:tcPr>
                  <w:tcW w:w="710" w:type="pct"/>
                  <w:tcBorders>
                    <w:top w:val="single" w:color="auto" w:sz="4" w:space="0"/>
                    <w:left w:val="single" w:color="auto" w:sz="4" w:space="0"/>
                    <w:bottom w:val="single" w:color="auto" w:sz="4" w:space="0"/>
                    <w:right w:val="single" w:color="auto" w:sz="4" w:space="0"/>
                  </w:tcBorders>
                  <w:vAlign w:val="center"/>
                </w:tcPr>
                <w:p w14:paraId="4EB638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遂宁市</w:t>
                  </w:r>
                </w:p>
              </w:tc>
              <w:tc>
                <w:tcPr>
                  <w:tcW w:w="415" w:type="pct"/>
                  <w:tcBorders>
                    <w:top w:val="single" w:color="auto" w:sz="4" w:space="0"/>
                    <w:left w:val="single" w:color="auto" w:sz="4" w:space="0"/>
                    <w:bottom w:val="single" w:color="auto" w:sz="4" w:space="0"/>
                    <w:right w:val="single" w:color="auto" w:sz="4" w:space="0"/>
                  </w:tcBorders>
                  <w:vAlign w:val="center"/>
                </w:tcPr>
                <w:p w14:paraId="640FB1F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w:t>
                  </w:r>
                </w:p>
              </w:tc>
              <w:tc>
                <w:tcPr>
                  <w:tcW w:w="717" w:type="pct"/>
                  <w:tcBorders>
                    <w:top w:val="single" w:color="auto" w:sz="4" w:space="0"/>
                    <w:left w:val="single" w:color="auto" w:sz="4" w:space="0"/>
                    <w:bottom w:val="single" w:color="auto" w:sz="4" w:space="0"/>
                    <w:right w:val="single" w:color="auto" w:sz="4" w:space="0"/>
                  </w:tcBorders>
                  <w:vAlign w:val="center"/>
                </w:tcPr>
                <w:p w14:paraId="078799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水环境管控分区</w:t>
                  </w:r>
                </w:p>
              </w:tc>
              <w:tc>
                <w:tcPr>
                  <w:tcW w:w="991" w:type="pct"/>
                  <w:tcBorders>
                    <w:top w:val="single" w:color="auto" w:sz="4" w:space="0"/>
                    <w:left w:val="single" w:color="auto" w:sz="4" w:space="0"/>
                    <w:bottom w:val="single" w:color="auto" w:sz="4" w:space="0"/>
                    <w:right w:val="single" w:color="auto" w:sz="4" w:space="0"/>
                  </w:tcBorders>
                  <w:vAlign w:val="center"/>
                </w:tcPr>
                <w:p w14:paraId="6E30F6A7">
                  <w:pP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水环境农业污染重点管控区</w:t>
                  </w:r>
                </w:p>
              </w:tc>
            </w:tr>
            <w:tr w14:paraId="20B0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91" w:type="pct"/>
                  <w:tcBorders>
                    <w:top w:val="single" w:color="auto" w:sz="4" w:space="0"/>
                    <w:left w:val="single" w:color="auto" w:sz="4" w:space="0"/>
                    <w:bottom w:val="single" w:color="auto" w:sz="4" w:space="0"/>
                    <w:right w:val="single" w:color="auto" w:sz="4" w:space="0"/>
                  </w:tcBorders>
                  <w:vAlign w:val="center"/>
                </w:tcPr>
                <w:p w14:paraId="23284543">
                  <w:pPr>
                    <w:rPr>
                      <w:color w:val="000000" w:themeColor="text1"/>
                      <w:szCs w:val="21"/>
                      <w14:textFill>
                        <w14:solidFill>
                          <w14:schemeClr w14:val="tx1"/>
                        </w14:solidFill>
                      </w14:textFill>
                    </w:rPr>
                  </w:pPr>
                  <w:r>
                    <w:rPr>
                      <w:color w:val="000000" w:themeColor="text1"/>
                      <w:szCs w:val="21"/>
                      <w14:textFill>
                        <w14:solidFill>
                          <w14:schemeClr w14:val="tx1"/>
                        </w14:solidFill>
                      </w14:textFill>
                    </w:rPr>
                    <w:t>YS5109233310001</w:t>
                  </w:r>
                </w:p>
              </w:tc>
              <w:tc>
                <w:tcPr>
                  <w:tcW w:w="976" w:type="pct"/>
                  <w:tcBorders>
                    <w:top w:val="single" w:color="auto" w:sz="4" w:space="0"/>
                    <w:left w:val="single" w:color="auto" w:sz="4" w:space="0"/>
                    <w:bottom w:val="single" w:color="auto" w:sz="4" w:space="0"/>
                    <w:right w:val="single" w:color="auto" w:sz="4" w:space="0"/>
                  </w:tcBorders>
                  <w:vAlign w:val="center"/>
                </w:tcPr>
                <w:p w14:paraId="56B17C66">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大英县大气环境一般管控区</w:t>
                  </w:r>
                </w:p>
              </w:tc>
              <w:tc>
                <w:tcPr>
                  <w:tcW w:w="710" w:type="pct"/>
                  <w:tcBorders>
                    <w:top w:val="single" w:color="auto" w:sz="4" w:space="0"/>
                    <w:left w:val="single" w:color="auto" w:sz="4" w:space="0"/>
                    <w:bottom w:val="single" w:color="auto" w:sz="4" w:space="0"/>
                    <w:right w:val="single" w:color="auto" w:sz="4" w:space="0"/>
                  </w:tcBorders>
                  <w:vAlign w:val="center"/>
                </w:tcPr>
                <w:p w14:paraId="30E846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遂宁市</w:t>
                  </w:r>
                </w:p>
              </w:tc>
              <w:tc>
                <w:tcPr>
                  <w:tcW w:w="415" w:type="pct"/>
                  <w:tcBorders>
                    <w:top w:val="single" w:color="auto" w:sz="4" w:space="0"/>
                    <w:left w:val="single" w:color="auto" w:sz="4" w:space="0"/>
                    <w:bottom w:val="single" w:color="auto" w:sz="4" w:space="0"/>
                    <w:right w:val="single" w:color="auto" w:sz="4" w:space="0"/>
                  </w:tcBorders>
                  <w:vAlign w:val="center"/>
                </w:tcPr>
                <w:p w14:paraId="2C449C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w:t>
                  </w:r>
                </w:p>
              </w:tc>
              <w:tc>
                <w:tcPr>
                  <w:tcW w:w="717" w:type="pct"/>
                  <w:tcBorders>
                    <w:top w:val="single" w:color="auto" w:sz="4" w:space="0"/>
                    <w:left w:val="single" w:color="auto" w:sz="4" w:space="0"/>
                    <w:bottom w:val="single" w:color="auto" w:sz="4" w:space="0"/>
                    <w:right w:val="single" w:color="auto" w:sz="4" w:space="0"/>
                  </w:tcBorders>
                  <w:vAlign w:val="center"/>
                </w:tcPr>
                <w:p w14:paraId="2AF8C6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大气环境管控分区</w:t>
                  </w:r>
                </w:p>
              </w:tc>
              <w:tc>
                <w:tcPr>
                  <w:tcW w:w="991" w:type="pct"/>
                  <w:tcBorders>
                    <w:top w:val="single" w:color="auto" w:sz="4" w:space="0"/>
                    <w:left w:val="single" w:color="auto" w:sz="4" w:space="0"/>
                    <w:bottom w:val="single" w:color="auto" w:sz="4" w:space="0"/>
                    <w:right w:val="single" w:color="auto" w:sz="4" w:space="0"/>
                  </w:tcBorders>
                  <w:vAlign w:val="center"/>
                </w:tcPr>
                <w:p w14:paraId="5C1BA4A2">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大气环境一般管控区</w:t>
                  </w:r>
                </w:p>
              </w:tc>
            </w:tr>
            <w:tr w14:paraId="019B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91" w:type="pct"/>
                  <w:tcBorders>
                    <w:top w:val="single" w:color="auto" w:sz="4" w:space="0"/>
                    <w:left w:val="single" w:color="auto" w:sz="4" w:space="0"/>
                    <w:bottom w:val="single" w:color="auto" w:sz="4" w:space="0"/>
                    <w:right w:val="single" w:color="auto" w:sz="4" w:space="0"/>
                  </w:tcBorders>
                  <w:vAlign w:val="center"/>
                </w:tcPr>
                <w:p w14:paraId="38441FBA">
                  <w:pPr>
                    <w:rPr>
                      <w:color w:val="000000" w:themeColor="text1"/>
                      <w:szCs w:val="21"/>
                      <w14:textFill>
                        <w14:solidFill>
                          <w14:schemeClr w14:val="tx1"/>
                        </w14:solidFill>
                      </w14:textFill>
                    </w:rPr>
                  </w:pPr>
                  <w:r>
                    <w:rPr>
                      <w:color w:val="000000" w:themeColor="text1"/>
                      <w:szCs w:val="21"/>
                      <w14:textFill>
                        <w14:solidFill>
                          <w14:schemeClr w14:val="tx1"/>
                        </w14:solidFill>
                      </w14:textFill>
                    </w:rPr>
                    <w:t>YS5109231410005</w:t>
                  </w:r>
                </w:p>
              </w:tc>
              <w:tc>
                <w:tcPr>
                  <w:tcW w:w="976" w:type="pct"/>
                  <w:tcBorders>
                    <w:top w:val="single" w:color="auto" w:sz="4" w:space="0"/>
                    <w:left w:val="single" w:color="auto" w:sz="4" w:space="0"/>
                    <w:bottom w:val="single" w:color="auto" w:sz="4" w:space="0"/>
                    <w:right w:val="single" w:color="auto" w:sz="4" w:space="0"/>
                  </w:tcBorders>
                  <w:vAlign w:val="center"/>
                </w:tcPr>
                <w:p w14:paraId="35EC5DFA">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大英县土壤优先保护区</w:t>
                  </w:r>
                </w:p>
              </w:tc>
              <w:tc>
                <w:tcPr>
                  <w:tcW w:w="710" w:type="pct"/>
                  <w:tcBorders>
                    <w:top w:val="single" w:color="auto" w:sz="4" w:space="0"/>
                    <w:left w:val="single" w:color="auto" w:sz="4" w:space="0"/>
                    <w:bottom w:val="single" w:color="auto" w:sz="4" w:space="0"/>
                    <w:right w:val="single" w:color="auto" w:sz="4" w:space="0"/>
                  </w:tcBorders>
                  <w:vAlign w:val="center"/>
                </w:tcPr>
                <w:p w14:paraId="44731E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遂宁市</w:t>
                  </w:r>
                </w:p>
              </w:tc>
              <w:tc>
                <w:tcPr>
                  <w:tcW w:w="415" w:type="pct"/>
                  <w:tcBorders>
                    <w:top w:val="single" w:color="auto" w:sz="4" w:space="0"/>
                    <w:left w:val="single" w:color="auto" w:sz="4" w:space="0"/>
                    <w:bottom w:val="single" w:color="auto" w:sz="4" w:space="0"/>
                    <w:right w:val="single" w:color="auto" w:sz="4" w:space="0"/>
                  </w:tcBorders>
                  <w:vAlign w:val="center"/>
                </w:tcPr>
                <w:p w14:paraId="4A0296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大英县</w:t>
                  </w:r>
                </w:p>
              </w:tc>
              <w:tc>
                <w:tcPr>
                  <w:tcW w:w="717" w:type="pct"/>
                  <w:tcBorders>
                    <w:top w:val="single" w:color="auto" w:sz="4" w:space="0"/>
                    <w:left w:val="single" w:color="auto" w:sz="4" w:space="0"/>
                    <w:bottom w:val="single" w:color="auto" w:sz="4" w:space="0"/>
                    <w:right w:val="single" w:color="auto" w:sz="4" w:space="0"/>
                  </w:tcBorders>
                  <w:vAlign w:val="center"/>
                </w:tcPr>
                <w:p w14:paraId="220125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土壤污染风险管控分区</w:t>
                  </w:r>
                </w:p>
              </w:tc>
              <w:tc>
                <w:tcPr>
                  <w:tcW w:w="991" w:type="pct"/>
                  <w:tcBorders>
                    <w:top w:val="single" w:color="auto" w:sz="4" w:space="0"/>
                    <w:left w:val="single" w:color="auto" w:sz="4" w:space="0"/>
                    <w:bottom w:val="single" w:color="auto" w:sz="4" w:space="0"/>
                    <w:right w:val="single" w:color="auto" w:sz="4" w:space="0"/>
                  </w:tcBorders>
                  <w:vAlign w:val="center"/>
                </w:tcPr>
                <w:p w14:paraId="7CC5F6EC">
                  <w:pPr>
                    <w:rPr>
                      <w:color w:val="000000" w:themeColor="text1"/>
                      <w:szCs w:val="21"/>
                      <w14:textFill>
                        <w14:solidFill>
                          <w14:schemeClr w14:val="tx1"/>
                        </w14:solidFill>
                      </w14:textFill>
                    </w:rPr>
                  </w:pPr>
                  <w:r>
                    <w:rPr>
                      <w:color w:val="000000" w:themeColor="text1"/>
                      <w:szCs w:val="21"/>
                      <w14:textFill>
                        <w14:solidFill>
                          <w14:schemeClr w14:val="tx1"/>
                        </w14:solidFill>
                      </w14:textFill>
                    </w:rPr>
                    <w:t>农用地优先保护区</w:t>
                  </w:r>
                </w:p>
              </w:tc>
            </w:tr>
          </w:tbl>
          <w:p w14:paraId="29EC55EA">
            <w:pPr>
              <w:spacing w:before="120" w:beforeLines="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表1-7项目与遂宁市管控单元总体生态环境准入清单普适性管控要求的符合性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579"/>
              <w:gridCol w:w="5097"/>
              <w:gridCol w:w="854"/>
              <w:gridCol w:w="783"/>
            </w:tblGrid>
            <w:tr w14:paraId="3546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6C1FB8A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569" w:type="pct"/>
                  <w:gridSpan w:val="2"/>
                  <w:vAlign w:val="center"/>
                </w:tcPr>
                <w:p w14:paraId="744CFA52">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普适性管控要求</w:t>
                  </w:r>
                </w:p>
              </w:tc>
              <w:tc>
                <w:tcPr>
                  <w:tcW w:w="537" w:type="pct"/>
                  <w:vAlign w:val="center"/>
                </w:tcPr>
                <w:p w14:paraId="361DC7E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493" w:type="pct"/>
                  <w:vAlign w:val="center"/>
                </w:tcPr>
                <w:p w14:paraId="446EA1C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4A83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06B45CF2">
                  <w:pP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64" w:type="pct"/>
                  <w:vAlign w:val="center"/>
                </w:tcPr>
                <w:p w14:paraId="15411F4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空间布局约束</w:t>
                  </w:r>
                </w:p>
              </w:tc>
              <w:tc>
                <w:tcPr>
                  <w:tcW w:w="3205" w:type="pct"/>
                  <w:vAlign w:val="center"/>
                </w:tcPr>
                <w:p w14:paraId="17976A5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禁止开发建设活动的要求</w:t>
                  </w:r>
                </w:p>
                <w:p w14:paraId="71CA7420">
                  <w:pPr>
                    <w:rPr>
                      <w:color w:val="000000" w:themeColor="text1"/>
                      <w:szCs w:val="21"/>
                      <w14:textFill>
                        <w14:solidFill>
                          <w14:schemeClr w14:val="tx1"/>
                        </w14:solidFill>
                      </w14:textFill>
                    </w:rPr>
                  </w:pPr>
                  <w:r>
                    <w:rPr>
                      <w:color w:val="000000" w:themeColor="text1"/>
                      <w:szCs w:val="21"/>
                      <w14:textFill>
                        <w14:solidFill>
                          <w14:schemeClr w14:val="tx1"/>
                        </w14:solidFill>
                      </w14:textFill>
                    </w:rPr>
                    <w:t>1.禁止在法律法规规定的禁采区内新建矿山；禁止土法采、选、冶严重污染环境的矿产资源。</w:t>
                  </w:r>
                </w:p>
                <w:p w14:paraId="6EBE9700">
                  <w:pPr>
                    <w:rPr>
                      <w:color w:val="000000" w:themeColor="text1"/>
                      <w:szCs w:val="21"/>
                      <w14:textFill>
                        <w14:solidFill>
                          <w14:schemeClr w14:val="tx1"/>
                        </w14:solidFill>
                      </w14:textFill>
                    </w:rPr>
                  </w:pPr>
                  <w:r>
                    <w:rPr>
                      <w:color w:val="000000" w:themeColor="text1"/>
                      <w:szCs w:val="21"/>
                      <w14:textFill>
                        <w14:solidFill>
                          <w14:schemeClr w14:val="tx1"/>
                        </w14:solidFill>
                      </w14:textFill>
                    </w:rPr>
                    <w:t>2.涉及永久基本农田的区域，除法律规定的重点建设项目选址确实无法避让外，其他任何建设不得占用。</w:t>
                  </w:r>
                </w:p>
                <w:p w14:paraId="5AD437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3.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164EEED4">
                  <w:pP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限制开发建设活动的要求</w:t>
                  </w:r>
                </w:p>
                <w:p w14:paraId="6FDFC935">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1.单元内如新布局工业园区，应充分论证选址的环境合理性。</w:t>
                  </w:r>
                </w:p>
                <w:p w14:paraId="1A3E6981">
                  <w:pPr>
                    <w:rPr>
                      <w:color w:val="000000" w:themeColor="text1"/>
                      <w:szCs w:val="21"/>
                      <w14:textFill>
                        <w14:solidFill>
                          <w14:schemeClr w14:val="tx1"/>
                        </w14:solidFill>
                      </w14:textFill>
                    </w:rPr>
                  </w:pPr>
                  <w:r>
                    <w:rPr>
                      <w:color w:val="000000" w:themeColor="text1"/>
                      <w:szCs w:val="21"/>
                      <w14:textFill>
                        <w14:solidFill>
                          <w14:schemeClr w14:val="tx1"/>
                        </w14:solidFill>
                      </w14:textFill>
                    </w:rPr>
                    <w:t>2.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14:paraId="43D417A3">
                  <w:pPr>
                    <w:rPr>
                      <w:color w:val="000000" w:themeColor="text1"/>
                      <w:szCs w:val="21"/>
                      <w14:textFill>
                        <w14:solidFill>
                          <w14:schemeClr w14:val="tx1"/>
                        </w14:solidFill>
                      </w14:textFill>
                    </w:rPr>
                  </w:pPr>
                  <w:r>
                    <w:rPr>
                      <w:color w:val="000000" w:themeColor="text1"/>
                      <w:szCs w:val="21"/>
                      <w14:textFill>
                        <w14:solidFill>
                          <w14:schemeClr w14:val="tx1"/>
                        </w14:solidFill>
                      </w14:textFill>
                    </w:rPr>
                    <w:t>3.严控在长江及主要支流岸线1公里范围内新建石油化工、煤化工、涉磷、造纸、印染、制革等项目。</w:t>
                  </w:r>
                </w:p>
                <w:p w14:paraId="4B13D80E">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不符合空间布局要求活动的退出要求</w:t>
                  </w:r>
                </w:p>
                <w:p w14:paraId="3AE4772E">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1.全面取缔禁养区内规模化畜禽养殖场。</w:t>
                  </w:r>
                </w:p>
                <w:p w14:paraId="33B01C1C">
                  <w:pPr>
                    <w:rPr>
                      <w:color w:val="000000" w:themeColor="text1"/>
                      <w:szCs w:val="21"/>
                      <w14:textFill>
                        <w14:solidFill>
                          <w14:schemeClr w14:val="tx1"/>
                        </w14:solidFill>
                      </w14:textFill>
                    </w:rPr>
                  </w:pPr>
                  <w:r>
                    <w:rPr>
                      <w:color w:val="000000" w:themeColor="text1"/>
                      <w:szCs w:val="21"/>
                      <w14:textFill>
                        <w14:solidFill>
                          <w14:schemeClr w14:val="tx1"/>
                        </w14:solidFill>
                      </w14:textFill>
                    </w:rPr>
                    <w:t>2.完成全域内“散乱污”企业整治工作。</w:t>
                  </w:r>
                </w:p>
                <w:p w14:paraId="738F31A3">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其他空间布局约束要求</w:t>
                  </w:r>
                </w:p>
                <w:p w14:paraId="36EA669B">
                  <w:pPr>
                    <w:rPr>
                      <w:color w:val="000000" w:themeColor="text1"/>
                      <w:szCs w:val="21"/>
                      <w14:textFill>
                        <w14:solidFill>
                          <w14:schemeClr w14:val="tx1"/>
                        </w14:solidFill>
                      </w14:textFill>
                    </w:rPr>
                  </w:pPr>
                  <w:r>
                    <w:rPr>
                      <w:color w:val="000000" w:themeColor="text1"/>
                      <w:szCs w:val="21"/>
                      <w14:textFill>
                        <w14:solidFill>
                          <w14:schemeClr w14:val="tx1"/>
                        </w14:solidFill>
                      </w14:textFill>
                    </w:rPr>
                    <w:t>暂无</w:t>
                  </w:r>
                </w:p>
              </w:tc>
              <w:tc>
                <w:tcPr>
                  <w:tcW w:w="537" w:type="pct"/>
                  <w:vAlign w:val="center"/>
                </w:tcPr>
                <w:p w14:paraId="04FB417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本项目不涉及基本农田，本项目不属于高污染，高耗水行业</w:t>
                  </w:r>
                </w:p>
              </w:tc>
              <w:tc>
                <w:tcPr>
                  <w:tcW w:w="493" w:type="pct"/>
                  <w:vAlign w:val="center"/>
                </w:tcPr>
                <w:p w14:paraId="2D20350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6EB0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5B62DD4D">
                  <w:pP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64" w:type="pct"/>
                  <w:vAlign w:val="center"/>
                </w:tcPr>
                <w:p w14:paraId="5DD8224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3205" w:type="pct"/>
                  <w:vAlign w:val="center"/>
                </w:tcPr>
                <w:p w14:paraId="7038365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允许排放量要求</w:t>
                  </w:r>
                </w:p>
                <w:p w14:paraId="23A5D5E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暂无</w:t>
                  </w:r>
                </w:p>
                <w:p w14:paraId="3F4BDB3A">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现有源提标升级改造</w:t>
                  </w:r>
                </w:p>
                <w:p w14:paraId="67B4A52D">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1.水环境：</w:t>
                  </w:r>
                </w:p>
                <w:p w14:paraId="4E171DA4">
                  <w:pPr>
                    <w:rPr>
                      <w:color w:val="000000" w:themeColor="text1"/>
                      <w:szCs w:val="21"/>
                      <w14:textFill>
                        <w14:solidFill>
                          <w14:schemeClr w14:val="tx1"/>
                        </w14:solidFill>
                      </w14:textFill>
                    </w:rPr>
                  </w:pPr>
                  <w:r>
                    <w:rPr>
                      <w:color w:val="000000" w:themeColor="text1"/>
                      <w:szCs w:val="21"/>
                      <w14:textFill>
                        <w14:solidFill>
                          <w14:schemeClr w14:val="tx1"/>
                        </w14:solidFill>
                      </w14:textFill>
                    </w:rPr>
                    <w:t>加快现有乡镇污水处理设施升级改造，按要求达《城镇污水处理厂污染物排放标准》一级A标后排放。</w:t>
                  </w:r>
                </w:p>
                <w:p w14:paraId="0C7816A2">
                  <w:pPr>
                    <w:rPr>
                      <w:color w:val="000000" w:themeColor="text1"/>
                      <w:szCs w:val="21"/>
                      <w14:textFill>
                        <w14:solidFill>
                          <w14:schemeClr w14:val="tx1"/>
                        </w14:solidFill>
                      </w14:textFill>
                    </w:rPr>
                  </w:pPr>
                  <w:r>
                    <w:rPr>
                      <w:color w:val="000000" w:themeColor="text1"/>
                      <w:szCs w:val="21"/>
                      <w14:textFill>
                        <w14:solidFill>
                          <w14:schemeClr w14:val="tx1"/>
                        </w14:solidFill>
                      </w14:textFill>
                    </w:rPr>
                    <w:t>2.大气环境：</w:t>
                  </w:r>
                </w:p>
                <w:p w14:paraId="592A693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（1）火电、水泥等行业按相关要求推进大气污染物超低排放和深度治理。（2）砖瓦行业实施脱硫、除尘升级改造，污染物排放达到《砖瓦工业大气污染物排放标准》。</w:t>
                  </w:r>
                </w:p>
                <w:p w14:paraId="7903AA51">
                  <w:pPr>
                    <w:rPr>
                      <w:color w:val="000000" w:themeColor="text1"/>
                      <w:szCs w:val="21"/>
                      <w14:textFill>
                        <w14:solidFill>
                          <w14:schemeClr w14:val="tx1"/>
                        </w14:solidFill>
                      </w14:textFill>
                    </w:rPr>
                  </w:pPr>
                  <w:r>
                    <w:rPr>
                      <w:color w:val="000000" w:themeColor="text1"/>
                      <w:szCs w:val="21"/>
                      <w14:textFill>
                        <w14:solidFill>
                          <w14:schemeClr w14:val="tx1"/>
                        </w14:solidFill>
                      </w14:textFill>
                    </w:rPr>
                    <w:t>（3）对污染防治设施不完备、但有升级改造价值的，一律停产整顿、限期治理，逾期仍不能达标排放的坚决关停。（4）对达标治理无望、偷排直排的工业摊点和小作坊、按照“两断三清”标准，一律关停取缔，由相关部门依法予以查处。</w:t>
                  </w:r>
                </w:p>
                <w:p w14:paraId="1C8321F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其他污染物排放管控要求</w:t>
                  </w:r>
                </w:p>
                <w:p w14:paraId="1316419F">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423BB730">
                  <w:pPr>
                    <w:rPr>
                      <w:color w:val="000000" w:themeColor="text1"/>
                      <w:szCs w:val="21"/>
                      <w14:textFill>
                        <w14:solidFill>
                          <w14:schemeClr w14:val="tx1"/>
                        </w14:solidFill>
                      </w14:textFill>
                    </w:rPr>
                  </w:pPr>
                  <w:r>
                    <w:rPr>
                      <w:color w:val="000000" w:themeColor="text1"/>
                      <w:szCs w:val="21"/>
                      <w14:textFill>
                        <w14:solidFill>
                          <w14:schemeClr w14:val="tx1"/>
                        </w14:solidFill>
                      </w14:textFill>
                    </w:rPr>
                    <w:t>2.污染物排放绩效水平准入要求：（1）秋冬季节，水泥（含特种水泥，不含粉磨站、粉磨工序和协同处置城市垃圾或危险废物生产线）严格实施停产50天；砖瓦窑（不含以粉煤灰为主要原料的砖瓦企业）全面停产。对2018年10月底前稳定达到特别排放限值的水泥企业和燃烧锅炉，原则上可不再实施错峰生产，但要按当地重污染天气应急预案要求参加污染管控。（2）实现乡镇污水处理设施全覆盖，配套建设污水收集管网，乡镇污水处理率达到50%。（3）大中型矿山达到绿色矿山标准，引导小型矿山按照绿色矿山标准规范发展；加强矿山采选废水的处理和综合利用工作，选矿废水全部综合利用，不外排，采矿废水应尽量回用。（4）新、改扩建规模化畜禽养殖场（小区）要实施雨污分流、粪便污水资源化利用；大型规模养殖场粪污处理设施装备配套率达到100%，畜禽粪污基本实现资源化利用；散养密集区要实行畜禽粪便污水分户收集、集中处理利用。（5）到2025年，畜禽粪污综合利用率达到80%。（6）屠宰项目必须配套污水处理设施或进入城市污水管网。（7）主要农作物化肥、农药使用量实现零增长，利用率提高到40%以上，测土配方施肥技术推广覆盖率提高到90%以上，控制农村面源污染，采取灌排分离等措施控制农田氮磷流失。（8）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9）到2025年，废旧农膜回收利用率达到85%以上。</w:t>
                  </w:r>
                </w:p>
              </w:tc>
              <w:tc>
                <w:tcPr>
                  <w:tcW w:w="537" w:type="pct"/>
                  <w:vAlign w:val="center"/>
                </w:tcPr>
                <w:p w14:paraId="17933BD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本项目区域上一年度空气质量达标，废水废气排放满足相应标准要求 </w:t>
                  </w:r>
                </w:p>
              </w:tc>
              <w:tc>
                <w:tcPr>
                  <w:tcW w:w="493" w:type="pct"/>
                  <w:vAlign w:val="center"/>
                </w:tcPr>
                <w:p w14:paraId="7209B39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424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50F12FCB">
                  <w:pP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64" w:type="pct"/>
                  <w:vAlign w:val="center"/>
                </w:tcPr>
                <w:p w14:paraId="1A666EC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环境风险防控</w:t>
                  </w:r>
                </w:p>
              </w:tc>
              <w:tc>
                <w:tcPr>
                  <w:tcW w:w="3205" w:type="pct"/>
                  <w:vAlign w:val="center"/>
                </w:tcPr>
                <w:p w14:paraId="5B883B7E">
                  <w:pPr>
                    <w:rPr>
                      <w:color w:val="000000" w:themeColor="text1"/>
                      <w:szCs w:val="21"/>
                      <w14:textFill>
                        <w14:solidFill>
                          <w14:schemeClr w14:val="tx1"/>
                        </w14:solidFill>
                      </w14:textFill>
                    </w:rPr>
                  </w:pPr>
                  <w:r>
                    <w:rPr>
                      <w:color w:val="000000" w:themeColor="text1"/>
                      <w:szCs w:val="21"/>
                      <w14:textFill>
                        <w14:solidFill>
                          <w14:schemeClr w14:val="tx1"/>
                        </w14:solidFill>
                      </w14:textFill>
                    </w:rPr>
                    <w:t>联防联控要求</w:t>
                  </w:r>
                </w:p>
                <w:p w14:paraId="56102F86">
                  <w:pP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加强成都平原经济区信息共享和联动合作，协力推进产业和能源结构优化调整，加强大气污染源头防控，加强潼遂合作。</w:t>
                  </w:r>
                </w:p>
                <w:p w14:paraId="233C455B">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其他环境风险防控要求</w:t>
                  </w:r>
                </w:p>
                <w:p w14:paraId="7308C870">
                  <w:pPr>
                    <w:rPr>
                      <w:color w:val="000000" w:themeColor="text1"/>
                      <w:szCs w:val="21"/>
                      <w14:textFill>
                        <w14:solidFill>
                          <w14:schemeClr w14:val="tx1"/>
                        </w14:solidFill>
                      </w14:textFill>
                    </w:rPr>
                  </w:pPr>
                  <w:r>
                    <w:rPr>
                      <w:color w:val="000000" w:themeColor="text1"/>
                      <w:szCs w:val="21"/>
                      <w14:textFill>
                        <w14:solidFill>
                          <w14:schemeClr w14:val="tx1"/>
                        </w14:solidFill>
                      </w14:textFill>
                    </w:rPr>
                    <w:t>1.企业环境风险防控要求：（1）工业企业退出用地，应按相关要求进行评估、修复，满足相应用地功能后，方可改变用途。（2）加强“散乱污”企业环境风险防控。（3）列入建设用地土壤污染风险管控和修复名录的地块，不得作为住宅、公共管理与公共服务用地。</w:t>
                  </w:r>
                </w:p>
                <w:p w14:paraId="29BA146C">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用地环境风险防控要求：（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tc>
              <w:tc>
                <w:tcPr>
                  <w:tcW w:w="537" w:type="pct"/>
                  <w:vAlign w:val="center"/>
                </w:tcPr>
                <w:p w14:paraId="642BF7E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本项目固废均合理处置，去向明确，不会对周边外环境产生影响。</w:t>
                  </w:r>
                </w:p>
              </w:tc>
              <w:tc>
                <w:tcPr>
                  <w:tcW w:w="493" w:type="pct"/>
                  <w:vAlign w:val="center"/>
                </w:tcPr>
                <w:p w14:paraId="6B4D911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0F2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15308A46">
                  <w:pP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64" w:type="pct"/>
                  <w:vAlign w:val="center"/>
                </w:tcPr>
                <w:p w14:paraId="7FD6B58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资源开发效率要求</w:t>
                  </w:r>
                </w:p>
              </w:tc>
              <w:tc>
                <w:tcPr>
                  <w:tcW w:w="3205" w:type="pct"/>
                  <w:vAlign w:val="center"/>
                </w:tcPr>
                <w:p w14:paraId="65C2A3EB">
                  <w:pPr>
                    <w:rPr>
                      <w:color w:val="000000" w:themeColor="text1"/>
                      <w:szCs w:val="21"/>
                      <w14:textFill>
                        <w14:solidFill>
                          <w14:schemeClr w14:val="tx1"/>
                        </w14:solidFill>
                      </w14:textFill>
                    </w:rPr>
                  </w:pPr>
                  <w:r>
                    <w:rPr>
                      <w:color w:val="000000" w:themeColor="text1"/>
                      <w:szCs w:val="21"/>
                      <w14:textFill>
                        <w14:solidFill>
                          <w14:schemeClr w14:val="tx1"/>
                        </w14:solidFill>
                      </w14:textFill>
                    </w:rPr>
                    <w:t>2025年，农田灌溉有效利用系数提高到0.554；</w:t>
                  </w:r>
                </w:p>
                <w:p w14:paraId="25785697">
                  <w:pPr>
                    <w:rPr>
                      <w:color w:val="000000" w:themeColor="text1"/>
                      <w:szCs w:val="21"/>
                      <w14:textFill>
                        <w14:solidFill>
                          <w14:schemeClr w14:val="tx1"/>
                        </w14:solidFill>
                      </w14:textFill>
                    </w:rPr>
                  </w:pPr>
                  <w:r>
                    <w:rPr>
                      <w:color w:val="000000" w:themeColor="text1"/>
                      <w:szCs w:val="21"/>
                      <w14:textFill>
                        <w14:solidFill>
                          <w14:schemeClr w14:val="tx1"/>
                        </w14:solidFill>
                      </w14:textFill>
                    </w:rPr>
                    <w:t>2.2030年，农田灌溉水有效利用系数提高到0.6。</w:t>
                  </w:r>
                </w:p>
                <w:p w14:paraId="3FE6AF8C">
                  <w:pP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地下水开采要求</w:t>
                  </w:r>
                </w:p>
                <w:p w14:paraId="306B6589">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全面建设节水型社会，达到合理高效用水。</w:t>
                  </w:r>
                </w:p>
                <w:p w14:paraId="3CD34512">
                  <w:pPr>
                    <w:rPr>
                      <w:color w:val="000000" w:themeColor="text1"/>
                      <w:szCs w:val="21"/>
                      <w14:textFill>
                        <w14:solidFill>
                          <w14:schemeClr w14:val="tx1"/>
                        </w14:solidFill>
                      </w14:textFill>
                    </w:rPr>
                  </w:pPr>
                  <w:r>
                    <w:rPr>
                      <w:color w:val="000000" w:themeColor="text1"/>
                      <w:szCs w:val="21"/>
                      <w14:textFill>
                        <w14:solidFill>
                          <w14:schemeClr w14:val="tx1"/>
                        </w14:solidFill>
                      </w14:textFill>
                    </w:rPr>
                    <w:t>能源利用总量及效率要求</w:t>
                  </w:r>
                </w:p>
                <w:p w14:paraId="1BE1C9A5">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1.推进清洁能源的推广使用，全面推进散煤清洁化整治；禁止新建每小时10蒸吨以下的燃煤锅炉及其他燃煤设施。</w:t>
                  </w:r>
                </w:p>
                <w:p w14:paraId="00F36390">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2.禁止焚烧秸秆和垃圾。全市秸秆综合利用率达到92%以上。</w:t>
                  </w:r>
                </w:p>
                <w:p w14:paraId="35767774">
                  <w:pPr>
                    <w:rPr>
                      <w:color w:val="000000" w:themeColor="text1"/>
                      <w:szCs w:val="21"/>
                      <w14:textFill>
                        <w14:solidFill>
                          <w14:schemeClr w14:val="tx1"/>
                        </w14:solidFill>
                      </w14:textFill>
                    </w:rPr>
                  </w:pPr>
                  <w:r>
                    <w:rPr>
                      <w:color w:val="000000" w:themeColor="text1"/>
                      <w:szCs w:val="21"/>
                      <w14:textFill>
                        <w14:solidFill>
                          <w14:schemeClr w14:val="tx1"/>
                        </w14:solidFill>
                      </w14:textFill>
                    </w:rPr>
                    <w:t>3.现有储油库、油罐车、加油站应全部配置油气回收设施，对已安装的油气回收设施加强运行监管，回收率要达到80%以上。</w:t>
                  </w:r>
                </w:p>
                <w:p w14:paraId="57FB93C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禁燃区要求</w:t>
                  </w:r>
                </w:p>
                <w:p w14:paraId="7DA2703D">
                  <w:pPr>
                    <w:rPr>
                      <w:color w:val="000000" w:themeColor="text1"/>
                      <w:szCs w:val="21"/>
                      <w14:textFill>
                        <w14:solidFill>
                          <w14:schemeClr w14:val="tx1"/>
                        </w14:solidFill>
                      </w14:textFill>
                    </w:rPr>
                  </w:pPr>
                  <w:r>
                    <w:rPr>
                      <w:color w:val="000000" w:themeColor="text1"/>
                      <w:szCs w:val="21"/>
                      <w14:textFill>
                        <w14:solidFill>
                          <w14:schemeClr w14:val="tx1"/>
                        </w14:solidFill>
                      </w14:textFill>
                    </w:rPr>
                    <w:t>1.禁燃区内禁止燃烧以下高污染燃料：</w:t>
                  </w:r>
                </w:p>
                <w:p w14:paraId="4121676B">
                  <w:pPr>
                    <w:rPr>
                      <w:color w:val="000000" w:themeColor="text1"/>
                      <w:szCs w:val="21"/>
                      <w14:textFill>
                        <w14:solidFill>
                          <w14:schemeClr w14:val="tx1"/>
                        </w14:solidFill>
                      </w14:textFill>
                    </w:rPr>
                  </w:pPr>
                  <w:r>
                    <w:rPr>
                      <w:color w:val="000000" w:themeColor="text1"/>
                      <w:szCs w:val="21"/>
                      <w14:textFill>
                        <w14:solidFill>
                          <w14:schemeClr w14:val="tx1"/>
                        </w14:solidFill>
                      </w14:textFill>
                    </w:rPr>
                    <w:t>（1）煤炭及其制品（包括原煤、散煤、煤矸石、煤泥、煤粉、水浆煤、型煤、焦炭、兰炭、油类等常规燃料）。</w:t>
                  </w:r>
                </w:p>
                <w:p w14:paraId="5A99B2CE">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（2）石油焦、油页岩、原油、重油、渣油、煤焦油。</w:t>
                  </w:r>
                </w:p>
                <w:p w14:paraId="209F595C">
                  <w:pPr>
                    <w:rPr>
                      <w:color w:val="000000" w:themeColor="text1"/>
                      <w:szCs w:val="21"/>
                      <w14:textFill>
                        <w14:solidFill>
                          <w14:schemeClr w14:val="tx1"/>
                        </w14:solidFill>
                      </w14:textFill>
                    </w:rPr>
                  </w:pPr>
                  <w:r>
                    <w:rPr>
                      <w:color w:val="000000" w:themeColor="text1"/>
                      <w:szCs w:val="21"/>
                      <w14:textFill>
                        <w14:solidFill>
                          <w14:schemeClr w14:val="tx1"/>
                        </w14:solidFill>
                      </w14:textFill>
                    </w:rPr>
                    <w:t>（3）非专用锅炉或未配置高效除尘设施的专用锅炉燃用的生物质成型燃料。</w:t>
                  </w:r>
                </w:p>
                <w:p w14:paraId="06DBBDF2">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2.禁燃区内禁止新建、扩建燃用高污染燃料的锅炉、炉窑、炉灶等燃烧设施（集中供热、电厂锅炉除外）。</w:t>
                  </w:r>
                </w:p>
                <w:p w14:paraId="3C3E97C1">
                  <w:pPr>
                    <w:rPr>
                      <w:color w:val="000000" w:themeColor="text1"/>
                      <w:szCs w:val="21"/>
                      <w14:textFill>
                        <w14:solidFill>
                          <w14:schemeClr w14:val="tx1"/>
                        </w14:solidFill>
                      </w14:textFill>
                    </w:rPr>
                  </w:pPr>
                  <w:r>
                    <w:rPr>
                      <w:color w:val="000000" w:themeColor="text1"/>
                      <w:szCs w:val="21"/>
                      <w14:textFill>
                        <w14:solidFill>
                          <w14:schemeClr w14:val="tx1"/>
                        </w14:solidFill>
                      </w14:textFill>
                    </w:rPr>
                    <w:t>3.自2020年1月1日起，禁燃区内禁止销售高污染燃料。</w:t>
                  </w:r>
                </w:p>
                <w:p w14:paraId="26EBC277">
                  <w:pPr>
                    <w:rPr>
                      <w:color w:val="000000" w:themeColor="text1"/>
                      <w:szCs w:val="21"/>
                      <w14:textFill>
                        <w14:solidFill>
                          <w14:schemeClr w14:val="tx1"/>
                        </w14:solidFill>
                      </w14:textFill>
                    </w:rPr>
                  </w:pPr>
                  <w:r>
                    <w:rPr>
                      <w:color w:val="000000" w:themeColor="text1"/>
                      <w:szCs w:val="21"/>
                      <w14:textFill>
                        <w14:solidFill>
                          <w14:schemeClr w14:val="tx1"/>
                        </w14:solidFill>
                      </w14:textFill>
                    </w:rPr>
                    <w:t>4.加强对集中供热、电厂锅炉、10蒸吨时以上的在用燃煤锅炉以及改用清洁能源前的在用锅炉等燃烧设施的监管，确保达标排放。</w:t>
                  </w:r>
                </w:p>
                <w:p w14:paraId="268F988B">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其他资源利用效率要求</w:t>
                  </w:r>
                </w:p>
                <w:p w14:paraId="58CFC3CF">
                  <w:pPr>
                    <w:rPr>
                      <w:color w:val="000000" w:themeColor="text1"/>
                      <w:szCs w:val="21"/>
                      <w14:textFill>
                        <w14:solidFill>
                          <w14:schemeClr w14:val="tx1"/>
                        </w14:solidFill>
                      </w14:textFill>
                    </w:rPr>
                  </w:pPr>
                  <w:r>
                    <w:rPr>
                      <w:color w:val="000000" w:themeColor="text1"/>
                      <w:szCs w:val="21"/>
                      <w14:textFill>
                        <w14:solidFill>
                          <w14:schemeClr w14:val="tx1"/>
                        </w14:solidFill>
                      </w14:textFill>
                    </w:rPr>
                    <w:t>暂无</w:t>
                  </w:r>
                </w:p>
              </w:tc>
              <w:tc>
                <w:tcPr>
                  <w:tcW w:w="537" w:type="pct"/>
                  <w:vAlign w:val="center"/>
                </w:tcPr>
                <w:p w14:paraId="2313A18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本项目利用原4蒸吨的燃气锅炉，采用低氮燃烧后达标排放。</w:t>
                  </w:r>
                </w:p>
              </w:tc>
              <w:tc>
                <w:tcPr>
                  <w:tcW w:w="493" w:type="pct"/>
                  <w:vAlign w:val="center"/>
                </w:tcPr>
                <w:p w14:paraId="0CF4FA3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bl>
          <w:p w14:paraId="463EF46F">
            <w:pPr>
              <w:spacing w:before="120" w:beforeLines="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表1-8项目与遂宁市要素重点管控单元的特性管控要求符合性分析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850"/>
              <w:gridCol w:w="877"/>
              <w:gridCol w:w="3683"/>
              <w:gridCol w:w="684"/>
              <w:gridCol w:w="430"/>
            </w:tblGrid>
            <w:tr w14:paraId="2081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DB685A">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134" w:type="dxa"/>
                  <w:vAlign w:val="center"/>
                </w:tcPr>
                <w:p w14:paraId="74C48A4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环境管控单元名称</w:t>
                  </w:r>
                </w:p>
              </w:tc>
              <w:tc>
                <w:tcPr>
                  <w:tcW w:w="877" w:type="dxa"/>
                  <w:vAlign w:val="center"/>
                </w:tcPr>
                <w:p w14:paraId="18ABA70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管控类别</w:t>
                  </w:r>
                </w:p>
              </w:tc>
              <w:tc>
                <w:tcPr>
                  <w:tcW w:w="3683" w:type="dxa"/>
                  <w:vAlign w:val="center"/>
                </w:tcPr>
                <w:p w14:paraId="41EFE31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单元特性管控要求</w:t>
                  </w:r>
                </w:p>
              </w:tc>
              <w:tc>
                <w:tcPr>
                  <w:tcW w:w="0" w:type="auto"/>
                  <w:vAlign w:val="center"/>
                </w:tcPr>
                <w:p w14:paraId="1C80928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0" w:type="auto"/>
                  <w:vAlign w:val="center"/>
                </w:tcPr>
                <w:p w14:paraId="24C1C50A">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2359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73244F2">
                  <w:pP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34" w:type="dxa"/>
                  <w:vMerge w:val="restart"/>
                  <w:vAlign w:val="center"/>
                </w:tcPr>
                <w:p w14:paraId="49EFA9F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ZH51092320005</w:t>
                  </w:r>
                </w:p>
                <w:p w14:paraId="3D0A603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大英县要素重点管控单元</w:t>
                  </w:r>
                </w:p>
              </w:tc>
              <w:tc>
                <w:tcPr>
                  <w:tcW w:w="877" w:type="dxa"/>
                  <w:vAlign w:val="center"/>
                </w:tcPr>
                <w:p w14:paraId="157A83D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空间布局约束</w:t>
                  </w:r>
                </w:p>
              </w:tc>
              <w:tc>
                <w:tcPr>
                  <w:tcW w:w="3683" w:type="dxa"/>
                  <w:vAlign w:val="center"/>
                </w:tcPr>
                <w:p w14:paraId="39E3B62C">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禁止开发建设活动的要求</w:t>
                  </w:r>
                </w:p>
                <w:p w14:paraId="1678038C">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2D2C2148">
                  <w:pP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限制开发建设活动的要求</w:t>
                  </w:r>
                </w:p>
                <w:p w14:paraId="6DAFF909">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2F5B10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允许开发建设活动的要求</w:t>
                  </w:r>
                </w:p>
                <w:p w14:paraId="659D8A8D">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不符合空间布局要求活动的退出要求</w:t>
                  </w:r>
                </w:p>
                <w:p w14:paraId="60D9896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2.其他参照遂宁市总体准入要求-要素重点管控单元</w:t>
                  </w:r>
                </w:p>
                <w:p w14:paraId="02E03D7D">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其他空间布局约束要求</w:t>
                  </w:r>
                </w:p>
              </w:tc>
              <w:tc>
                <w:tcPr>
                  <w:tcW w:w="0" w:type="auto"/>
                  <w:vMerge w:val="restart"/>
                  <w:vAlign w:val="center"/>
                </w:tcPr>
                <w:p w14:paraId="4672B19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本项目建设单位合法，改建后污染物只降不增，项目环境风险可控，污染物达标排放</w:t>
                  </w:r>
                </w:p>
              </w:tc>
              <w:tc>
                <w:tcPr>
                  <w:tcW w:w="0" w:type="auto"/>
                  <w:vMerge w:val="restart"/>
                  <w:vAlign w:val="center"/>
                </w:tcPr>
                <w:p w14:paraId="531BBB0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26C6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8400807">
                  <w:pPr>
                    <w:rPr>
                      <w:color w:val="000000" w:themeColor="text1"/>
                      <w:szCs w:val="21"/>
                      <w14:textFill>
                        <w14:solidFill>
                          <w14:schemeClr w14:val="tx1"/>
                        </w14:solidFill>
                      </w14:textFill>
                    </w:rPr>
                  </w:pPr>
                </w:p>
              </w:tc>
              <w:tc>
                <w:tcPr>
                  <w:tcW w:w="1134" w:type="dxa"/>
                  <w:vMerge w:val="continue"/>
                  <w:vAlign w:val="center"/>
                </w:tcPr>
                <w:p w14:paraId="4C754B3A">
                  <w:pPr>
                    <w:jc w:val="center"/>
                    <w:rPr>
                      <w:b/>
                      <w:bCs/>
                      <w:color w:val="000000" w:themeColor="text1"/>
                      <w:szCs w:val="21"/>
                      <w14:textFill>
                        <w14:solidFill>
                          <w14:schemeClr w14:val="tx1"/>
                        </w14:solidFill>
                      </w14:textFill>
                    </w:rPr>
                  </w:pPr>
                </w:p>
              </w:tc>
              <w:tc>
                <w:tcPr>
                  <w:tcW w:w="877" w:type="dxa"/>
                  <w:vAlign w:val="center"/>
                </w:tcPr>
                <w:p w14:paraId="503D19F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3683" w:type="dxa"/>
                  <w:vAlign w:val="center"/>
                </w:tcPr>
                <w:p w14:paraId="43557BAE">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现有源提标升级改造</w:t>
                  </w:r>
                </w:p>
                <w:p w14:paraId="64C159AC">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1BED5F19">
                  <w:pPr>
                    <w:rPr>
                      <w:color w:val="000000" w:themeColor="text1"/>
                      <w:szCs w:val="21"/>
                      <w14:textFill>
                        <w14:solidFill>
                          <w14:schemeClr w14:val="tx1"/>
                        </w14:solidFill>
                      </w14:textFill>
                    </w:rPr>
                  </w:pPr>
                  <w:r>
                    <w:rPr>
                      <w:color w:val="000000" w:themeColor="text1"/>
                      <w:szCs w:val="21"/>
                      <w14:textFill>
                        <w14:solidFill>
                          <w14:schemeClr w14:val="tx1"/>
                        </w14:solidFill>
                      </w14:textFill>
                    </w:rPr>
                    <w:t>新增源等量或倍量替代</w:t>
                  </w:r>
                </w:p>
                <w:p w14:paraId="59EDC27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115F1D5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新增源排放标准限值</w:t>
                  </w:r>
                </w:p>
                <w:p w14:paraId="5AB4E8F4">
                  <w:pP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污染物排放绩效水平准入要求</w:t>
                  </w:r>
                </w:p>
                <w:p w14:paraId="1E3AC65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6B442A6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其他污染物排放管控要求</w:t>
                  </w:r>
                </w:p>
              </w:tc>
              <w:tc>
                <w:tcPr>
                  <w:tcW w:w="0" w:type="auto"/>
                  <w:vMerge w:val="continue"/>
                  <w:vAlign w:val="center"/>
                </w:tcPr>
                <w:p w14:paraId="6F60F54E">
                  <w:pPr>
                    <w:rPr>
                      <w:color w:val="000000" w:themeColor="text1"/>
                      <w:szCs w:val="21"/>
                      <w14:textFill>
                        <w14:solidFill>
                          <w14:schemeClr w14:val="tx1"/>
                        </w14:solidFill>
                      </w14:textFill>
                    </w:rPr>
                  </w:pPr>
                </w:p>
              </w:tc>
              <w:tc>
                <w:tcPr>
                  <w:tcW w:w="0" w:type="auto"/>
                  <w:vMerge w:val="continue"/>
                  <w:vAlign w:val="center"/>
                </w:tcPr>
                <w:p w14:paraId="48C5D18C">
                  <w:pPr>
                    <w:rPr>
                      <w:color w:val="000000" w:themeColor="text1"/>
                      <w:szCs w:val="21"/>
                      <w14:textFill>
                        <w14:solidFill>
                          <w14:schemeClr w14:val="tx1"/>
                        </w14:solidFill>
                      </w14:textFill>
                    </w:rPr>
                  </w:pPr>
                </w:p>
              </w:tc>
            </w:tr>
            <w:tr w14:paraId="50D9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1E1E1E1">
                  <w:pPr>
                    <w:rPr>
                      <w:color w:val="000000" w:themeColor="text1"/>
                      <w:szCs w:val="21"/>
                      <w14:textFill>
                        <w14:solidFill>
                          <w14:schemeClr w14:val="tx1"/>
                        </w14:solidFill>
                      </w14:textFill>
                    </w:rPr>
                  </w:pPr>
                </w:p>
              </w:tc>
              <w:tc>
                <w:tcPr>
                  <w:tcW w:w="1134" w:type="dxa"/>
                  <w:vMerge w:val="continue"/>
                  <w:vAlign w:val="center"/>
                </w:tcPr>
                <w:p w14:paraId="6FB59B52">
                  <w:pPr>
                    <w:jc w:val="center"/>
                    <w:rPr>
                      <w:color w:val="000000" w:themeColor="text1"/>
                      <w:szCs w:val="21"/>
                      <w14:textFill>
                        <w14:solidFill>
                          <w14:schemeClr w14:val="tx1"/>
                        </w14:solidFill>
                      </w14:textFill>
                    </w:rPr>
                  </w:pPr>
                </w:p>
              </w:tc>
              <w:tc>
                <w:tcPr>
                  <w:tcW w:w="877" w:type="dxa"/>
                  <w:vAlign w:val="center"/>
                </w:tcPr>
                <w:p w14:paraId="2CEAB4F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环境风险防控</w:t>
                  </w:r>
                </w:p>
              </w:tc>
              <w:tc>
                <w:tcPr>
                  <w:tcW w:w="3683" w:type="dxa"/>
                  <w:vAlign w:val="center"/>
                </w:tcPr>
                <w:p w14:paraId="2C10A2EA">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严格管控类农用地管控要求</w:t>
                  </w:r>
                </w:p>
                <w:p w14:paraId="349B96C0">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21768A8F">
                  <w:pPr>
                    <w:rPr>
                      <w:color w:val="000000" w:themeColor="text1"/>
                      <w:szCs w:val="21"/>
                      <w14:textFill>
                        <w14:solidFill>
                          <w14:schemeClr w14:val="tx1"/>
                        </w14:solidFill>
                      </w14:textFill>
                    </w:rPr>
                  </w:pPr>
                  <w:r>
                    <w:rPr>
                      <w:color w:val="000000" w:themeColor="text1"/>
                      <w:szCs w:val="21"/>
                      <w14:textFill>
                        <w14:solidFill>
                          <w14:schemeClr w14:val="tx1"/>
                        </w14:solidFill>
                      </w14:textFill>
                    </w:rPr>
                    <w:t>安全利用类农用地管控要求</w:t>
                  </w:r>
                </w:p>
                <w:p w14:paraId="3E1F4D06">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0FCBBF5C">
                  <w:pP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污染地块管控要求</w:t>
                  </w:r>
                </w:p>
                <w:p w14:paraId="25213904">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3BBDC030">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园区环境风险防控要求</w:t>
                  </w:r>
                </w:p>
                <w:p w14:paraId="1A05E567">
                  <w:pP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企业环境风险防控要求</w:t>
                  </w:r>
                </w:p>
                <w:p w14:paraId="011C299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019CE6EA">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其他环境风险防控要求</w:t>
                  </w:r>
                </w:p>
              </w:tc>
              <w:tc>
                <w:tcPr>
                  <w:tcW w:w="0" w:type="auto"/>
                  <w:vMerge w:val="continue"/>
                  <w:vAlign w:val="center"/>
                </w:tcPr>
                <w:p w14:paraId="015CF02B">
                  <w:pPr>
                    <w:rPr>
                      <w:color w:val="000000" w:themeColor="text1"/>
                      <w:szCs w:val="21"/>
                      <w14:textFill>
                        <w14:solidFill>
                          <w14:schemeClr w14:val="tx1"/>
                        </w14:solidFill>
                      </w14:textFill>
                    </w:rPr>
                  </w:pPr>
                </w:p>
              </w:tc>
              <w:tc>
                <w:tcPr>
                  <w:tcW w:w="0" w:type="auto"/>
                  <w:vAlign w:val="center"/>
                </w:tcPr>
                <w:p w14:paraId="0AAFA5AF">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2135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401F564">
                  <w:pPr>
                    <w:rPr>
                      <w:color w:val="000000" w:themeColor="text1"/>
                      <w:szCs w:val="21"/>
                      <w14:textFill>
                        <w14:solidFill>
                          <w14:schemeClr w14:val="tx1"/>
                        </w14:solidFill>
                      </w14:textFill>
                    </w:rPr>
                  </w:pPr>
                </w:p>
              </w:tc>
              <w:tc>
                <w:tcPr>
                  <w:tcW w:w="1134" w:type="dxa"/>
                  <w:vMerge w:val="continue"/>
                  <w:vAlign w:val="center"/>
                </w:tcPr>
                <w:p w14:paraId="08344BCC">
                  <w:pPr>
                    <w:jc w:val="center"/>
                    <w:rPr>
                      <w:color w:val="000000" w:themeColor="text1"/>
                      <w:szCs w:val="21"/>
                      <w14:textFill>
                        <w14:solidFill>
                          <w14:schemeClr w14:val="tx1"/>
                        </w14:solidFill>
                      </w14:textFill>
                    </w:rPr>
                  </w:pPr>
                </w:p>
              </w:tc>
              <w:tc>
                <w:tcPr>
                  <w:tcW w:w="877" w:type="dxa"/>
                  <w:vAlign w:val="center"/>
                </w:tcPr>
                <w:p w14:paraId="6E9A821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资源开发效率要求</w:t>
                  </w:r>
                </w:p>
              </w:tc>
              <w:tc>
                <w:tcPr>
                  <w:tcW w:w="3683" w:type="dxa"/>
                  <w:vAlign w:val="center"/>
                </w:tcPr>
                <w:p w14:paraId="26D8E3DE">
                  <w:pPr>
                    <w:rPr>
                      <w:color w:val="000000" w:themeColor="text1"/>
                      <w:szCs w:val="21"/>
                      <w14:textFill>
                        <w14:solidFill>
                          <w14:schemeClr w14:val="tx1"/>
                        </w14:solidFill>
                      </w14:textFill>
                    </w:rPr>
                  </w:pPr>
                  <w:r>
                    <w:rPr>
                      <w:color w:val="000000" w:themeColor="text1"/>
                      <w:szCs w:val="21"/>
                      <w14:textFill>
                        <w14:solidFill>
                          <w14:schemeClr w14:val="tx1"/>
                        </w14:solidFill>
                      </w14:textFill>
                    </w:rPr>
                    <w:t>水资源利用效率要求</w:t>
                  </w:r>
                </w:p>
                <w:p w14:paraId="56892B2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6260A783">
                  <w:pP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地下水开采要求</w:t>
                  </w:r>
                </w:p>
                <w:p w14:paraId="4CBC4E41">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（1）大英县2030年地下水开采控制量保持在0.06亿m3以内。（2）全面建设节水型社会，达到合理高效用水。</w:t>
                  </w:r>
                </w:p>
                <w:p w14:paraId="2624D546">
                  <w:pPr>
                    <w:rPr>
                      <w:color w:val="000000" w:themeColor="text1"/>
                      <w:szCs w:val="21"/>
                      <w14:textFill>
                        <w14:solidFill>
                          <w14:schemeClr w14:val="tx1"/>
                        </w14:solidFill>
                      </w14:textFill>
                    </w:rPr>
                  </w:pPr>
                  <w:r>
                    <w:rPr>
                      <w:color w:val="000000" w:themeColor="text1"/>
                      <w:szCs w:val="21"/>
                      <w14:textFill>
                        <w14:solidFill>
                          <w14:schemeClr w14:val="tx1"/>
                        </w14:solidFill>
                      </w14:textFill>
                    </w:rPr>
                    <w:t>能源利用效率要求</w:t>
                  </w:r>
                </w:p>
                <w:p w14:paraId="65D283EC">
                  <w:pPr>
                    <w:rPr>
                      <w:color w:val="000000" w:themeColor="text1"/>
                      <w:szCs w:val="21"/>
                      <w14:textFill>
                        <w14:solidFill>
                          <w14:schemeClr w14:val="tx1"/>
                        </w14:solidFill>
                      </w14:textFill>
                    </w:rPr>
                  </w:pPr>
                  <w:r>
                    <w:rPr>
                      <w:color w:val="000000" w:themeColor="text1"/>
                      <w:szCs w:val="21"/>
                      <w14:textFill>
                        <w14:solidFill>
                          <w14:schemeClr w14:val="tx1"/>
                        </w14:solidFill>
                      </w14:textFill>
                    </w:rPr>
                    <w:t>参照遂宁市总体准入要求-要素重点管控单元</w:t>
                  </w:r>
                </w:p>
                <w:p w14:paraId="5EDDA1D8">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其他资源利用效率要求</w:t>
                  </w:r>
                </w:p>
              </w:tc>
              <w:tc>
                <w:tcPr>
                  <w:tcW w:w="0" w:type="auto"/>
                  <w:vMerge w:val="continue"/>
                  <w:vAlign w:val="center"/>
                </w:tcPr>
                <w:p w14:paraId="240645E9">
                  <w:pPr>
                    <w:rPr>
                      <w:color w:val="000000" w:themeColor="text1"/>
                      <w:szCs w:val="21"/>
                      <w14:textFill>
                        <w14:solidFill>
                          <w14:schemeClr w14:val="tx1"/>
                        </w14:solidFill>
                      </w14:textFill>
                    </w:rPr>
                  </w:pPr>
                </w:p>
              </w:tc>
              <w:tc>
                <w:tcPr>
                  <w:tcW w:w="0" w:type="auto"/>
                  <w:vAlign w:val="center"/>
                </w:tcPr>
                <w:p w14:paraId="574EA822">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41F0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82742DD">
                  <w:pP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34" w:type="dxa"/>
                  <w:vMerge w:val="restart"/>
                  <w:vAlign w:val="center"/>
                </w:tcPr>
                <w:p w14:paraId="670D7B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YS5109232230001</w:t>
                  </w:r>
                </w:p>
                <w:p w14:paraId="253D25F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郪江大英县郪江口控制单元</w:t>
                  </w:r>
                </w:p>
              </w:tc>
              <w:tc>
                <w:tcPr>
                  <w:tcW w:w="877" w:type="dxa"/>
                  <w:vAlign w:val="center"/>
                </w:tcPr>
                <w:p w14:paraId="6E73D362">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空间布局约束</w:t>
                  </w:r>
                </w:p>
              </w:tc>
              <w:tc>
                <w:tcPr>
                  <w:tcW w:w="3683" w:type="dxa"/>
                  <w:vAlign w:val="center"/>
                </w:tcPr>
                <w:p w14:paraId="3F3D7899">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禁止开发建设活动的要求</w:t>
                  </w:r>
                </w:p>
                <w:p w14:paraId="1F92C7C3">
                  <w:pP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限制开发建设活动的要求</w:t>
                  </w:r>
                </w:p>
                <w:p w14:paraId="4BE7F0C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允许开发建设活动的要求</w:t>
                  </w:r>
                </w:p>
                <w:p w14:paraId="36E36E3D">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不符合空间布局要求活动的退出要求</w:t>
                  </w:r>
                </w:p>
                <w:p w14:paraId="3440B7D8">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其他空间布局约束要求</w:t>
                  </w:r>
                </w:p>
              </w:tc>
              <w:tc>
                <w:tcPr>
                  <w:tcW w:w="0" w:type="auto"/>
                  <w:vAlign w:val="center"/>
                </w:tcPr>
                <w:p w14:paraId="4C65CB1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本项目为鼓励类项目</w:t>
                  </w:r>
                </w:p>
              </w:tc>
              <w:tc>
                <w:tcPr>
                  <w:tcW w:w="0" w:type="auto"/>
                  <w:vAlign w:val="center"/>
                </w:tcPr>
                <w:p w14:paraId="1D8DAC42">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4D31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55A4119">
                  <w:pPr>
                    <w:rPr>
                      <w:color w:val="000000" w:themeColor="text1"/>
                      <w:szCs w:val="21"/>
                      <w14:textFill>
                        <w14:solidFill>
                          <w14:schemeClr w14:val="tx1"/>
                        </w14:solidFill>
                      </w14:textFill>
                    </w:rPr>
                  </w:pPr>
                </w:p>
              </w:tc>
              <w:tc>
                <w:tcPr>
                  <w:tcW w:w="1134" w:type="dxa"/>
                  <w:vMerge w:val="continue"/>
                  <w:vAlign w:val="center"/>
                </w:tcPr>
                <w:p w14:paraId="79834888">
                  <w:pPr>
                    <w:jc w:val="center"/>
                    <w:rPr>
                      <w:color w:val="000000" w:themeColor="text1"/>
                      <w:szCs w:val="21"/>
                      <w14:textFill>
                        <w14:solidFill>
                          <w14:schemeClr w14:val="tx1"/>
                        </w14:solidFill>
                      </w14:textFill>
                    </w:rPr>
                  </w:pPr>
                </w:p>
              </w:tc>
              <w:tc>
                <w:tcPr>
                  <w:tcW w:w="877" w:type="dxa"/>
                  <w:vAlign w:val="center"/>
                </w:tcPr>
                <w:p w14:paraId="26FA8CA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3683" w:type="dxa"/>
                  <w:vAlign w:val="center"/>
                </w:tcPr>
                <w:p w14:paraId="3AA3F248">
                  <w:pPr>
                    <w:rPr>
                      <w:color w:val="000000" w:themeColor="text1"/>
                      <w:szCs w:val="21"/>
                      <w14:textFill>
                        <w14:solidFill>
                          <w14:schemeClr w14:val="tx1"/>
                        </w14:solidFill>
                      </w14:textFill>
                    </w:rPr>
                  </w:pPr>
                  <w:r>
                    <w:rPr>
                      <w:color w:val="000000" w:themeColor="text1"/>
                      <w:szCs w:val="21"/>
                      <w14:textFill>
                        <w14:solidFill>
                          <w14:schemeClr w14:val="tx1"/>
                        </w14:solidFill>
                      </w14:textFill>
                    </w:rPr>
                    <w:t>城镇污水污染控制措施要求</w:t>
                  </w:r>
                </w:p>
                <w:p w14:paraId="5651C304">
                  <w:pP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工业废水污染控制措施要求</w:t>
                  </w:r>
                </w:p>
                <w:p w14:paraId="702D28E8">
                  <w:pPr>
                    <w:rPr>
                      <w:color w:val="000000" w:themeColor="text1"/>
                      <w:szCs w:val="21"/>
                      <w14:textFill>
                        <w14:solidFill>
                          <w14:schemeClr w14:val="tx1"/>
                        </w14:solidFill>
                      </w14:textFill>
                    </w:rPr>
                  </w:pPr>
                  <w:r>
                    <w:rPr>
                      <w:color w:val="000000" w:themeColor="text1"/>
                      <w:szCs w:val="21"/>
                      <w14:textFill>
                        <w14:solidFill>
                          <w14:schemeClr w14:val="tx1"/>
                        </w14:solidFill>
                      </w14:textFill>
                    </w:rPr>
                    <w:t>农业面源水污染控制措施要求</w:t>
                  </w:r>
                </w:p>
                <w:p w14:paraId="6B3737FE">
                  <w:pPr>
                    <w:rPr>
                      <w:color w:val="000000" w:themeColor="text1"/>
                      <w:szCs w:val="21"/>
                      <w14:textFill>
                        <w14:solidFill>
                          <w14:schemeClr w14:val="tx1"/>
                        </w14:solidFill>
                      </w14:textFill>
                    </w:rPr>
                  </w:pPr>
                  <w:r>
                    <w:rPr>
                      <w:color w:val="000000" w:themeColor="text1"/>
                      <w:szCs w:val="21"/>
                      <w14:textFill>
                        <w14:solidFill>
                          <w14:schemeClr w14:val="tx1"/>
                        </w14:solidFill>
                      </w14:textFill>
                    </w:rPr>
                    <w:t>控制畜禽养殖源污染，合理布局畜禽养殖规模，单位面积耕地的畜禽承载力不突破《四川省畜禽养殖污染防治技术指南》要求；强化畜禽养殖场污染治理，提高养殖粪污资源化利用率；开展高标准农田改造，减少水土流失，强化农业生产化肥农药施用管控。</w:t>
                  </w:r>
                </w:p>
                <w:p w14:paraId="4DDE6D1C">
                  <w:pPr>
                    <w:rPr>
                      <w:color w:val="000000" w:themeColor="text1"/>
                      <w:szCs w:val="21"/>
                      <w14:textFill>
                        <w14:solidFill>
                          <w14:schemeClr w14:val="tx1"/>
                        </w14:solidFill>
                      </w14:textFill>
                    </w:rPr>
                  </w:pPr>
                  <w:r>
                    <w:rPr>
                      <w:color w:val="000000" w:themeColor="text1"/>
                      <w:szCs w:val="21"/>
                      <w14:textFill>
                        <w14:solidFill>
                          <w14:schemeClr w14:val="tx1"/>
                        </w14:solidFill>
                      </w14:textFill>
                    </w:rPr>
                    <w:t>船舶港口水污染控制措施要求</w:t>
                  </w:r>
                </w:p>
                <w:p w14:paraId="0D7F482F">
                  <w:pPr>
                    <w:rPr>
                      <w:color w:val="000000" w:themeColor="text1"/>
                      <w:szCs w:val="21"/>
                      <w14:textFill>
                        <w14:solidFill>
                          <w14:schemeClr w14:val="tx1"/>
                        </w14:solidFill>
                      </w14:textFill>
                    </w:rPr>
                  </w:pPr>
                  <w:r>
                    <w:rPr>
                      <w:color w:val="000000" w:themeColor="text1"/>
                      <w:szCs w:val="21"/>
                      <w14:textFill>
                        <w14:solidFill>
                          <w14:schemeClr w14:val="tx1"/>
                        </w14:solidFill>
                      </w14:textFill>
                    </w:rPr>
                    <w:t>饮用水水源和其它特殊水体保护要求</w:t>
                  </w:r>
                </w:p>
              </w:tc>
              <w:tc>
                <w:tcPr>
                  <w:tcW w:w="0" w:type="auto"/>
                  <w:vAlign w:val="center"/>
                </w:tcPr>
                <w:p w14:paraId="3D6ABBE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项目污染物达标排放</w:t>
                  </w:r>
                </w:p>
              </w:tc>
              <w:tc>
                <w:tcPr>
                  <w:tcW w:w="0" w:type="auto"/>
                  <w:vAlign w:val="center"/>
                </w:tcPr>
                <w:p w14:paraId="40F650E1">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AB6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DCF6F17">
                  <w:pPr>
                    <w:rPr>
                      <w:color w:val="000000" w:themeColor="text1"/>
                      <w:szCs w:val="21"/>
                      <w14:textFill>
                        <w14:solidFill>
                          <w14:schemeClr w14:val="tx1"/>
                        </w14:solidFill>
                      </w14:textFill>
                    </w:rPr>
                  </w:pPr>
                </w:p>
              </w:tc>
              <w:tc>
                <w:tcPr>
                  <w:tcW w:w="1134" w:type="dxa"/>
                  <w:vMerge w:val="continue"/>
                  <w:vAlign w:val="center"/>
                </w:tcPr>
                <w:p w14:paraId="1B7F6F55">
                  <w:pPr>
                    <w:jc w:val="center"/>
                    <w:rPr>
                      <w:color w:val="000000" w:themeColor="text1"/>
                      <w:szCs w:val="21"/>
                      <w14:textFill>
                        <w14:solidFill>
                          <w14:schemeClr w14:val="tx1"/>
                        </w14:solidFill>
                      </w14:textFill>
                    </w:rPr>
                  </w:pPr>
                </w:p>
              </w:tc>
              <w:tc>
                <w:tcPr>
                  <w:tcW w:w="877" w:type="dxa"/>
                  <w:vAlign w:val="center"/>
                </w:tcPr>
                <w:p w14:paraId="5ADDDB8A">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环境风险防控</w:t>
                  </w:r>
                </w:p>
              </w:tc>
              <w:tc>
                <w:tcPr>
                  <w:tcW w:w="3683" w:type="dxa"/>
                  <w:vAlign w:val="center"/>
                </w:tcPr>
                <w:p w14:paraId="10D89C88">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vAlign w:val="center"/>
                </w:tcPr>
                <w:p w14:paraId="5814F571">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vAlign w:val="center"/>
                </w:tcPr>
                <w:p w14:paraId="2DBBD672">
                  <w:pPr>
                    <w:rPr>
                      <w:color w:val="000000" w:themeColor="text1"/>
                      <w:szCs w:val="21"/>
                      <w14:textFill>
                        <w14:solidFill>
                          <w14:schemeClr w14:val="tx1"/>
                        </w14:solidFill>
                      </w14:textFill>
                    </w:rPr>
                  </w:pPr>
                </w:p>
              </w:tc>
            </w:tr>
            <w:tr w14:paraId="0EAE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22ABEE0">
                  <w:pPr>
                    <w:rPr>
                      <w:color w:val="000000" w:themeColor="text1"/>
                      <w:szCs w:val="21"/>
                      <w14:textFill>
                        <w14:solidFill>
                          <w14:schemeClr w14:val="tx1"/>
                        </w14:solidFill>
                      </w14:textFill>
                    </w:rPr>
                  </w:pPr>
                </w:p>
              </w:tc>
              <w:tc>
                <w:tcPr>
                  <w:tcW w:w="1134" w:type="dxa"/>
                  <w:vMerge w:val="continue"/>
                  <w:vAlign w:val="center"/>
                </w:tcPr>
                <w:p w14:paraId="30502A64">
                  <w:pPr>
                    <w:jc w:val="center"/>
                    <w:rPr>
                      <w:color w:val="000000" w:themeColor="text1"/>
                      <w:szCs w:val="21"/>
                      <w14:textFill>
                        <w14:solidFill>
                          <w14:schemeClr w14:val="tx1"/>
                        </w14:solidFill>
                      </w14:textFill>
                    </w:rPr>
                  </w:pPr>
                </w:p>
              </w:tc>
              <w:tc>
                <w:tcPr>
                  <w:tcW w:w="877" w:type="dxa"/>
                  <w:vAlign w:val="center"/>
                </w:tcPr>
                <w:p w14:paraId="12216A5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资源开发效率要求</w:t>
                  </w:r>
                </w:p>
              </w:tc>
              <w:tc>
                <w:tcPr>
                  <w:tcW w:w="3683" w:type="dxa"/>
                  <w:vAlign w:val="center"/>
                </w:tcPr>
                <w:p w14:paraId="21C0271B">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vAlign w:val="center"/>
                </w:tcPr>
                <w:p w14:paraId="1688E575">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vAlign w:val="center"/>
                </w:tcPr>
                <w:p w14:paraId="2E29AC10">
                  <w:pPr>
                    <w:rPr>
                      <w:color w:val="000000" w:themeColor="text1"/>
                      <w:szCs w:val="21"/>
                      <w14:textFill>
                        <w14:solidFill>
                          <w14:schemeClr w14:val="tx1"/>
                        </w14:solidFill>
                      </w14:textFill>
                    </w:rPr>
                  </w:pPr>
                </w:p>
              </w:tc>
            </w:tr>
            <w:tr w14:paraId="2C30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1A9387A">
                  <w:pP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134" w:type="dxa"/>
                  <w:vMerge w:val="restart"/>
                  <w:vAlign w:val="center"/>
                </w:tcPr>
                <w:p w14:paraId="05584F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YS5109233310001</w:t>
                  </w:r>
                </w:p>
                <w:p w14:paraId="0384517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大英县大气环境一般管控区</w:t>
                  </w:r>
                </w:p>
              </w:tc>
              <w:tc>
                <w:tcPr>
                  <w:tcW w:w="877" w:type="dxa"/>
                  <w:vAlign w:val="center"/>
                </w:tcPr>
                <w:p w14:paraId="6238C8C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空间布局约束</w:t>
                  </w:r>
                </w:p>
              </w:tc>
              <w:tc>
                <w:tcPr>
                  <w:tcW w:w="3683" w:type="dxa"/>
                  <w:vAlign w:val="center"/>
                </w:tcPr>
                <w:p w14:paraId="6E2DEC6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禁止开发建设活动的要求</w:t>
                  </w:r>
                </w:p>
                <w:p w14:paraId="0431BEA7">
                  <w:pP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限制开发建设活动的要求</w:t>
                  </w:r>
                </w:p>
                <w:p w14:paraId="32058285">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允许开发建设活动的要求</w:t>
                  </w:r>
                </w:p>
                <w:p w14:paraId="262375D2">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不符合空间布局要求活动的退出要求</w:t>
                  </w:r>
                </w:p>
                <w:p w14:paraId="397F9182">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其他空间布局约束要求</w:t>
                  </w:r>
                </w:p>
              </w:tc>
              <w:tc>
                <w:tcPr>
                  <w:tcW w:w="0" w:type="auto"/>
                  <w:vAlign w:val="center"/>
                </w:tcPr>
                <w:p w14:paraId="1F1A0D9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本项目为鼓励类项目</w:t>
                  </w:r>
                </w:p>
              </w:tc>
              <w:tc>
                <w:tcPr>
                  <w:tcW w:w="0" w:type="auto"/>
                  <w:vAlign w:val="center"/>
                </w:tcPr>
                <w:p w14:paraId="321F322E">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4BF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B82B0F5">
                  <w:pPr>
                    <w:rPr>
                      <w:color w:val="000000" w:themeColor="text1"/>
                      <w:szCs w:val="21"/>
                      <w14:textFill>
                        <w14:solidFill>
                          <w14:schemeClr w14:val="tx1"/>
                        </w14:solidFill>
                      </w14:textFill>
                    </w:rPr>
                  </w:pPr>
                </w:p>
              </w:tc>
              <w:tc>
                <w:tcPr>
                  <w:tcW w:w="1134" w:type="dxa"/>
                  <w:vMerge w:val="continue"/>
                  <w:vAlign w:val="center"/>
                </w:tcPr>
                <w:p w14:paraId="1A98C49C">
                  <w:pPr>
                    <w:jc w:val="center"/>
                    <w:rPr>
                      <w:color w:val="000000" w:themeColor="text1"/>
                      <w:szCs w:val="21"/>
                      <w14:textFill>
                        <w14:solidFill>
                          <w14:schemeClr w14:val="tx1"/>
                        </w14:solidFill>
                      </w14:textFill>
                    </w:rPr>
                  </w:pPr>
                </w:p>
              </w:tc>
              <w:tc>
                <w:tcPr>
                  <w:tcW w:w="877" w:type="dxa"/>
                  <w:vAlign w:val="center"/>
                </w:tcPr>
                <w:p w14:paraId="43E3D0EA">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3683" w:type="dxa"/>
                  <w:vAlign w:val="center"/>
                </w:tcPr>
                <w:p w14:paraId="1CF368DA">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大气环境质量执行标准</w:t>
                  </w:r>
                </w:p>
                <w:p w14:paraId="751F6096">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《环境空气质量标准》（GB3095-2012）：二级</w:t>
                  </w:r>
                </w:p>
                <w:p w14:paraId="17CEDC89">
                  <w:pP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区域大气污染物削减/替代要求</w:t>
                  </w:r>
                </w:p>
                <w:p w14:paraId="68DF9C05">
                  <w:pPr>
                    <w:rPr>
                      <w:color w:val="000000" w:themeColor="text1"/>
                      <w:szCs w:val="21"/>
                      <w14:textFill>
                        <w14:solidFill>
                          <w14:schemeClr w14:val="tx1"/>
                        </w14:solidFill>
                      </w14:textFill>
                    </w:rPr>
                  </w:pPr>
                  <w:r>
                    <w:rPr>
                      <w:color w:val="000000" w:themeColor="text1"/>
                      <w:szCs w:val="21"/>
                      <w14:textFill>
                        <w14:solidFill>
                          <w14:schemeClr w14:val="tx1"/>
                        </w14:solidFill>
                      </w14:textFill>
                    </w:rPr>
                    <w:t>燃煤和其他能源大气污染控制要求</w:t>
                  </w:r>
                </w:p>
                <w:p w14:paraId="1ACFC6C7">
                  <w:pP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工业废气污染控制要求</w:t>
                  </w:r>
                </w:p>
                <w:p w14:paraId="113BC54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机动车船大气污染控制要求</w:t>
                  </w:r>
                </w:p>
                <w:p w14:paraId="6AEC969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扬尘污染控制要求</w:t>
                  </w:r>
                </w:p>
                <w:p w14:paraId="51D9765D">
                  <w:pPr>
                    <w:rPr>
                      <w:color w:val="000000" w:themeColor="text1"/>
                      <w:szCs w:val="21"/>
                      <w14:textFill>
                        <w14:solidFill>
                          <w14:schemeClr w14:val="tx1"/>
                        </w14:solidFill>
                      </w14:textFill>
                    </w:rPr>
                  </w:pPr>
                  <w:r>
                    <w:rPr>
                      <w:color w:val="000000" w:themeColor="text1"/>
                      <w:szCs w:val="21"/>
                      <w14:textFill>
                        <w14:solidFill>
                          <w14:schemeClr w14:val="tx1"/>
                        </w14:solidFill>
                      </w14:textFill>
                    </w:rPr>
                    <w:t>农业生产经营活动大气污染控制要求</w:t>
                  </w:r>
                </w:p>
                <w:p w14:paraId="5A1E8F94">
                  <w:pP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重点行业企业专项治理要求</w:t>
                  </w:r>
                </w:p>
                <w:p w14:paraId="05737A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其他大气污染物排放管控要求</w:t>
                  </w:r>
                </w:p>
              </w:tc>
              <w:tc>
                <w:tcPr>
                  <w:tcW w:w="0" w:type="auto"/>
                  <w:vAlign w:val="center"/>
                </w:tcPr>
                <w:p w14:paraId="63B642E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项目污染物达标排放</w:t>
                  </w:r>
                </w:p>
              </w:tc>
              <w:tc>
                <w:tcPr>
                  <w:tcW w:w="0" w:type="auto"/>
                  <w:vAlign w:val="center"/>
                </w:tcPr>
                <w:p w14:paraId="3128C613">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770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6514463">
                  <w:pPr>
                    <w:rPr>
                      <w:color w:val="000000" w:themeColor="text1"/>
                      <w:szCs w:val="21"/>
                      <w14:textFill>
                        <w14:solidFill>
                          <w14:schemeClr w14:val="tx1"/>
                        </w14:solidFill>
                      </w14:textFill>
                    </w:rPr>
                  </w:pPr>
                </w:p>
              </w:tc>
              <w:tc>
                <w:tcPr>
                  <w:tcW w:w="1134" w:type="dxa"/>
                  <w:vMerge w:val="continue"/>
                  <w:vAlign w:val="center"/>
                </w:tcPr>
                <w:p w14:paraId="7EBB7377">
                  <w:pPr>
                    <w:jc w:val="center"/>
                    <w:rPr>
                      <w:color w:val="000000" w:themeColor="text1"/>
                      <w:szCs w:val="21"/>
                      <w14:textFill>
                        <w14:solidFill>
                          <w14:schemeClr w14:val="tx1"/>
                        </w14:solidFill>
                      </w14:textFill>
                    </w:rPr>
                  </w:pPr>
                </w:p>
              </w:tc>
              <w:tc>
                <w:tcPr>
                  <w:tcW w:w="877" w:type="dxa"/>
                  <w:vAlign w:val="center"/>
                </w:tcPr>
                <w:p w14:paraId="15DED1B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环境风险防控</w:t>
                  </w:r>
                </w:p>
              </w:tc>
              <w:tc>
                <w:tcPr>
                  <w:tcW w:w="3683" w:type="dxa"/>
                </w:tcPr>
                <w:p w14:paraId="5BC1EA8B">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7D4220D3">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50A58BFA">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042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1068BCD">
                  <w:pPr>
                    <w:rPr>
                      <w:color w:val="000000" w:themeColor="text1"/>
                      <w:szCs w:val="21"/>
                      <w14:textFill>
                        <w14:solidFill>
                          <w14:schemeClr w14:val="tx1"/>
                        </w14:solidFill>
                      </w14:textFill>
                    </w:rPr>
                  </w:pPr>
                </w:p>
              </w:tc>
              <w:tc>
                <w:tcPr>
                  <w:tcW w:w="1134" w:type="dxa"/>
                  <w:vMerge w:val="continue"/>
                  <w:vAlign w:val="center"/>
                </w:tcPr>
                <w:p w14:paraId="2C18AE6C">
                  <w:pPr>
                    <w:jc w:val="center"/>
                    <w:rPr>
                      <w:color w:val="000000" w:themeColor="text1"/>
                      <w:szCs w:val="21"/>
                      <w14:textFill>
                        <w14:solidFill>
                          <w14:schemeClr w14:val="tx1"/>
                        </w14:solidFill>
                      </w14:textFill>
                    </w:rPr>
                  </w:pPr>
                </w:p>
              </w:tc>
              <w:tc>
                <w:tcPr>
                  <w:tcW w:w="877" w:type="dxa"/>
                  <w:vAlign w:val="center"/>
                </w:tcPr>
                <w:p w14:paraId="467E996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资源开发效率要求</w:t>
                  </w:r>
                </w:p>
              </w:tc>
              <w:tc>
                <w:tcPr>
                  <w:tcW w:w="3683" w:type="dxa"/>
                </w:tcPr>
                <w:p w14:paraId="73B848D4">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44A43A2A">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71039845">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409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46B98A2">
                  <w:pP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134" w:type="dxa"/>
                  <w:vMerge w:val="restart"/>
                  <w:vAlign w:val="center"/>
                </w:tcPr>
                <w:p w14:paraId="7F5FCE68">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YS5109231410005</w:t>
                  </w:r>
                  <w:r>
                    <w:rPr>
                      <w:b/>
                      <w:bCs/>
                      <w:color w:val="000000" w:themeColor="text1"/>
                      <w:szCs w:val="21"/>
                      <w14:textFill>
                        <w14:solidFill>
                          <w14:schemeClr w14:val="tx1"/>
                        </w14:solidFill>
                      </w14:textFill>
                    </w:rPr>
                    <w:t>大英县土壤优先保护区</w:t>
                  </w:r>
                </w:p>
              </w:tc>
              <w:tc>
                <w:tcPr>
                  <w:tcW w:w="877" w:type="dxa"/>
                  <w:vAlign w:val="center"/>
                </w:tcPr>
                <w:p w14:paraId="0E950FB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空间布局约束</w:t>
                  </w:r>
                </w:p>
              </w:tc>
              <w:tc>
                <w:tcPr>
                  <w:tcW w:w="3683" w:type="dxa"/>
                  <w:vAlign w:val="center"/>
                </w:tcPr>
                <w:p w14:paraId="04A0381B">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禁止开发建设活动的要求</w:t>
                  </w:r>
                </w:p>
                <w:p w14:paraId="369D354D">
                  <w:pP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限制开发建设活动的要求</w:t>
                  </w:r>
                </w:p>
                <w:p w14:paraId="47646E2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允许开发建设活动的要求</w:t>
                  </w:r>
                </w:p>
                <w:p w14:paraId="447657FF">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不符合空间布局要求活动的退出要求</w:t>
                  </w:r>
                </w:p>
                <w:p w14:paraId="15C36536">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其他空间布局约束要求</w:t>
                  </w:r>
                </w:p>
              </w:tc>
              <w:tc>
                <w:tcPr>
                  <w:tcW w:w="0" w:type="auto"/>
                  <w:vAlign w:val="center"/>
                </w:tcPr>
                <w:p w14:paraId="7996063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本项目为鼓励类项目</w:t>
                  </w:r>
                </w:p>
              </w:tc>
              <w:tc>
                <w:tcPr>
                  <w:tcW w:w="0" w:type="auto"/>
                  <w:vAlign w:val="center"/>
                </w:tcPr>
                <w:p w14:paraId="26BC3BCD">
                  <w:pP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2E06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9241244">
                  <w:pPr>
                    <w:rPr>
                      <w:color w:val="000000" w:themeColor="text1"/>
                      <w:szCs w:val="21"/>
                      <w14:textFill>
                        <w14:solidFill>
                          <w14:schemeClr w14:val="tx1"/>
                        </w14:solidFill>
                      </w14:textFill>
                    </w:rPr>
                  </w:pPr>
                </w:p>
              </w:tc>
              <w:tc>
                <w:tcPr>
                  <w:tcW w:w="1134" w:type="dxa"/>
                  <w:vMerge w:val="continue"/>
                  <w:vAlign w:val="center"/>
                </w:tcPr>
                <w:p w14:paraId="62FF4D20">
                  <w:pPr>
                    <w:jc w:val="center"/>
                    <w:rPr>
                      <w:color w:val="000000" w:themeColor="text1"/>
                      <w:szCs w:val="21"/>
                      <w14:textFill>
                        <w14:solidFill>
                          <w14:schemeClr w14:val="tx1"/>
                        </w14:solidFill>
                      </w14:textFill>
                    </w:rPr>
                  </w:pPr>
                </w:p>
              </w:tc>
              <w:tc>
                <w:tcPr>
                  <w:tcW w:w="877" w:type="dxa"/>
                  <w:vAlign w:val="center"/>
                </w:tcPr>
                <w:p w14:paraId="6C902842">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3683" w:type="dxa"/>
                </w:tcPr>
                <w:p w14:paraId="108984A4">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2F552FBA">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4F1A9267">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20A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FCD2025">
                  <w:pPr>
                    <w:rPr>
                      <w:color w:val="000000" w:themeColor="text1"/>
                      <w:szCs w:val="21"/>
                      <w14:textFill>
                        <w14:solidFill>
                          <w14:schemeClr w14:val="tx1"/>
                        </w14:solidFill>
                      </w14:textFill>
                    </w:rPr>
                  </w:pPr>
                </w:p>
              </w:tc>
              <w:tc>
                <w:tcPr>
                  <w:tcW w:w="1134" w:type="dxa"/>
                  <w:vMerge w:val="continue"/>
                  <w:vAlign w:val="center"/>
                </w:tcPr>
                <w:p w14:paraId="1B41DA92">
                  <w:pPr>
                    <w:jc w:val="center"/>
                    <w:rPr>
                      <w:color w:val="000000" w:themeColor="text1"/>
                      <w:szCs w:val="21"/>
                      <w14:textFill>
                        <w14:solidFill>
                          <w14:schemeClr w14:val="tx1"/>
                        </w14:solidFill>
                      </w14:textFill>
                    </w:rPr>
                  </w:pPr>
                </w:p>
              </w:tc>
              <w:tc>
                <w:tcPr>
                  <w:tcW w:w="877" w:type="dxa"/>
                  <w:vAlign w:val="center"/>
                </w:tcPr>
                <w:p w14:paraId="39B8744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环境风险防控</w:t>
                  </w:r>
                </w:p>
              </w:tc>
              <w:tc>
                <w:tcPr>
                  <w:tcW w:w="3683" w:type="dxa"/>
                </w:tcPr>
                <w:p w14:paraId="507BA5E2">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157DBB52">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7D12BBC4">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5F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A373884">
                  <w:pPr>
                    <w:rPr>
                      <w:color w:val="000000" w:themeColor="text1"/>
                      <w:szCs w:val="21"/>
                      <w14:textFill>
                        <w14:solidFill>
                          <w14:schemeClr w14:val="tx1"/>
                        </w14:solidFill>
                      </w14:textFill>
                    </w:rPr>
                  </w:pPr>
                </w:p>
              </w:tc>
              <w:tc>
                <w:tcPr>
                  <w:tcW w:w="1134" w:type="dxa"/>
                  <w:vMerge w:val="continue"/>
                  <w:vAlign w:val="center"/>
                </w:tcPr>
                <w:p w14:paraId="521D2FA5">
                  <w:pPr>
                    <w:jc w:val="center"/>
                    <w:rPr>
                      <w:color w:val="000000" w:themeColor="text1"/>
                      <w:szCs w:val="21"/>
                      <w14:textFill>
                        <w14:solidFill>
                          <w14:schemeClr w14:val="tx1"/>
                        </w14:solidFill>
                      </w14:textFill>
                    </w:rPr>
                  </w:pPr>
                </w:p>
              </w:tc>
              <w:tc>
                <w:tcPr>
                  <w:tcW w:w="877" w:type="dxa"/>
                  <w:vAlign w:val="center"/>
                </w:tcPr>
                <w:p w14:paraId="54D3C7E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资源开发效率要求</w:t>
                  </w:r>
                </w:p>
              </w:tc>
              <w:tc>
                <w:tcPr>
                  <w:tcW w:w="3683" w:type="dxa"/>
                </w:tcPr>
                <w:p w14:paraId="7B2C94CD">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148A2E72">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0" w:type="auto"/>
                </w:tcPr>
                <w:p w14:paraId="3513D284">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4250B3DA">
            <w:pPr>
              <w:spacing w:before="120" w:beforeLines="50" w:line="360" w:lineRule="auto"/>
              <w:ind w:firstLine="482" w:firstLineChars="200"/>
              <w:rPr>
                <w:rStyle w:val="29"/>
                <w:rFonts w:eastAsiaTheme="minorEastAsia"/>
                <w:b/>
                <w:bCs/>
                <w:color w:val="000000" w:themeColor="text1"/>
                <w:sz w:val="24"/>
                <w:u w:val="none"/>
                <w14:textFill>
                  <w14:solidFill>
                    <w14:schemeClr w14:val="tx1"/>
                  </w14:solidFill>
                </w14:textFill>
              </w:rPr>
            </w:pPr>
            <w:r>
              <w:rPr>
                <w:rFonts w:eastAsiaTheme="minorEastAsia"/>
                <w:b/>
                <w:bCs/>
                <w:color w:val="000000" w:themeColor="text1"/>
                <w:sz w:val="24"/>
                <w14:textFill>
                  <w14:solidFill>
                    <w14:schemeClr w14:val="tx1"/>
                  </w14:solidFill>
                </w14:textFill>
              </w:rPr>
              <w:t>综上，本项目与《</w:t>
            </w:r>
            <w:r>
              <w:rPr>
                <w:rFonts w:eastAsiaTheme="minorEastAsia"/>
                <w:b/>
                <w:bCs/>
                <w:color w:val="000000" w:themeColor="text1"/>
                <w:sz w:val="24"/>
                <w14:textFill>
                  <w14:solidFill>
                    <w14:schemeClr w14:val="tx1"/>
                  </w14:solidFill>
                </w14:textFill>
              </w:rPr>
              <w:fldChar w:fldCharType="begin"/>
            </w:r>
            <w:r>
              <w:rPr>
                <w:rFonts w:eastAsiaTheme="minorEastAsia"/>
                <w:b/>
                <w:bCs/>
                <w:color w:val="000000" w:themeColor="text1"/>
                <w:sz w:val="24"/>
                <w14:textFill>
                  <w14:solidFill>
                    <w14:schemeClr w14:val="tx1"/>
                  </w14:solidFill>
                </w14:textFill>
              </w:rPr>
              <w:instrText xml:space="preserve"> HYPERLINK "https://www.neijiang.gov.cn/njs/zfwj/202107/e24c21d9425844b9ac0c454e3fe8c32b/files/%E5%86%85%E6%B1%9F%E5%B8%82%E4%BA%BA%E6%B0%91%E6%94%BF%E5%BA%9C%E5%85%B3%E4%BA%8E%E8%90%BD%E5%AE%9E%E7%94%9F%E6%80%81%E4%BF%9D%E6%8A%A4%E7%BA%A2%E7%BA%BF%E3%80%81%E7%8E%AF%E5%A2%83%E8%B4%A8%E9%87%8F%E5%BA%95%E7%BA%BF%E3%80%81%E8%B5%84%E6%BA%90%E5%88%A9%E7%94%A8%E4%B8%8A%E7%BA%BF%E5%88%B6%E5%AE%9A%E7%94%9F%E6%80%81%E7%8E%AF%E5%A2%83%E5%87%86%E5%85%A5%E6%B8%85%E5%8D%95%E5%AE%9E%E6%96%BD%E7%94%9F%E6%80%81%E7%8E%AF%E5%A2%83%E5%88%86%E5%8C%BA%E7%AE%A1%E6%8E%A7%E7%9A%84%E9%80%9A%E7%9F%A5%EF%BC%88%E9%99%84%E4%BB%B6%E5%86%85%E5%AE%B9%EF%BC%89.pdf" \t "_blank" </w:instrText>
            </w:r>
            <w:r>
              <w:rPr>
                <w:rFonts w:eastAsiaTheme="minorEastAsia"/>
                <w:b/>
                <w:bCs/>
                <w:color w:val="000000" w:themeColor="text1"/>
                <w:sz w:val="24"/>
                <w14:textFill>
                  <w14:solidFill>
                    <w14:schemeClr w14:val="tx1"/>
                  </w14:solidFill>
                </w14:textFill>
              </w:rPr>
              <w:fldChar w:fldCharType="separate"/>
            </w:r>
            <w:r>
              <w:rPr>
                <w:rStyle w:val="29"/>
                <w:rFonts w:eastAsiaTheme="minorEastAsia"/>
                <w:b/>
                <w:bCs/>
                <w:color w:val="000000" w:themeColor="text1"/>
                <w:sz w:val="24"/>
                <w:u w:val="none"/>
                <w14:textFill>
                  <w14:solidFill>
                    <w14:schemeClr w14:val="tx1"/>
                  </w14:solidFill>
                </w14:textFill>
              </w:rPr>
              <w:t>遂宁市人民政府关于落实生态保护红线、环境质量底线、资源利用上线和生态环境准入清单实施生态环境分区管控的通知》遂府函〔2021〕74号文件的相符。</w:t>
            </w:r>
          </w:p>
          <w:p w14:paraId="68DEDCFD">
            <w:pPr>
              <w:spacing w:line="360" w:lineRule="auto"/>
              <w:rPr>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4、项目与相关行业要求符合性分析</w:t>
            </w:r>
          </w:p>
          <w:p w14:paraId="4DD45D09">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4.1项目与《陆上石油天然气开采钻井废物处置污染控制技术要求》的符合性分析</w:t>
            </w:r>
          </w:p>
          <w:p w14:paraId="664B1356">
            <w:pPr>
              <w:pStyle w:val="2"/>
              <w:ind w:left="0" w:leftChars="0" w:firstLine="0"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表1-9项目与《陆上石油天然气开采钻井废物处置污染控制技术要求》的符合性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646"/>
              <w:gridCol w:w="3419"/>
              <w:gridCol w:w="1279"/>
            </w:tblGrid>
            <w:tr w14:paraId="2A0B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82" w:type="pct"/>
                  <w:vAlign w:val="center"/>
                </w:tcPr>
                <w:p w14:paraId="7BFDA51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664" w:type="pct"/>
                  <w:vAlign w:val="center"/>
                </w:tcPr>
                <w:p w14:paraId="0DD86E2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技术政策要求</w:t>
                  </w:r>
                </w:p>
              </w:tc>
              <w:tc>
                <w:tcPr>
                  <w:tcW w:w="2150" w:type="pct"/>
                  <w:vAlign w:val="center"/>
                </w:tcPr>
                <w:p w14:paraId="3F68342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804" w:type="pct"/>
                  <w:vAlign w:val="center"/>
                </w:tcPr>
                <w:p w14:paraId="6C45C44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4663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14:paraId="0E1C22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64" w:type="pct"/>
                  <w:vAlign w:val="center"/>
                </w:tcPr>
                <w:p w14:paraId="0053AB62">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钻井废物经无害化处置后，对其进行资源化(如作为建筑材料等)利用的，应符合相关质量标准和污染控制标准要求。</w:t>
                  </w:r>
                </w:p>
              </w:tc>
              <w:tc>
                <w:tcPr>
                  <w:tcW w:w="2150" w:type="pct"/>
                  <w:vAlign w:val="center"/>
                </w:tcPr>
                <w:p w14:paraId="6CD2CA28">
                  <w:pPr>
                    <w:jc w:val="left"/>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本项目利用本公司油基岩屑厌氧热回收处理后的干渣经鉴定不属于危废，生产出来的灰砂砖满足《蒸压灰砂实心砖和实心砌块GB/T11945-2019质量要求</w:t>
                  </w:r>
                </w:p>
              </w:tc>
              <w:tc>
                <w:tcPr>
                  <w:tcW w:w="804" w:type="pct"/>
                  <w:vAlign w:val="center"/>
                </w:tcPr>
                <w:p w14:paraId="1B4D899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bl>
          <w:p w14:paraId="3C85EC06">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4.2项目与《四川省页岩气开采业污染防治技术政策》符合性分析</w:t>
            </w:r>
          </w:p>
          <w:p w14:paraId="462C7F8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2018年2月1日，四川省环境保护厅发布了关于发布《四川省页岩气开采业污染防治技术政策》的公告（2018年第3号），本项目与《四川省页岩气开采业污染防治技术政策》符合性分析见下表：</w:t>
            </w:r>
          </w:p>
          <w:p w14:paraId="42FBE8B1">
            <w:pPr>
              <w:spacing w:after="120" w:afterLines="5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表1-10项目与《四川省页岩气开采业污染防治技术政策》的符合性</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8"/>
              <w:gridCol w:w="3620"/>
              <w:gridCol w:w="2564"/>
              <w:gridCol w:w="980"/>
            </w:tblGrid>
            <w:tr w14:paraId="41B96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496" w:type="pct"/>
                  <w:vAlign w:val="center"/>
                </w:tcPr>
                <w:p w14:paraId="5469BB8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276" w:type="pct"/>
                  <w:vAlign w:val="center"/>
                </w:tcPr>
                <w:p w14:paraId="4A48753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技术政策要求</w:t>
                  </w:r>
                </w:p>
              </w:tc>
              <w:tc>
                <w:tcPr>
                  <w:tcW w:w="1612" w:type="pct"/>
                  <w:vAlign w:val="center"/>
                </w:tcPr>
                <w:p w14:paraId="0A7E27F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p>
              </w:tc>
              <w:tc>
                <w:tcPr>
                  <w:tcW w:w="616" w:type="pct"/>
                  <w:vAlign w:val="center"/>
                </w:tcPr>
                <w:p w14:paraId="71A5242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3465C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496" w:type="pct"/>
                  <w:vAlign w:val="center"/>
                </w:tcPr>
                <w:p w14:paraId="49F4EB5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p>
              </w:tc>
              <w:tc>
                <w:tcPr>
                  <w:tcW w:w="2276" w:type="pct"/>
                  <w:vAlign w:val="center"/>
                </w:tcPr>
                <w:p w14:paraId="222C0D34">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页岩气开采产生的固体废物应实行全过程管理，并按照“减量化、资源化、无害化”的原则，减少固体废物的产生量，并对其进行资源化利用和无害化处理处置。</w:t>
                  </w:r>
                </w:p>
              </w:tc>
              <w:tc>
                <w:tcPr>
                  <w:tcW w:w="1612" w:type="pct"/>
                  <w:vAlign w:val="center"/>
                </w:tcPr>
                <w:p w14:paraId="57538777">
                  <w:pPr>
                    <w:rPr>
                      <w:b/>
                      <w:bCs/>
                      <w:color w:val="000000" w:themeColor="text1"/>
                      <w:szCs w:val="21"/>
                      <w14:textFill>
                        <w14:solidFill>
                          <w14:schemeClr w14:val="tx1"/>
                        </w14:solidFill>
                      </w14:textFill>
                    </w:rPr>
                  </w:pPr>
                  <w:bookmarkStart w:id="5" w:name="_Hlk149126016"/>
                  <w:r>
                    <w:rPr>
                      <w:b/>
                      <w:bCs/>
                      <w:color w:val="000000" w:themeColor="text1"/>
                      <w:szCs w:val="21"/>
                      <w14:textFill>
                        <w14:solidFill>
                          <w14:schemeClr w14:val="tx1"/>
                        </w14:solidFill>
                      </w14:textFill>
                    </w:rPr>
                    <w:t>本项目利用本厂油基岩屑厌氧热回收处理后的干渣</w:t>
                  </w:r>
                  <w:bookmarkEnd w:id="5"/>
                  <w:r>
                    <w:rPr>
                      <w:b/>
                      <w:bCs/>
                      <w:color w:val="000000" w:themeColor="text1"/>
                      <w:szCs w:val="21"/>
                      <w14:textFill>
                        <w14:solidFill>
                          <w14:schemeClr w14:val="tx1"/>
                        </w14:solidFill>
                      </w14:textFill>
                    </w:rPr>
                    <w:t>制砖，做到了对油基岩屑的“减量化、资源化、无害化”的原则，符合技术要求。</w:t>
                  </w:r>
                </w:p>
              </w:tc>
              <w:tc>
                <w:tcPr>
                  <w:tcW w:w="616" w:type="pct"/>
                  <w:vAlign w:val="center"/>
                </w:tcPr>
                <w:p w14:paraId="3959605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CF25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496" w:type="pct"/>
                  <w:vAlign w:val="center"/>
                </w:tcPr>
                <w:p w14:paraId="326FEC1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2276" w:type="pct"/>
                  <w:vAlign w:val="center"/>
                </w:tcPr>
                <w:p w14:paraId="52D03CB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油基岩屑处置后的产物若符合相关国家污染物排放(控制)标准或技术规范要求，且符合国家、地方制定或行业通行的被替代原料生产的产品质量标准的，不作为固体废物管理，按照相应的产品管理，除此之外，均按危险废物进行管理；国家或地方法律法规、标准等另有规定的从其规定。</w:t>
                  </w:r>
                </w:p>
              </w:tc>
              <w:tc>
                <w:tcPr>
                  <w:tcW w:w="1612" w:type="pct"/>
                  <w:vAlign w:val="center"/>
                </w:tcPr>
                <w:p w14:paraId="40BD158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本项目利用本厂油基岩屑厌氧热回收处理后的干渣经鉴定不属于危废，生产出来的灰砂砖满足《蒸压灰砂实心砖和实心砌块》（GB/T11945-2019）质量要求</w:t>
                  </w:r>
                </w:p>
              </w:tc>
              <w:tc>
                <w:tcPr>
                  <w:tcW w:w="616" w:type="pct"/>
                  <w:vAlign w:val="center"/>
                </w:tcPr>
                <w:p w14:paraId="24ECAB1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C2BB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4" w:hRule="atLeast"/>
                <w:jc w:val="center"/>
              </w:trPr>
              <w:tc>
                <w:tcPr>
                  <w:tcW w:w="496" w:type="pct"/>
                  <w:vAlign w:val="center"/>
                </w:tcPr>
                <w:p w14:paraId="3FBC3D9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p>
              </w:tc>
              <w:tc>
                <w:tcPr>
                  <w:tcW w:w="2276" w:type="pct"/>
                  <w:vAlign w:val="center"/>
                </w:tcPr>
                <w:p w14:paraId="42426A33">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固体废物处理处置过程应符合国家和地方污染控制标准及相关技术规范要求，避免和减少二次污染。对产生的二次污染，应按照国家和地方环境保护法规和标准的规定进行治理。</w:t>
                  </w:r>
                </w:p>
              </w:tc>
              <w:tc>
                <w:tcPr>
                  <w:tcW w:w="1612" w:type="pct"/>
                  <w:vAlign w:val="center"/>
                </w:tcPr>
                <w:p w14:paraId="3D09CC7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项目为利用本厂油基岩屑厌氧热回收处理后的干渣生产灰砂砖，不存在油基岩屑的二次污染。</w:t>
                  </w:r>
                </w:p>
              </w:tc>
              <w:tc>
                <w:tcPr>
                  <w:tcW w:w="616" w:type="pct"/>
                  <w:vAlign w:val="center"/>
                </w:tcPr>
                <w:p w14:paraId="483704D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28A2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9" w:hRule="atLeast"/>
                <w:jc w:val="center"/>
              </w:trPr>
              <w:tc>
                <w:tcPr>
                  <w:tcW w:w="496" w:type="pct"/>
                  <w:vAlign w:val="center"/>
                </w:tcPr>
                <w:p w14:paraId="74F605E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p>
              </w:tc>
              <w:tc>
                <w:tcPr>
                  <w:tcW w:w="2276" w:type="pct"/>
                  <w:vAlign w:val="center"/>
                </w:tcPr>
                <w:p w14:paraId="22DB91FC">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固体废物收集、贮存、处理处置设施和场所应按照相关标准规范和环境影响评价文件的要求采取防渗措施，并定期开展跟踪监测。</w:t>
                  </w:r>
                </w:p>
              </w:tc>
              <w:tc>
                <w:tcPr>
                  <w:tcW w:w="1612" w:type="pct"/>
                  <w:vAlign w:val="center"/>
                </w:tcPr>
                <w:p w14:paraId="54FB5F2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本项目干渣不在厂区贮存。</w:t>
                  </w:r>
                </w:p>
              </w:tc>
              <w:tc>
                <w:tcPr>
                  <w:tcW w:w="616" w:type="pct"/>
                  <w:vAlign w:val="center"/>
                </w:tcPr>
                <w:p w14:paraId="23159E6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9B0C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8" w:hRule="atLeast"/>
                <w:jc w:val="center"/>
              </w:trPr>
              <w:tc>
                <w:tcPr>
                  <w:tcW w:w="496" w:type="pct"/>
                  <w:vAlign w:val="center"/>
                </w:tcPr>
                <w:p w14:paraId="6DE7E49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5</w:t>
                  </w:r>
                </w:p>
              </w:tc>
              <w:tc>
                <w:tcPr>
                  <w:tcW w:w="2276" w:type="pct"/>
                  <w:vAlign w:val="center"/>
                </w:tcPr>
                <w:p w14:paraId="356822B1">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严格执行危险废物转移联单制度。转移危险废物的（向县内本单位转移除外），危险废物产生单位必须按照相关规定填写危险废物转移联单。</w:t>
                  </w:r>
                </w:p>
              </w:tc>
              <w:tc>
                <w:tcPr>
                  <w:tcW w:w="1612" w:type="pct"/>
                  <w:vAlign w:val="center"/>
                </w:tcPr>
                <w:p w14:paraId="5D5BA03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项目不涉及危险废物。</w:t>
                  </w:r>
                </w:p>
              </w:tc>
              <w:tc>
                <w:tcPr>
                  <w:tcW w:w="616" w:type="pct"/>
                  <w:vAlign w:val="center"/>
                </w:tcPr>
                <w:p w14:paraId="405B54A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bl>
          <w:p w14:paraId="5B8DBFB2">
            <w:pPr>
              <w:spacing w:before="120" w:beforeLines="50" w:line="360" w:lineRule="auto"/>
              <w:ind w:left="172" w:leftChars="82" w:firstLine="284" w:firstLineChars="118"/>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4.3项目与相关固废处置标准等的合性分析</w:t>
            </w:r>
          </w:p>
          <w:p w14:paraId="57B5E52E">
            <w:pPr>
              <w:spacing w:line="360" w:lineRule="auto"/>
              <w:ind w:left="172" w:leftChars="82" w:firstLine="283" w:firstLineChars="118"/>
              <w:rPr>
                <w:color w:val="000000" w:themeColor="text1"/>
                <w:sz w:val="24"/>
                <w14:textFill>
                  <w14:solidFill>
                    <w14:schemeClr w14:val="tx1"/>
                  </w14:solidFill>
                </w14:textFill>
              </w:rPr>
            </w:pPr>
            <w:r>
              <w:rPr>
                <w:color w:val="000000" w:themeColor="text1"/>
                <w:sz w:val="24"/>
                <w14:textFill>
                  <w14:solidFill>
                    <w14:schemeClr w14:val="tx1"/>
                  </w14:solidFill>
                </w14:textFill>
              </w:rPr>
              <w:t>本次改建后，将利用本厂油基岩屑厌氧热回收处理后的干渣为原料制砖，实现了固体废物的减量化、资源化、无害化处理，项目对干渣利用实施全过程控制。</w:t>
            </w:r>
          </w:p>
          <w:p w14:paraId="367CC8C0">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表1-11项目与相关固废处置标准等的合性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238"/>
              <w:gridCol w:w="3880"/>
              <w:gridCol w:w="1317"/>
              <w:gridCol w:w="768"/>
            </w:tblGrid>
            <w:tr w14:paraId="3899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14:paraId="7A8AD1E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78" w:type="pct"/>
                  <w:vAlign w:val="center"/>
                </w:tcPr>
                <w:p w14:paraId="736CFD0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文件名称</w:t>
                  </w:r>
                </w:p>
              </w:tc>
              <w:tc>
                <w:tcPr>
                  <w:tcW w:w="2439" w:type="pct"/>
                  <w:vAlign w:val="center"/>
                </w:tcPr>
                <w:p w14:paraId="42A5B6D5">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要求</w:t>
                  </w:r>
                </w:p>
              </w:tc>
              <w:tc>
                <w:tcPr>
                  <w:tcW w:w="828" w:type="pct"/>
                  <w:vAlign w:val="center"/>
                </w:tcPr>
                <w:p w14:paraId="30A8C93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483" w:type="pct"/>
                  <w:vAlign w:val="center"/>
                </w:tcPr>
                <w:p w14:paraId="6F19210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7E0B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471" w:type="pct"/>
                  <w:vAlign w:val="center"/>
                </w:tcPr>
                <w:p w14:paraId="7B1022C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p>
              </w:tc>
              <w:tc>
                <w:tcPr>
                  <w:tcW w:w="778" w:type="pct"/>
                  <w:vAlign w:val="center"/>
                </w:tcPr>
                <w:p w14:paraId="6245BBB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《固体废物处理处置工程技术导则》（HJ2035-2013）</w:t>
                  </w:r>
                </w:p>
              </w:tc>
              <w:tc>
                <w:tcPr>
                  <w:tcW w:w="2439" w:type="pct"/>
                  <w:vAlign w:val="center"/>
                </w:tcPr>
                <w:p w14:paraId="3F2E442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“固体废物处理处置应遵循减量化、资源化、无害化的原则，固体废物的产生、运输、贮存、处理和处置应实施全过程控制。”</w:t>
                  </w:r>
                </w:p>
              </w:tc>
              <w:tc>
                <w:tcPr>
                  <w:tcW w:w="828" w:type="pct"/>
                  <w:vMerge w:val="restart"/>
                  <w:vAlign w:val="center"/>
                </w:tcPr>
                <w:p w14:paraId="0CFE1D98">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本厂油基岩屑厌氧热回收处理后的干渣为原料制砖，经鉴定，该干渣不具有危险特性，为一般固废，作为原料生产的产品满足相应质量标准，综合利用过程中配备废水废气噪声等污染</w:t>
                  </w:r>
                  <w:r>
                    <w:rPr>
                      <w:rFonts w:hint="eastAsia"/>
                      <w:color w:val="000000" w:themeColor="text1"/>
                      <w:szCs w:val="21"/>
                      <w:lang w:eastAsia="zh-CN"/>
                      <w14:textFill>
                        <w14:solidFill>
                          <w14:schemeClr w14:val="tx1"/>
                        </w14:solidFill>
                      </w14:textFill>
                    </w:rPr>
                    <w:t>防治</w:t>
                  </w:r>
                  <w:r>
                    <w:rPr>
                      <w:color w:val="000000" w:themeColor="text1"/>
                      <w:szCs w:val="21"/>
                      <w14:textFill>
                        <w14:solidFill>
                          <w14:schemeClr w14:val="tx1"/>
                        </w14:solidFill>
                      </w14:textFill>
                    </w:rPr>
                    <w:t>措施，污染物经治理后达标排放。</w:t>
                  </w:r>
                </w:p>
              </w:tc>
              <w:tc>
                <w:tcPr>
                  <w:tcW w:w="483" w:type="pct"/>
                  <w:vAlign w:val="center"/>
                </w:tcPr>
                <w:p w14:paraId="31AA54B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DA5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14:paraId="15F411A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p>
              </w:tc>
              <w:tc>
                <w:tcPr>
                  <w:tcW w:w="778" w:type="pct"/>
                  <w:vMerge w:val="restart"/>
                  <w:vAlign w:val="center"/>
                </w:tcPr>
                <w:p w14:paraId="21C14DE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四川省《天然气开采含油污泥综合利用后剩余固相利用处置标准》</w:t>
                  </w:r>
                </w:p>
              </w:tc>
              <w:tc>
                <w:tcPr>
                  <w:tcW w:w="2439" w:type="pct"/>
                  <w:vAlign w:val="center"/>
                </w:tcPr>
                <w:p w14:paraId="3881891E">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符合本标准限值要求的剩余固相的再生利用及建材利用应满足HJ 1091</w:t>
                  </w:r>
                </w:p>
              </w:tc>
              <w:tc>
                <w:tcPr>
                  <w:tcW w:w="828" w:type="pct"/>
                  <w:vMerge w:val="continue"/>
                </w:tcPr>
                <w:p w14:paraId="6BD792C9">
                  <w:pPr>
                    <w:rPr>
                      <w:color w:val="000000" w:themeColor="text1"/>
                      <w:szCs w:val="21"/>
                      <w14:textFill>
                        <w14:solidFill>
                          <w14:schemeClr w14:val="tx1"/>
                        </w14:solidFill>
                      </w14:textFill>
                    </w:rPr>
                  </w:pPr>
                </w:p>
              </w:tc>
              <w:tc>
                <w:tcPr>
                  <w:tcW w:w="483" w:type="pct"/>
                  <w:vAlign w:val="center"/>
                </w:tcPr>
                <w:p w14:paraId="1A3299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50E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2C7EA454">
                  <w:pPr>
                    <w:jc w:val="center"/>
                    <w:rPr>
                      <w:color w:val="000000" w:themeColor="text1"/>
                      <w:szCs w:val="21"/>
                      <w14:textFill>
                        <w14:solidFill>
                          <w14:schemeClr w14:val="tx1"/>
                        </w14:solidFill>
                      </w14:textFill>
                    </w:rPr>
                  </w:pPr>
                </w:p>
              </w:tc>
              <w:tc>
                <w:tcPr>
                  <w:tcW w:w="778" w:type="pct"/>
                  <w:vMerge w:val="continue"/>
                  <w:vAlign w:val="center"/>
                </w:tcPr>
                <w:p w14:paraId="7728EE4F">
                  <w:pPr>
                    <w:rPr>
                      <w:color w:val="000000" w:themeColor="text1"/>
                      <w:szCs w:val="21"/>
                      <w14:textFill>
                        <w14:solidFill>
                          <w14:schemeClr w14:val="tx1"/>
                        </w14:solidFill>
                      </w14:textFill>
                    </w:rPr>
                  </w:pPr>
                </w:p>
              </w:tc>
              <w:tc>
                <w:tcPr>
                  <w:tcW w:w="2439" w:type="pct"/>
                  <w:vAlign w:val="center"/>
                </w:tcPr>
                <w:p w14:paraId="1CA0D741">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符合本标准限值要求的剩余固相的利用处置过程中排放的废水、废气、噪声等污染物应符合国家和地方相应的排放标准要求，其中大气排放特征污染物挥发性有机物（VOCs）应符合DB51/2377 的排放要求</w:t>
                  </w:r>
                </w:p>
              </w:tc>
              <w:tc>
                <w:tcPr>
                  <w:tcW w:w="828" w:type="pct"/>
                  <w:vMerge w:val="continue"/>
                </w:tcPr>
                <w:p w14:paraId="67CC9A78">
                  <w:pPr>
                    <w:rPr>
                      <w:color w:val="000000" w:themeColor="text1"/>
                      <w:szCs w:val="21"/>
                      <w14:textFill>
                        <w14:solidFill>
                          <w14:schemeClr w14:val="tx1"/>
                        </w14:solidFill>
                      </w14:textFill>
                    </w:rPr>
                  </w:pPr>
                </w:p>
              </w:tc>
              <w:tc>
                <w:tcPr>
                  <w:tcW w:w="483" w:type="pct"/>
                  <w:vAlign w:val="center"/>
                </w:tcPr>
                <w:p w14:paraId="691FC8D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BF0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14:paraId="2346DDE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p>
              </w:tc>
              <w:tc>
                <w:tcPr>
                  <w:tcW w:w="778" w:type="pct"/>
                  <w:vMerge w:val="restart"/>
                  <w:vAlign w:val="center"/>
                </w:tcPr>
                <w:p w14:paraId="6ACAA41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《固体废物再生利用污染防治技术导则》</w:t>
                  </w:r>
                </w:p>
              </w:tc>
              <w:tc>
                <w:tcPr>
                  <w:tcW w:w="2439" w:type="pct"/>
                  <w:vAlign w:val="center"/>
                </w:tcPr>
                <w:p w14:paraId="0A6B47EF">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固体废物建材利用设施应配备必要的废气处理、防止或降低噪声与粉尘处理等污染防治装置。</w:t>
                  </w:r>
                </w:p>
              </w:tc>
              <w:tc>
                <w:tcPr>
                  <w:tcW w:w="828" w:type="pct"/>
                  <w:vMerge w:val="continue"/>
                </w:tcPr>
                <w:p w14:paraId="05BA632A">
                  <w:pPr>
                    <w:rPr>
                      <w:color w:val="000000" w:themeColor="text1"/>
                      <w:szCs w:val="21"/>
                      <w14:textFill>
                        <w14:solidFill>
                          <w14:schemeClr w14:val="tx1"/>
                        </w14:solidFill>
                      </w14:textFill>
                    </w:rPr>
                  </w:pPr>
                </w:p>
              </w:tc>
              <w:tc>
                <w:tcPr>
                  <w:tcW w:w="483" w:type="pct"/>
                  <w:vAlign w:val="center"/>
                </w:tcPr>
                <w:p w14:paraId="7EFA61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962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17A12A31">
                  <w:pPr>
                    <w:jc w:val="center"/>
                    <w:rPr>
                      <w:color w:val="000000" w:themeColor="text1"/>
                      <w:szCs w:val="21"/>
                      <w14:textFill>
                        <w14:solidFill>
                          <w14:schemeClr w14:val="tx1"/>
                        </w14:solidFill>
                      </w14:textFill>
                    </w:rPr>
                  </w:pPr>
                </w:p>
              </w:tc>
              <w:tc>
                <w:tcPr>
                  <w:tcW w:w="778" w:type="pct"/>
                  <w:vMerge w:val="continue"/>
                  <w:vAlign w:val="center"/>
                </w:tcPr>
                <w:p w14:paraId="7F4C82F6">
                  <w:pPr>
                    <w:rPr>
                      <w:color w:val="000000" w:themeColor="text1"/>
                      <w:szCs w:val="21"/>
                      <w14:textFill>
                        <w14:solidFill>
                          <w14:schemeClr w14:val="tx1"/>
                        </w14:solidFill>
                      </w14:textFill>
                    </w:rPr>
                  </w:pPr>
                </w:p>
              </w:tc>
              <w:tc>
                <w:tcPr>
                  <w:tcW w:w="2439" w:type="pct"/>
                  <w:vAlign w:val="center"/>
                </w:tcPr>
                <w:p w14:paraId="6B27AF99">
                  <w:pPr>
                    <w:rPr>
                      <w:color w:val="000000" w:themeColor="text1"/>
                      <w:szCs w:val="21"/>
                      <w14:textFill>
                        <w14:solidFill>
                          <w14:schemeClr w14:val="tx1"/>
                        </w14:solidFill>
                      </w14:textFill>
                    </w:rPr>
                  </w:pPr>
                  <w:r>
                    <w:rPr>
                      <w:color w:val="000000" w:themeColor="text1"/>
                      <w:szCs w:val="21"/>
                      <w14:textFill>
                        <w14:solidFill>
                          <w14:schemeClr w14:val="tx1"/>
                        </w14:solidFill>
                      </w14:textFill>
                    </w:rPr>
                    <w:t>利用固体废物生产水泥过程及产品的污染控制应满足GB 30485、HJ 662与GB30760的要求。</w:t>
                  </w:r>
                </w:p>
              </w:tc>
              <w:tc>
                <w:tcPr>
                  <w:tcW w:w="828" w:type="pct"/>
                  <w:vMerge w:val="continue"/>
                </w:tcPr>
                <w:p w14:paraId="1DFE94F9">
                  <w:pPr>
                    <w:rPr>
                      <w:color w:val="000000" w:themeColor="text1"/>
                      <w:szCs w:val="21"/>
                      <w14:textFill>
                        <w14:solidFill>
                          <w14:schemeClr w14:val="tx1"/>
                        </w14:solidFill>
                      </w14:textFill>
                    </w:rPr>
                  </w:pPr>
                </w:p>
              </w:tc>
              <w:tc>
                <w:tcPr>
                  <w:tcW w:w="483" w:type="pct"/>
                  <w:vAlign w:val="center"/>
                </w:tcPr>
                <w:p w14:paraId="45845E6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9D9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vAlign w:val="center"/>
                </w:tcPr>
                <w:p w14:paraId="3DAADA30">
                  <w:pPr>
                    <w:jc w:val="center"/>
                    <w:rPr>
                      <w:color w:val="000000" w:themeColor="text1"/>
                      <w:szCs w:val="21"/>
                      <w14:textFill>
                        <w14:solidFill>
                          <w14:schemeClr w14:val="tx1"/>
                        </w14:solidFill>
                      </w14:textFill>
                    </w:rPr>
                  </w:pPr>
                </w:p>
              </w:tc>
              <w:tc>
                <w:tcPr>
                  <w:tcW w:w="778" w:type="pct"/>
                  <w:vMerge w:val="continue"/>
                  <w:vAlign w:val="center"/>
                </w:tcPr>
                <w:p w14:paraId="49D6E075">
                  <w:pPr>
                    <w:rPr>
                      <w:color w:val="000000" w:themeColor="text1"/>
                      <w:szCs w:val="21"/>
                      <w14:textFill>
                        <w14:solidFill>
                          <w14:schemeClr w14:val="tx1"/>
                        </w14:solidFill>
                      </w14:textFill>
                    </w:rPr>
                  </w:pPr>
                </w:p>
              </w:tc>
              <w:tc>
                <w:tcPr>
                  <w:tcW w:w="2439" w:type="pct"/>
                  <w:vAlign w:val="center"/>
                </w:tcPr>
                <w:p w14:paraId="0D347E16">
                  <w:pPr>
                    <w:rPr>
                      <w:color w:val="000000" w:themeColor="text1"/>
                      <w:szCs w:val="21"/>
                      <w14:textFill>
                        <w14:solidFill>
                          <w14:schemeClr w14:val="tx1"/>
                        </w14:solidFill>
                      </w14:textFill>
                    </w:rPr>
                  </w:pPr>
                  <w:r>
                    <w:rPr>
                      <w:color w:val="000000" w:themeColor="text1"/>
                      <w:szCs w:val="21"/>
                      <w14:textFill>
                        <w14:solidFill>
                          <w14:schemeClr w14:val="tx1"/>
                        </w14:solidFill>
                      </w14:textFill>
                    </w:rPr>
                    <w:t>利用固体废物生产砖瓦、轻骨料、集料、玻璃、陶瓷、陶粒、路基材料等建材过程的污染控制执行相关行业污染物排放标准，相关产品中有害物质含量参照GB30760的要求执行。6.4固体废物建材利用过程中的再生利用工艺单元的污染控制应分别满足本标准中相应再生利用工艺单元的要求。</w:t>
                  </w:r>
                </w:p>
              </w:tc>
              <w:tc>
                <w:tcPr>
                  <w:tcW w:w="828" w:type="pct"/>
                  <w:vMerge w:val="continue"/>
                </w:tcPr>
                <w:p w14:paraId="31062D77">
                  <w:pPr>
                    <w:rPr>
                      <w:color w:val="000000" w:themeColor="text1"/>
                      <w:szCs w:val="21"/>
                      <w14:textFill>
                        <w14:solidFill>
                          <w14:schemeClr w14:val="tx1"/>
                        </w14:solidFill>
                      </w14:textFill>
                    </w:rPr>
                  </w:pPr>
                </w:p>
              </w:tc>
              <w:tc>
                <w:tcPr>
                  <w:tcW w:w="483" w:type="pct"/>
                  <w:vAlign w:val="center"/>
                </w:tcPr>
                <w:p w14:paraId="296C92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4D464090">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4.4项目与关于印发《关于加快推动砖瓦工业转型发展的指导意见》的通知（中砖协字〔2022〕16 号）的符合性分析</w:t>
            </w:r>
          </w:p>
          <w:p w14:paraId="4F71AA2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根据《关于加快推动砖瓦工业转型发展的指导意见》“四、发 展重点和任务（二）扩大固废利用领域，打造城市运行不可或缺的保障产业”中完善固废利用技术、工艺和装备。研究和开发利用烧结砖瓦窑炉协同处置废弃物的成套技术装备，加强原料配料基础研究和砖瓦领域固废适用性技术研发，积极推进有条件的地区因势利导、因地制宜开发固废处置与资源化综合利用新技术、新产品，鼓励砖瓦企业利用工业固废、矿物尾渣、生活垃圾焚烧残渣、河湖淤泥、城市污泥、工业淤泥、农林废弃物、食品工业残渣等替代原燃料，支持利用建筑垃圾、工业污染土等生产砖瓦制品，进一步扩大资源综合利用范围，提高原材料中固废掺配比例，减少对天然资源 的消耗。</w:t>
            </w:r>
          </w:p>
          <w:p w14:paraId="163C30D1">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本项目采用经鉴定后为一般工业固体废物的干渣作为原料进行制砖，可有效促进固废资源化利用。因此，项目与关于印发《关于加快推动砖瓦工业转型发展的指导意见》的通知（中砖协字〔2022〕16号）相符。</w:t>
            </w:r>
          </w:p>
          <w:p w14:paraId="4000A352">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4.5项目与《四川省大气水土壤污染防治“三大战役”领导小组办公室关于深入开展砖瓦行业企业大气污染防治整治工作的通知（川污防“三大战役”办〔2017〕25号）》及《关于开展砖瓦行业环保专项执法检查的通知》的符合性见下表：</w:t>
            </w:r>
          </w:p>
          <w:p w14:paraId="51D1950E">
            <w:pPr>
              <w:pStyle w:val="2"/>
              <w:ind w:firstLine="482"/>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表1-12 项目与上述砖瓦行业通知的符合性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859"/>
              <w:gridCol w:w="2751"/>
              <w:gridCol w:w="2712"/>
              <w:gridCol w:w="768"/>
            </w:tblGrid>
            <w:tr w14:paraId="45B1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Align w:val="center"/>
                </w:tcPr>
                <w:p w14:paraId="0FED8DC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文件名称</w:t>
                  </w:r>
                </w:p>
              </w:tc>
              <w:tc>
                <w:tcPr>
                  <w:tcW w:w="540" w:type="pct"/>
                  <w:vAlign w:val="center"/>
                </w:tcPr>
                <w:p w14:paraId="57B161A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工作内容</w:t>
                  </w:r>
                </w:p>
              </w:tc>
              <w:tc>
                <w:tcPr>
                  <w:tcW w:w="1730" w:type="pct"/>
                  <w:vAlign w:val="center"/>
                </w:tcPr>
                <w:p w14:paraId="1DDC95A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详细</w:t>
                  </w:r>
                </w:p>
              </w:tc>
              <w:tc>
                <w:tcPr>
                  <w:tcW w:w="1705" w:type="pct"/>
                  <w:vAlign w:val="center"/>
                </w:tcPr>
                <w:p w14:paraId="05DDF44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483" w:type="pct"/>
                  <w:vAlign w:val="center"/>
                </w:tcPr>
                <w:p w14:paraId="5796A6EA">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497A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restart"/>
                  <w:vAlign w:val="center"/>
                </w:tcPr>
                <w:p w14:paraId="003A8F5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深入开展砖瓦行业企业大气污染防治整治工作的通知</w:t>
                  </w:r>
                </w:p>
              </w:tc>
              <w:tc>
                <w:tcPr>
                  <w:tcW w:w="540" w:type="pct"/>
                  <w:vAlign w:val="center"/>
                </w:tcPr>
                <w:p w14:paraId="2622DC36">
                  <w:pPr>
                    <w:rPr>
                      <w:color w:val="000000" w:themeColor="text1"/>
                      <w:szCs w:val="21"/>
                      <w14:textFill>
                        <w14:solidFill>
                          <w14:schemeClr w14:val="tx1"/>
                        </w14:solidFill>
                      </w14:textFill>
                    </w:rPr>
                  </w:pPr>
                  <w:r>
                    <w:rPr>
                      <w:color w:val="000000" w:themeColor="text1"/>
                      <w:szCs w:val="21"/>
                      <w14:textFill>
                        <w14:solidFill>
                          <w14:schemeClr w14:val="tx1"/>
                        </w14:solidFill>
                      </w14:textFill>
                    </w:rPr>
                    <w:t>分类施策，彻底整治</w:t>
                  </w:r>
                </w:p>
              </w:tc>
              <w:tc>
                <w:tcPr>
                  <w:tcW w:w="1730" w:type="pct"/>
                  <w:vAlign w:val="center"/>
                </w:tcPr>
                <w:p w14:paraId="27A2F1B0">
                  <w:pPr>
                    <w:rPr>
                      <w:color w:val="000000" w:themeColor="text1"/>
                      <w:szCs w:val="21"/>
                      <w14:textFill>
                        <w14:solidFill>
                          <w14:schemeClr w14:val="tx1"/>
                        </w14:solidFill>
                      </w14:textFill>
                    </w:rPr>
                  </w:pPr>
                  <w:r>
                    <w:rPr>
                      <w:color w:val="000000" w:themeColor="text1"/>
                      <w:szCs w:val="21"/>
                      <w14:textFill>
                        <w14:solidFill>
                          <w14:schemeClr w14:val="tx1"/>
                        </w14:solidFill>
                      </w14:textFill>
                    </w:rPr>
                    <w:t>对符合产业政策和规划要求，但达不到排放标准要求的企业，实施综合整治</w:t>
                  </w:r>
                </w:p>
              </w:tc>
              <w:tc>
                <w:tcPr>
                  <w:tcW w:w="1705" w:type="pct"/>
                  <w:vAlign w:val="center"/>
                </w:tcPr>
                <w:p w14:paraId="5D71C6FF">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项目配备布袋除尘、可实现稳定达标排放</w:t>
                  </w:r>
                </w:p>
              </w:tc>
              <w:tc>
                <w:tcPr>
                  <w:tcW w:w="483" w:type="pct"/>
                  <w:vAlign w:val="center"/>
                </w:tcPr>
                <w:p w14:paraId="6ED5029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8E0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14:paraId="77AB46D6">
                  <w:pPr>
                    <w:rPr>
                      <w:b/>
                      <w:bCs/>
                      <w:color w:val="000000" w:themeColor="text1"/>
                      <w:szCs w:val="21"/>
                      <w14:textFill>
                        <w14:solidFill>
                          <w14:schemeClr w14:val="tx1"/>
                        </w14:solidFill>
                      </w14:textFill>
                    </w:rPr>
                  </w:pPr>
                </w:p>
              </w:tc>
              <w:tc>
                <w:tcPr>
                  <w:tcW w:w="540" w:type="pct"/>
                  <w:vMerge w:val="restart"/>
                  <w:vAlign w:val="center"/>
                </w:tcPr>
                <w:p w14:paraId="330FA4A0">
                  <w:pPr>
                    <w:rPr>
                      <w:color w:val="000000" w:themeColor="text1"/>
                      <w:szCs w:val="21"/>
                      <w14:textFill>
                        <w14:solidFill>
                          <w14:schemeClr w14:val="tx1"/>
                        </w14:solidFill>
                      </w14:textFill>
                    </w:rPr>
                  </w:pPr>
                  <w:r>
                    <w:rPr>
                      <w:color w:val="000000" w:themeColor="text1"/>
                      <w:szCs w:val="21"/>
                      <w14:textFill>
                        <w14:solidFill>
                          <w14:schemeClr w14:val="tx1"/>
                        </w14:solidFill>
                      </w14:textFill>
                    </w:rPr>
                    <w:t>强化监管，严格执法</w:t>
                  </w:r>
                </w:p>
              </w:tc>
              <w:tc>
                <w:tcPr>
                  <w:tcW w:w="1730" w:type="pct"/>
                  <w:vAlign w:val="center"/>
                </w:tcPr>
                <w:p w14:paraId="3A1AEB25">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严格执行环评制度</w:t>
                  </w:r>
                </w:p>
              </w:tc>
              <w:tc>
                <w:tcPr>
                  <w:tcW w:w="1705" w:type="pct"/>
                  <w:vAlign w:val="center"/>
                </w:tcPr>
                <w:p w14:paraId="09AA4B19">
                  <w:pP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企业正在积极执行环评手续，本次报告表编制工作就包含在内</w:t>
                  </w:r>
                </w:p>
              </w:tc>
              <w:tc>
                <w:tcPr>
                  <w:tcW w:w="483" w:type="pct"/>
                  <w:vAlign w:val="center"/>
                </w:tcPr>
                <w:p w14:paraId="5E865DD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6F2E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14:paraId="59BFA5A4">
                  <w:pPr>
                    <w:rPr>
                      <w:b/>
                      <w:bCs/>
                      <w:color w:val="000000" w:themeColor="text1"/>
                      <w:szCs w:val="21"/>
                      <w14:textFill>
                        <w14:solidFill>
                          <w14:schemeClr w14:val="tx1"/>
                        </w14:solidFill>
                      </w14:textFill>
                    </w:rPr>
                  </w:pPr>
                </w:p>
              </w:tc>
              <w:tc>
                <w:tcPr>
                  <w:tcW w:w="540" w:type="pct"/>
                  <w:vMerge w:val="continue"/>
                  <w:vAlign w:val="center"/>
                </w:tcPr>
                <w:p w14:paraId="3B3C6086">
                  <w:pPr>
                    <w:rPr>
                      <w:color w:val="000000" w:themeColor="text1"/>
                      <w:szCs w:val="21"/>
                      <w14:textFill>
                        <w14:solidFill>
                          <w14:schemeClr w14:val="tx1"/>
                        </w14:solidFill>
                      </w14:textFill>
                    </w:rPr>
                  </w:pPr>
                </w:p>
              </w:tc>
              <w:tc>
                <w:tcPr>
                  <w:tcW w:w="1730" w:type="pct"/>
                  <w:vAlign w:val="center"/>
                </w:tcPr>
                <w:p w14:paraId="78A7272E">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严格执行产业政策，对不符合产业政策的企业一律关闭</w:t>
                  </w:r>
                </w:p>
              </w:tc>
              <w:tc>
                <w:tcPr>
                  <w:tcW w:w="1705" w:type="pct"/>
                  <w:vAlign w:val="center"/>
                </w:tcPr>
                <w:p w14:paraId="604CDB2F">
                  <w:pPr>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根据前述产业政策章节的分析本项目符合产业政策</w:t>
                  </w:r>
                </w:p>
              </w:tc>
              <w:tc>
                <w:tcPr>
                  <w:tcW w:w="483" w:type="pct"/>
                  <w:vAlign w:val="center"/>
                </w:tcPr>
                <w:p w14:paraId="72CB31B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3C5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restart"/>
                  <w:vAlign w:val="center"/>
                </w:tcPr>
                <w:p w14:paraId="32C7EED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关于开展砖瓦行业环保专项执法检查的通知</w:t>
                  </w:r>
                </w:p>
              </w:tc>
              <w:tc>
                <w:tcPr>
                  <w:tcW w:w="540" w:type="pct"/>
                  <w:vAlign w:val="center"/>
                </w:tcPr>
                <w:p w14:paraId="1DF87551">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环评制度执行情况</w:t>
                  </w:r>
                </w:p>
              </w:tc>
              <w:tc>
                <w:tcPr>
                  <w:tcW w:w="1730" w:type="pct"/>
                  <w:vAlign w:val="center"/>
                </w:tcPr>
                <w:p w14:paraId="642871B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检查企业建设项目环评制度执行情况</w:t>
                  </w:r>
                </w:p>
              </w:tc>
              <w:tc>
                <w:tcPr>
                  <w:tcW w:w="1705" w:type="pct"/>
                  <w:vAlign w:val="center"/>
                </w:tcPr>
                <w:p w14:paraId="47C9F6D9">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项目原生产线已经取得环评批复</w:t>
                  </w:r>
                </w:p>
              </w:tc>
              <w:tc>
                <w:tcPr>
                  <w:tcW w:w="483" w:type="pct"/>
                  <w:vAlign w:val="center"/>
                </w:tcPr>
                <w:p w14:paraId="16EAABF7">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70FB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14:paraId="702A7CC7">
                  <w:pPr>
                    <w:rPr>
                      <w:color w:val="000000" w:themeColor="text1"/>
                      <w:szCs w:val="21"/>
                      <w14:textFill>
                        <w14:solidFill>
                          <w14:schemeClr w14:val="tx1"/>
                        </w14:solidFill>
                      </w14:textFill>
                    </w:rPr>
                  </w:pPr>
                </w:p>
              </w:tc>
              <w:tc>
                <w:tcPr>
                  <w:tcW w:w="540" w:type="pct"/>
                  <w:vAlign w:val="center"/>
                </w:tcPr>
                <w:p w14:paraId="6D7D94A2">
                  <w:pP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污染物防治</w:t>
                  </w:r>
                </w:p>
              </w:tc>
              <w:tc>
                <w:tcPr>
                  <w:tcW w:w="1730" w:type="pct"/>
                  <w:vAlign w:val="center"/>
                </w:tcPr>
                <w:p w14:paraId="6CCC1928">
                  <w:pP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原料、燃料破碎及制备成型工段各产尘点是否建设收尘装置和除尘设施，人工干燥及焙烧窑是否建设配套除尘和脱硫设施，是否建设有规范的排放口，各项防治污染设施是否正常运行</w:t>
                  </w:r>
                </w:p>
              </w:tc>
              <w:tc>
                <w:tcPr>
                  <w:tcW w:w="1705" w:type="pct"/>
                  <w:vAlign w:val="center"/>
                </w:tcPr>
                <w:p w14:paraId="19FA721B">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项目原料破碎筛分等工序拟采取布袋除尘设施，处理后经15m高排气筒达标排放；并按规范建设排放口，各项防治污染设施正常运行；</w:t>
                  </w:r>
                </w:p>
              </w:tc>
              <w:tc>
                <w:tcPr>
                  <w:tcW w:w="483" w:type="pct"/>
                  <w:vAlign w:val="center"/>
                </w:tcPr>
                <w:p w14:paraId="65554109">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0DB7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vMerge w:val="continue"/>
                  <w:vAlign w:val="center"/>
                </w:tcPr>
                <w:p w14:paraId="0062F4B8">
                  <w:pPr>
                    <w:rPr>
                      <w:color w:val="000000" w:themeColor="text1"/>
                      <w:szCs w:val="21"/>
                      <w14:textFill>
                        <w14:solidFill>
                          <w14:schemeClr w14:val="tx1"/>
                        </w14:solidFill>
                      </w14:textFill>
                    </w:rPr>
                  </w:pPr>
                </w:p>
              </w:tc>
              <w:tc>
                <w:tcPr>
                  <w:tcW w:w="540" w:type="pct"/>
                  <w:vAlign w:val="center"/>
                </w:tcPr>
                <w:p w14:paraId="4B326A2C">
                  <w:pP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w:t>
                  </w:r>
                </w:p>
              </w:tc>
              <w:tc>
                <w:tcPr>
                  <w:tcW w:w="1730" w:type="pct"/>
                  <w:vAlign w:val="center"/>
                </w:tcPr>
                <w:p w14:paraId="2828F7FB">
                  <w:pP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原料系统是否配备封闭</w:t>
                  </w:r>
                </w:p>
                <w:p w14:paraId="36C95422">
                  <w:pP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原料库，配料系统是否配备除尘装置，企业边界总悬浮颗粒物、二氧化硫、氟化物排放是否达标</w:t>
                  </w:r>
                </w:p>
              </w:tc>
              <w:tc>
                <w:tcPr>
                  <w:tcW w:w="1705" w:type="pct"/>
                  <w:vAlign w:val="center"/>
                </w:tcPr>
                <w:p w14:paraId="08F8A074">
                  <w:pPr>
                    <w:rPr>
                      <w:color w:val="000000" w:themeColor="text1"/>
                      <w:szCs w:val="21"/>
                      <w14:textFill>
                        <w14:solidFill>
                          <w14:schemeClr w14:val="tx1"/>
                        </w14:solidFill>
                      </w14:textFill>
                    </w:rPr>
                  </w:pPr>
                  <w:r>
                    <w:rPr>
                      <w:color w:val="000000" w:themeColor="text1"/>
                      <w:szCs w:val="21"/>
                      <w14:textFill>
                        <w14:solidFill>
                          <w14:schemeClr w14:val="tx1"/>
                        </w14:solidFill>
                      </w14:textFill>
                    </w:rPr>
                    <w:t>封闭原料库，配料系统配备除尘装置，厂界废气均能达标排放。</w:t>
                  </w:r>
                </w:p>
              </w:tc>
              <w:tc>
                <w:tcPr>
                  <w:tcW w:w="483" w:type="pct"/>
                  <w:vAlign w:val="center"/>
                </w:tcPr>
                <w:p w14:paraId="3AB0AB9F">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bl>
          <w:p w14:paraId="05FBFD72">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4.6项目与《建材工业“十四五”发展实施意见》符合性分析</w:t>
            </w:r>
          </w:p>
          <w:p w14:paraId="6EFF71C7">
            <w:pPr>
              <w:spacing w:line="360" w:lineRule="auto"/>
              <w:ind w:firstLine="480" w:firstLineChars="200"/>
              <w:rPr>
                <w:rFonts w:eastAsiaTheme="minorEastAsia"/>
                <w:color w:val="000000" w:themeColor="text1"/>
                <w:sz w:val="24"/>
                <w14:textFill>
                  <w14:solidFill>
                    <w14:schemeClr w14:val="tx1"/>
                  </w14:solidFill>
                </w14:textFill>
              </w:rPr>
            </w:pPr>
            <w:r>
              <w:rPr>
                <w:color w:val="000000" w:themeColor="text1"/>
                <w:sz w:val="24"/>
                <w14:textFill>
                  <w14:solidFill>
                    <w14:schemeClr w14:val="tx1"/>
                  </w14:solidFill>
                </w14:textFill>
              </w:rPr>
              <w:t>《建材工业“十四五”发展实施意见》</w:t>
            </w:r>
            <w:r>
              <w:rPr>
                <w:rFonts w:eastAsiaTheme="minorEastAsia"/>
                <w:color w:val="000000" w:themeColor="text1"/>
                <w:sz w:val="24"/>
                <w14:textFill>
                  <w14:solidFill>
                    <w14:schemeClr w14:val="tx1"/>
                  </w14:solidFill>
                </w14:textFill>
              </w:rPr>
              <w:t>3、提高资源利用水平：在保证产品质量的前提下，加快水泥等行业非碳酸盐原料替代，逐步减少碳酸盐原料用量。推广高固废掺量的低碳水泥生产技术，引导水泥企业通过磷石膏、钛石膏、氟石膏、矿渣、电石渣、钢渣、镁渣、粉煤灰等非碳酸盐原料制水泥，降低生产过程二氧化碳排放。</w:t>
            </w:r>
          </w:p>
          <w:p w14:paraId="399E7FA8">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构建行业固废综合利用技术与产业化平台，加大对大宗工业固废、生活垃圾、城市污泥、建筑废弃物和有毒有害废弃物的协同处置力度。在重点地区建设利用水泥窑、大型烧结砖隧道窑协同处置废弃物示范线。推动利用大宗固体废弃物生产建材产品。选择产业基础良好的地区建立行业资源综合利用基地，树立固废综合利用典型示范，促进建材生产企业向环保功能型、城市建设标配型企业转变。</w:t>
            </w:r>
          </w:p>
          <w:p w14:paraId="516F20C4">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本项目利用油基岩屑厌氧热回收处理后的干渣为原料用于制作建筑材料砖，为固废综合利用技术。大气污染物主要为颗粒物，采取集气罩收集到布袋除尘器处理后，由15米高排气筒高空排放，粉尘排放量较少。符合《建材工业“十四五”发展实施意见》要求。</w:t>
            </w:r>
          </w:p>
          <w:p w14:paraId="61A9DBC7">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综合前文各表所分析，本项目符合相关行业政策要求。</w:t>
            </w:r>
          </w:p>
          <w:p w14:paraId="4CA91D19">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5、本项目与大气污染防治相关法律法规等的符合性分析</w:t>
            </w:r>
          </w:p>
          <w:p w14:paraId="0AB39AE4">
            <w:pPr>
              <w:pStyle w:val="2"/>
            </w:pPr>
          </w:p>
          <w:p w14:paraId="7597BDFC">
            <w:pPr>
              <w:pStyle w:val="2"/>
            </w:pPr>
          </w:p>
          <w:p w14:paraId="5241182F">
            <w:pPr>
              <w:pStyle w:val="2"/>
            </w:pPr>
          </w:p>
          <w:p w14:paraId="4B85AC81">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表1-13相关大气污染防治规范文件符合性分析一览表</w:t>
            </w:r>
          </w:p>
          <w:tbl>
            <w:tblPr>
              <w:tblStyle w:val="26"/>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128"/>
              <w:gridCol w:w="3469"/>
              <w:gridCol w:w="2607"/>
              <w:gridCol w:w="428"/>
            </w:tblGrid>
            <w:tr w14:paraId="6598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99" w:type="pct"/>
                  <w:vAlign w:val="center"/>
                </w:tcPr>
                <w:p w14:paraId="319A8BD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95" w:type="pct"/>
                  <w:vAlign w:val="center"/>
                </w:tcPr>
                <w:p w14:paraId="34FC432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相关法律、法规及政策</w:t>
                  </w:r>
                </w:p>
              </w:tc>
              <w:tc>
                <w:tcPr>
                  <w:tcW w:w="2137" w:type="pct"/>
                  <w:vAlign w:val="center"/>
                </w:tcPr>
                <w:p w14:paraId="3DF5F1F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具体要求</w:t>
                  </w:r>
                </w:p>
              </w:tc>
              <w:tc>
                <w:tcPr>
                  <w:tcW w:w="1606" w:type="pct"/>
                  <w:vAlign w:val="center"/>
                </w:tcPr>
                <w:p w14:paraId="54A4AB8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263" w:type="pct"/>
                  <w:vAlign w:val="center"/>
                </w:tcPr>
                <w:p w14:paraId="6F9672CC">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5BEE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34FFB697">
                  <w:pP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95" w:type="pct"/>
                  <w:vAlign w:val="center"/>
                </w:tcPr>
                <w:p w14:paraId="65F8CCCD">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大气污染防治法</w:t>
                  </w:r>
                </w:p>
              </w:tc>
              <w:tc>
                <w:tcPr>
                  <w:tcW w:w="2137" w:type="pct"/>
                  <w:vAlign w:val="center"/>
                </w:tcPr>
                <w:p w14:paraId="2A0770AA">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第七十二条贮存煤炭、煤矸石、煤渣、煤灰、水泥、石灰、石膏、砂土等易产生扬尘的物料应当密闭；不能密闭的，应当设置不低于堆放物高度的严密围挡，并采取有效覆盖措施防治扬尘污染。</w:t>
                  </w:r>
                </w:p>
              </w:tc>
              <w:tc>
                <w:tcPr>
                  <w:tcW w:w="1606" w:type="pct"/>
                  <w:vAlign w:val="center"/>
                </w:tcPr>
                <w:p w14:paraId="10250F6C">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本项目粉煤灰、水泥、石灰、干渣等密闭暂存在料仓内，建筑垃圾等采取有效覆盖措施防治扬尘污染。</w:t>
                  </w:r>
                </w:p>
              </w:tc>
              <w:tc>
                <w:tcPr>
                  <w:tcW w:w="263" w:type="pct"/>
                  <w:vAlign w:val="center"/>
                </w:tcPr>
                <w:p w14:paraId="6FDEC903">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2C0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6BC6AC75">
                  <w:pP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95" w:type="pct"/>
                  <w:vAlign w:val="center"/>
                </w:tcPr>
                <w:p w14:paraId="3758CA1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国务院关于印发大气污染防治行动计划的通知（国发〔2013〕37号）</w:t>
                  </w:r>
                </w:p>
              </w:tc>
              <w:tc>
                <w:tcPr>
                  <w:tcW w:w="2137" w:type="pct"/>
                  <w:vAlign w:val="center"/>
                </w:tcPr>
                <w:p w14:paraId="33D05F82">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大型煤堆、料堆要实现封闭储存或建设防风抑尘设施。</w:t>
                  </w:r>
                </w:p>
              </w:tc>
              <w:tc>
                <w:tcPr>
                  <w:tcW w:w="1606" w:type="pct"/>
                  <w:vAlign w:val="center"/>
                </w:tcPr>
                <w:p w14:paraId="4C1C04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本项目原料库房为封闭设置，并设置雾化喷水设施控尘。</w:t>
                  </w:r>
                </w:p>
              </w:tc>
              <w:tc>
                <w:tcPr>
                  <w:tcW w:w="263" w:type="pct"/>
                  <w:vAlign w:val="center"/>
                </w:tcPr>
                <w:p w14:paraId="1C3F78A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4261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78C5CB2D">
                  <w:pP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95" w:type="pct"/>
                  <w:vAlign w:val="center"/>
                </w:tcPr>
                <w:p w14:paraId="6EDA114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《国务院关于印发打赢蓝天保卫战三年行动计划的通知》</w:t>
                  </w:r>
                </w:p>
              </w:tc>
              <w:tc>
                <w:tcPr>
                  <w:tcW w:w="2137" w:type="pct"/>
                  <w:vAlign w:val="center"/>
                </w:tcPr>
                <w:p w14:paraId="602AF116">
                  <w:pPr>
                    <w:rPr>
                      <w:color w:val="000000" w:themeColor="text1"/>
                      <w:szCs w:val="21"/>
                      <w14:textFill>
                        <w14:solidFill>
                          <w14:schemeClr w14:val="tx1"/>
                        </w14:solidFill>
                      </w14:textFill>
                    </w:rPr>
                  </w:pPr>
                  <w:r>
                    <w:rPr>
                      <w:color w:val="000000" w:themeColor="text1"/>
                      <w:szCs w:val="21"/>
                      <w14:textFill>
                        <w14:solidFill>
                          <w14:schemeClr w14:val="tx1"/>
                        </w14:solidFill>
                      </w14:textFill>
                    </w:rPr>
                    <w:t>（二十）加强扬尘综合治理。严格施工扬尘监管。2018年底前，各地建立施工工地管理清单。因地制宜稳步发展装配式建筑。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六个百分之百”，安装在线监测和视频监控设备，并与当地有关主管部门联网。将扬尘管理工作不到位的不良信息纳入建筑市场信用管理体系，情节严重的，列入建筑市场主体“黑名单”。加强道路扬尘综合整治。大力推进道路清扫保洁机械化作业，提高道路机械化清扫率，2020年底前，地级及以上城市建成区达到70%以上，县城达到60%以上，重点区域要显著提高。严格渣土运输车辆规范化管理，渣土运输车要密闭。</w:t>
                  </w:r>
                </w:p>
              </w:tc>
              <w:tc>
                <w:tcPr>
                  <w:tcW w:w="1606" w:type="pct"/>
                  <w:vAlign w:val="center"/>
                </w:tcPr>
                <w:p w14:paraId="608CE06E">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本项目工地周边围挡、物料堆放覆盖、土方开挖湿法作业、路面硬化、出入车辆清洗、渣土车辆密闭运输</w:t>
                  </w:r>
                </w:p>
              </w:tc>
              <w:tc>
                <w:tcPr>
                  <w:tcW w:w="263" w:type="pct"/>
                  <w:vAlign w:val="center"/>
                </w:tcPr>
                <w:p w14:paraId="3D24466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w:t>
                  </w:r>
                </w:p>
              </w:tc>
            </w:tr>
            <w:tr w14:paraId="315A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3A169585">
                  <w:pP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95" w:type="pct"/>
                  <w:vAlign w:val="center"/>
                </w:tcPr>
                <w:p w14:paraId="5659348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四川省大气污染防治行动计划实施细则</w:t>
                  </w:r>
                </w:p>
              </w:tc>
              <w:tc>
                <w:tcPr>
                  <w:tcW w:w="2137" w:type="pct"/>
                  <w:vAlign w:val="center"/>
                </w:tcPr>
                <w:p w14:paraId="2BD51AE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推进堆场扬尘综合治理。强化煤堆、料堆的监督管理，积极推行安装视频监控设施；大型煤堆料堆场应建立密闭料仓与传送装置，生产企业中小型堆场和废渣堆场应搭建顶篷并修筑防风墙；临时露天堆放的应加以覆盖或建设自动喷淋装置。对长期堆放的废弃物，应采取覆绿、铺装、硬化、定期喷洒抑尘剂或稳定剂等措施。</w:t>
                  </w:r>
                </w:p>
              </w:tc>
              <w:tc>
                <w:tcPr>
                  <w:tcW w:w="1606" w:type="pct"/>
                  <w:vAlign w:val="center"/>
                </w:tcPr>
                <w:p w14:paraId="36191B1F">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本项目原料库房均为封闭设置；制砖原料和砂石原料库房等设置喷淋装置进行洒水控尘，厂区道路已混凝土硬化，并定期清扫厂区道路，运输车辆实施密闭运输，及时收集清理堆场外道路上撒落的物料。</w:t>
                  </w:r>
                </w:p>
              </w:tc>
              <w:tc>
                <w:tcPr>
                  <w:tcW w:w="263" w:type="pct"/>
                  <w:vAlign w:val="center"/>
                </w:tcPr>
                <w:p w14:paraId="72755BB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C0F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5E541CB4">
                  <w:pP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695" w:type="pct"/>
                  <w:vAlign w:val="center"/>
                </w:tcPr>
                <w:p w14:paraId="0B1F4FFB">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四川省人民政府关于印发四川省打赢蓝天保卫战等九个实施方案的通知（川府发</w:t>
                  </w:r>
                </w:p>
                <w:p w14:paraId="212CF87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〔2019〕4号）</w:t>
                  </w:r>
                </w:p>
              </w:tc>
              <w:tc>
                <w:tcPr>
                  <w:tcW w:w="2137" w:type="pct"/>
                  <w:vAlign w:val="center"/>
                </w:tcPr>
                <w:p w14:paraId="180766C3">
                  <w:pPr>
                    <w:rPr>
                      <w:color w:val="000000" w:themeColor="text1"/>
                      <w:szCs w:val="21"/>
                      <w14:textFill>
                        <w14:solidFill>
                          <w14:schemeClr w14:val="tx1"/>
                        </w14:solidFill>
                      </w14:textFill>
                    </w:rPr>
                  </w:pPr>
                  <w:r>
                    <w:rPr>
                      <w:color w:val="000000" w:themeColor="text1"/>
                      <w:szCs w:val="21"/>
                      <w14:textFill>
                        <w14:solidFill>
                          <w14:schemeClr w14:val="tx1"/>
                        </w14:solidFill>
                      </w14:textFill>
                    </w:rPr>
                    <w:t>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w:t>
                  </w:r>
                </w:p>
              </w:tc>
              <w:tc>
                <w:tcPr>
                  <w:tcW w:w="1606" w:type="pct"/>
                  <w:vAlign w:val="center"/>
                </w:tcPr>
                <w:p w14:paraId="51D82A27">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粉煤灰、水泥、石灰、干渣等密闭暂存在料仓内，建筑垃圾砂石等等采取有效覆盖措施并进行洒水降尘，防治扬尘污染。物料装卸配备喷淋等防尘设施，转运物料采取封闭式皮带输送。厂区主要运输通道实施硬化湿式清扫，堆场进出口设置车辆冲洗设施，运输车辆实施密闭或全覆盖，及时收集清理堆场外道路上撒落的物料</w:t>
                  </w:r>
                </w:p>
              </w:tc>
              <w:tc>
                <w:tcPr>
                  <w:tcW w:w="263" w:type="pct"/>
                  <w:vAlign w:val="center"/>
                </w:tcPr>
                <w:p w14:paraId="6BDC2AE6">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1B3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7FB761D6">
                  <w:pP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695" w:type="pct"/>
                  <w:vAlign w:val="center"/>
                </w:tcPr>
                <w:p w14:paraId="52CDDC6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《四川省“十四五”生态环境保护规划》</w:t>
                  </w:r>
                </w:p>
              </w:tc>
              <w:tc>
                <w:tcPr>
                  <w:tcW w:w="2137" w:type="pct"/>
                  <w:vAlign w:val="center"/>
                </w:tcPr>
                <w:p w14:paraId="5F54527B">
                  <w:pPr>
                    <w:rPr>
                      <w:color w:val="000000" w:themeColor="text1"/>
                      <w:szCs w:val="21"/>
                      <w14:textFill>
                        <w14:solidFill>
                          <w14:schemeClr w14:val="tx1"/>
                        </w14:solidFill>
                      </w14:textFill>
                    </w:rPr>
                  </w:pPr>
                  <w:r>
                    <w:rPr>
                      <w:color w:val="000000" w:themeColor="text1"/>
                      <w:szCs w:val="21"/>
                      <w14:textFill>
                        <w14:solidFill>
                          <w14:schemeClr w14:val="tx1"/>
                        </w14:solidFill>
                      </w14:textFill>
                    </w:rPr>
                    <w:t>提高综合利用水平。构建资源循环型产业体系，提升工业固体废物综合利用技术，提高资源利用效率，在自贡、宜宾等地开展页岩气废油基岩屑、压裂返排液资源化利用试点，加强废旧动力电池、钒钛磁铁矿冶炼废渣、磷石膏、电解锰渣等复杂难利用工业固体废物规模化利用技术研发，鼓励大中型企业、各类开发区自行配套建设综合利用项目进行消纳，到2025年，新增大宗固体废物综合利用率达到60%。推进危险废物综合利用设施建设，加快废铅蓄电池、含铅废物、含汞废物等综合利用设施建设，逐步形成“市场调控、类别齐全、区域协调、资源共享”的综合利用格局。</w:t>
                  </w:r>
                </w:p>
              </w:tc>
              <w:tc>
                <w:tcPr>
                  <w:tcW w:w="1606" w:type="pct"/>
                  <w:vAlign w:val="center"/>
                </w:tcPr>
                <w:p w14:paraId="29E72493">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本项目利用油基岩屑厌氧热回收处理后的干渣为原料为制建筑材料砖，为固废综合利用技术。</w:t>
                  </w:r>
                </w:p>
              </w:tc>
              <w:tc>
                <w:tcPr>
                  <w:tcW w:w="263" w:type="pct"/>
                  <w:vAlign w:val="center"/>
                </w:tcPr>
                <w:p w14:paraId="408016C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014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57CD96E3">
                  <w:pP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695" w:type="pct"/>
                  <w:vAlign w:val="center"/>
                </w:tcPr>
                <w:p w14:paraId="426DB8F1">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遂宁市人民政府《贯彻落实〈四川省打赢蓝天保卫战等九个实施方案〉责任分工方案》符合性分析</w:t>
                  </w:r>
                </w:p>
              </w:tc>
              <w:tc>
                <w:tcPr>
                  <w:tcW w:w="2137" w:type="pct"/>
                  <w:vAlign w:val="center"/>
                </w:tcPr>
                <w:p w14:paraId="2570D335">
                  <w:pPr>
                    <w:rPr>
                      <w:color w:val="000000" w:themeColor="text1"/>
                      <w:szCs w:val="21"/>
                      <w14:textFill>
                        <w14:solidFill>
                          <w14:schemeClr w14:val="tx1"/>
                        </w14:solidFill>
                      </w14:textFill>
                    </w:rPr>
                  </w:pPr>
                  <w:r>
                    <w:rPr>
                      <w:color w:val="000000" w:themeColor="text1"/>
                      <w:szCs w:val="21"/>
                      <w14:textFill>
                        <w14:solidFill>
                          <w14:schemeClr w14:val="tx1"/>
                        </w14:solidFill>
                      </w14:textFill>
                    </w:rPr>
                    <w:t>强化堆场扬尘管控。工业企业堆场实施规范化全封闭管理，采取覆盖措施有效控制扬尘污染；堆场内进行搅拌、粉碎、筛分等作业时应喷水抑尘。堆场进出口设置车辆冲洗设施，运输车辆实施密闭或全覆盖</w:t>
                  </w:r>
                </w:p>
              </w:tc>
              <w:tc>
                <w:tcPr>
                  <w:tcW w:w="1606" w:type="pct"/>
                  <w:vAlign w:val="center"/>
                </w:tcPr>
                <w:p w14:paraId="26F68F76">
                  <w:pP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粉煤灰、水泥、石灰、干渣等密闭暂存在料仓内，建筑垃圾砂石等等采取有效覆盖措施并进行洒水降尘，防治扬尘污染。物料装卸配备喷淋等防尘设施，转运物料采取封闭式皮带输送。厂区主要运输通道实施硬化湿式清扫，堆场进出口设置车辆冲洗设施，运输车辆实施密闭或全覆盖。</w:t>
                  </w:r>
                </w:p>
              </w:tc>
              <w:tc>
                <w:tcPr>
                  <w:tcW w:w="263" w:type="pct"/>
                  <w:vAlign w:val="center"/>
                </w:tcPr>
                <w:p w14:paraId="16FBA596">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54133528">
            <w:pPr>
              <w:spacing w:before="120" w:beforeLines="50" w:line="360" w:lineRule="auto"/>
              <w:ind w:firstLine="482" w:firstLineChars="200"/>
              <w:rPr>
                <w:color w:val="000000" w:themeColor="text1"/>
                <w14:textFill>
                  <w14:solidFill>
                    <w14:schemeClr w14:val="tx1"/>
                  </w14:solidFill>
                </w14:textFill>
              </w:rPr>
            </w:pPr>
            <w:r>
              <w:rPr>
                <w:b/>
                <w:bCs/>
                <w:color w:val="000000" w:themeColor="text1"/>
                <w:sz w:val="24"/>
                <w14:textFill>
                  <w14:solidFill>
                    <w14:schemeClr w14:val="tx1"/>
                  </w14:solidFill>
                </w14:textFill>
              </w:rPr>
              <w:t>综上，本项目符合大气污染防治及生态环境保护相关文件要求。</w:t>
            </w:r>
          </w:p>
        </w:tc>
      </w:tr>
    </w:tbl>
    <w:p w14:paraId="348D0985">
      <w:pPr>
        <w:spacing w:line="360" w:lineRule="auto"/>
        <w:outlineLvl w:val="0"/>
        <w:rPr>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14:paraId="1576C279">
      <w:pPr>
        <w:pStyle w:val="23"/>
        <w:spacing w:before="0" w:beforeAutospacing="0" w:after="0" w:afterAutospacing="0"/>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4"/>
      </w:tblGrid>
      <w:tr w14:paraId="3EDF1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8824" w:type="dxa"/>
            <w:vAlign w:val="center"/>
          </w:tcPr>
          <w:p w14:paraId="6B335B22">
            <w:pPr>
              <w:pStyle w:val="75"/>
              <w:kinsoku w:val="0"/>
              <w:overflowPunct w:val="0"/>
              <w:spacing w:before="120" w:beforeLines="50" w:line="360" w:lineRule="auto"/>
              <w:jc w:val="center"/>
              <w:rPr>
                <w:rFonts w:ascii="Times New Roman" w:hAnsi="Times New Roman" w:eastAsiaTheme="minorEastAsia"/>
                <w:b/>
                <w:bCs/>
                <w:color w:val="000000" w:themeColor="text1"/>
                <w:sz w:val="24"/>
                <w:szCs w:val="24"/>
                <w:lang w:eastAsia="zh-CN"/>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建设内容</w:t>
            </w:r>
          </w:p>
        </w:tc>
      </w:tr>
      <w:tr w14:paraId="5F9F8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824" w:type="dxa"/>
            <w:vAlign w:val="center"/>
          </w:tcPr>
          <w:p w14:paraId="5AB29379">
            <w:pPr>
              <w:pStyle w:val="75"/>
              <w:kinsoku w:val="0"/>
              <w:overflowPunct w:val="0"/>
              <w:spacing w:before="120" w:beforeLines="50" w:line="360" w:lineRule="auto"/>
              <w:jc w:val="both"/>
              <w:rPr>
                <w:rFonts w:ascii="Times New Roman" w:hAnsi="Times New Roman" w:eastAsiaTheme="minorEastAsia"/>
                <w:color w:val="000000" w:themeColor="text1"/>
                <w:sz w:val="24"/>
                <w:szCs w:val="24"/>
                <w:lang w:eastAsia="zh-CN"/>
                <w14:textFill>
                  <w14:solidFill>
                    <w14:schemeClr w14:val="tx1"/>
                  </w14:solidFill>
                </w14:textFill>
              </w:rPr>
            </w:pPr>
            <w:r>
              <w:rPr>
                <w:rFonts w:ascii="Times New Roman" w:hAnsi="Times New Roman" w:eastAsiaTheme="minorEastAsia"/>
                <w:b/>
                <w:bCs/>
                <w:color w:val="000000" w:themeColor="text1"/>
                <w:sz w:val="24"/>
                <w:szCs w:val="24"/>
                <w:lang w:eastAsia="zh-CN"/>
                <w14:textFill>
                  <w14:solidFill>
                    <w14:schemeClr w14:val="tx1"/>
                  </w14:solidFill>
                </w14:textFill>
              </w:rPr>
              <w:t>1、项目由来</w:t>
            </w:r>
          </w:p>
          <w:p w14:paraId="73DFED08">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四川永津环保技术有限公司（以下简称“永津环保公司”）在大英县经开区投资建设的油基岩屑资源综合利用项目，于2021年9月7日取得四川省生态环境厅颁发的《危险废物经营许可证》，核准经营危险废物类别为HW08废矿物油与含矿物油废物，核准经营规模为9.6万吨/年。</w:t>
            </w:r>
          </w:p>
          <w:p w14:paraId="4D4C7D0B">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永津环保公司油基岩屑厌氧热回收设施于2022年1月初正式投入使用，每年产出油基岩屑经厌氧热回收处理后的干渣约8万吨。</w:t>
            </w:r>
          </w:p>
          <w:p w14:paraId="1C056E4E">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2021年5月，永津环保公司委托青岛斯坦德衡立环境技术研究院有限公司按照国家《危险废物鉴别标准通则》（GB 5085.7-2019）对公司油基岩屑厌氧热回收处理后产出的干渣进行了危险特性鉴别。依据鉴别结论，永津环保公司油基岩屑厌氧热回收处理后产出的干渣不具有危险特性，不属于危险废物，属于一般工业固废，可用于制砖或生产水泥等建材的部分替代原料，按照产品进行管理。</w:t>
            </w:r>
          </w:p>
          <w:p w14:paraId="744D8DB3">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依据四川省环境保护厅2018年2月1日“关于发布《四川省页岩气开采污染防治技术政策》的公告”，以及四川省市场监督管理局2021年11月8日颁布的《天然气开采含油污泥综合利用后剩余固相利用处置标准》（DB51/T2850-2021），永津环保公司委托成都市华测检测技术有限公司对油基岩屑厌氧热回收处理后产出的干渣进行了检测。检测结果表明，永津环保公司油基岩屑经厌氧热回收处理后的干渣，其各项污染物控制限制符合《天然气开采含油污泥综合利用后剩余固相利用处置标准》DB51/T2850-2021标准中表1要求，可用于制砖和生产水泥的部分替代原料，以进行资源化再利用。</w:t>
            </w:r>
          </w:p>
          <w:p w14:paraId="7CFF2EFA">
            <w:pPr>
              <w:adjustRightInd w:val="0"/>
              <w:snapToGrid w:val="0"/>
              <w:spacing w:line="360" w:lineRule="auto"/>
              <w:ind w:firstLine="488"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pacing w:val="2"/>
                <w:sz w:val="24"/>
                <w14:textFill>
                  <w14:solidFill>
                    <w14:schemeClr w14:val="tx1"/>
                  </w14:solidFill>
                </w14:textFill>
              </w:rPr>
              <w:t>为</w:t>
            </w:r>
            <w:r>
              <w:rPr>
                <w:rFonts w:eastAsiaTheme="minorEastAsia"/>
                <w:color w:val="000000" w:themeColor="text1"/>
                <w:sz w:val="24"/>
                <w14:textFill>
                  <w14:solidFill>
                    <w14:schemeClr w14:val="tx1"/>
                  </w14:solidFill>
                </w14:textFill>
              </w:rPr>
              <w:t>实现永津环保公司油基岩屑资源综合利用项目干渣的资源化再利用，永津环保公司拟利用位于大英县蓬莱镇虎泉村的四川鸿乔再生资源利用有限公司的现有厂房（约2277㎡）及土地（约7000㎡），在公司下设立“四川永津环保再生资源利用中心”。</w:t>
            </w:r>
          </w:p>
          <w:p w14:paraId="7ECCF240">
            <w:pPr>
              <w:pStyle w:val="11"/>
              <w:kinsoku w:val="0"/>
              <w:overflowPunct w:val="0"/>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本公司于2023年9月22日完成了“</w:t>
            </w:r>
            <w:r>
              <w:rPr>
                <w:color w:val="000000" w:themeColor="text1"/>
                <w:sz w:val="24"/>
                <w14:textFill>
                  <w14:solidFill>
                    <w14:schemeClr w14:val="tx1"/>
                  </w14:solidFill>
                </w14:textFill>
              </w:rPr>
              <w:t>再生资源综合利用升级改造项目”</w:t>
            </w:r>
            <w:r>
              <w:rPr>
                <w:color w:val="000000" w:themeColor="text1"/>
                <w:sz w:val="24"/>
                <w:szCs w:val="24"/>
                <w14:textFill>
                  <w14:solidFill>
                    <w14:schemeClr w14:val="tx1"/>
                  </w14:solidFill>
                </w14:textFill>
              </w:rPr>
              <w:t>的投资项目备案，</w:t>
            </w:r>
            <w:r>
              <w:rPr>
                <w:rFonts w:hint="eastAsia"/>
                <w:color w:val="000000" w:themeColor="text1"/>
                <w:sz w:val="24"/>
                <w:szCs w:val="24"/>
                <w:lang w:eastAsia="zh-CN"/>
                <w14:textFill>
                  <w14:solidFill>
                    <w14:schemeClr w14:val="tx1"/>
                  </w14:solidFill>
                </w14:textFill>
              </w:rPr>
              <w:t>取得了</w:t>
            </w:r>
            <w:r>
              <w:rPr>
                <w:color w:val="000000" w:themeColor="text1"/>
                <w:sz w:val="24"/>
                <w:szCs w:val="24"/>
                <w14:textFill>
                  <w14:solidFill>
                    <w14:schemeClr w14:val="tx1"/>
                  </w14:solidFill>
                </w14:textFill>
              </w:rPr>
              <w:t>大英县经济信息化和科学技术局出具的四川省资产投资项目备案表（川投资备【2309-510923-07-02-961329】JXQB-0121号）。</w:t>
            </w:r>
          </w:p>
          <w:p w14:paraId="1F9AFAAD">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原四川鸿乔再生资源利用有限公司“鸿乔再生资源利用项目”于2020年5月14日在大英县发展</w:t>
            </w:r>
            <w:r>
              <w:rPr>
                <w:rFonts w:hint="eastAsia" w:eastAsiaTheme="minorEastAsia"/>
                <w:color w:val="000000" w:themeColor="text1"/>
                <w:sz w:val="24"/>
                <w:lang w:val="en-US" w:eastAsia="zh-CN"/>
                <w14:textFill>
                  <w14:solidFill>
                    <w14:schemeClr w14:val="tx1"/>
                  </w14:solidFill>
                </w14:textFill>
              </w:rPr>
              <w:t>和</w:t>
            </w:r>
            <w:r>
              <w:rPr>
                <w:rFonts w:eastAsiaTheme="minorEastAsia"/>
                <w:color w:val="000000" w:themeColor="text1"/>
                <w:sz w:val="24"/>
                <w14:textFill>
                  <w14:solidFill>
                    <w14:schemeClr w14:val="tx1"/>
                  </w14:solidFill>
                </w14:textFill>
              </w:rPr>
              <w:t>改革局完成项目投资备案（川投资备【2020-510923-42-03-460449】FGQB-0058号），于2021年9月15日获得《遂宁市大英生态环境局关于鸿乔再生资源利用项目环境影响报告表的批复》（遂大环函〔2021〕119号）。项目利用</w:t>
            </w:r>
            <w:r>
              <w:rPr>
                <w:rFonts w:eastAsiaTheme="minorEastAsia"/>
                <w:color w:val="000000" w:themeColor="text1"/>
                <w:kern w:val="0"/>
                <w:sz w:val="24"/>
                <w14:textFill>
                  <w14:solidFill>
                    <w14:schemeClr w14:val="tx1"/>
                  </w14:solidFill>
                </w14:textFill>
              </w:rPr>
              <w:t>本地区包括建造新的建筑物所产生的建筑废料、市民装修产生的建筑装潢垃圾、拆迁工程产生的废料、道路修建与养护过程产生的废料等在内的</w:t>
            </w:r>
            <w:r>
              <w:rPr>
                <w:rFonts w:eastAsiaTheme="minorEastAsia"/>
                <w:color w:val="000000" w:themeColor="text1"/>
                <w:sz w:val="24"/>
                <w14:textFill>
                  <w14:solidFill>
                    <w14:schemeClr w14:val="tx1"/>
                  </w14:solidFill>
                </w14:textFill>
              </w:rPr>
              <w:t>建筑垃圾为主要原料，利用水泥、石灰粉、碎石、粉煤灰等作为辅料，生产轻质建筑材料（蒸养砖），年生产规模为8万m³，实现建筑垃圾的再生资源利用。受疫情影响等原因，加之流动资金困难，鸿乔公司再生资源综合利用项目未规模化正式投产，在被收购前其再生资源综合利用生产线处于停产状态。</w:t>
            </w:r>
          </w:p>
          <w:p w14:paraId="5B549D36">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永津环保公司拟通过对四川鸿乔再生资源利用有限公司现有蒸养砖生产线进行升级改造，利用本地区的建筑垃圾和永津环保公司油基岩屑厌氧热回收处理后的干渣，生产蒸养砖和蒸压灰砂砖等轻质建筑材料。项目具体升级改造方案为：</w:t>
            </w:r>
          </w:p>
          <w:p w14:paraId="3F4B0123">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1）在四川鸿乔再生资源利用有限公司现有7000㎡土地的空地内，</w:t>
            </w:r>
            <w:r>
              <w:rPr>
                <w:rFonts w:eastAsiaTheme="minorEastAsia"/>
                <w:b/>
                <w:bCs/>
                <w:color w:val="000000" w:themeColor="text1"/>
                <w:sz w:val="24"/>
                <w14:textFill>
                  <w14:solidFill>
                    <w14:schemeClr w14:val="tx1"/>
                  </w14:solidFill>
                </w14:textFill>
              </w:rPr>
              <w:t>新建一个面积约660㎡厂房</w:t>
            </w:r>
            <w:r>
              <w:rPr>
                <w:rFonts w:eastAsiaTheme="minorEastAsia"/>
                <w:color w:val="000000" w:themeColor="text1"/>
                <w:sz w:val="24"/>
                <w14:textFill>
                  <w14:solidFill>
                    <w14:schemeClr w14:val="tx1"/>
                  </w14:solidFill>
                </w14:textFill>
              </w:rPr>
              <w:t>（</w:t>
            </w:r>
            <w:r>
              <w:rPr>
                <w:rFonts w:eastAsiaTheme="minorEastAsia"/>
                <w:color w:val="000000" w:themeColor="text1"/>
                <w:kern w:val="0"/>
                <w:sz w:val="24"/>
                <w14:textFill>
                  <w14:solidFill>
                    <w14:schemeClr w14:val="tx1"/>
                  </w14:solidFill>
                </w14:textFill>
              </w:rPr>
              <w:t>采用树脂瓦构建密闭，土地现状为建制镇，不占用基本农田</w:t>
            </w:r>
            <w:r>
              <w:rPr>
                <w:rFonts w:eastAsiaTheme="minorEastAsia"/>
                <w:color w:val="000000" w:themeColor="text1"/>
                <w:sz w:val="24"/>
                <w14:textFill>
                  <w14:solidFill>
                    <w14:schemeClr w14:val="tx1"/>
                  </w14:solidFill>
                </w14:textFill>
              </w:rPr>
              <w:t>，不新增建设用地），并增新一套国内先进的全自动静压型蒸压砖成套设备，依托鸿乔公司现有的蒸养设施，利用永津环保公司油基岩屑厌氧热回收处理后的干渣作为主要原料，水泥作为辅料，生产规格为240mm×115mm×53mm的蒸压灰砂砖，年生产规模4.4万m³（约3000万块）；</w:t>
            </w:r>
          </w:p>
          <w:p w14:paraId="7F8B54F8">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对鸿乔公司现有蒸养砖生产线的部分设备进行升级改造，进一步完善项目环保及安全设施，提高生产线自动化程度，并对生产规模进行适当调整，仍采用建筑垃圾为主要原料，利用水泥、石灰块、碎石、粉煤灰等作为辅料，生产600mm×200mm×100mm/120mm/150mm/240mm等规格的蒸养砖，年生产规模为3.6万m³。</w:t>
            </w:r>
          </w:p>
          <w:p w14:paraId="2C00584D">
            <w:pPr>
              <w:adjustRightInd w:val="0"/>
              <w:snapToGrid w:val="0"/>
              <w:spacing w:line="360" w:lineRule="auto"/>
              <w:ind w:firstLine="480" w:firstLineChars="200"/>
              <w:contextualSpacing/>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对鸿乔公司现有蒸养砖生产线进行上述改造后，项目将生产蒸养砖和蒸压灰砂砖等两种轻质建材产品，</w:t>
            </w:r>
            <w:r>
              <w:rPr>
                <w:rFonts w:eastAsiaTheme="minorEastAsia"/>
                <w:b/>
                <w:bCs/>
                <w:color w:val="000000" w:themeColor="text1"/>
                <w:sz w:val="24"/>
                <w14:textFill>
                  <w14:solidFill>
                    <w14:schemeClr w14:val="tx1"/>
                  </w14:solidFill>
                </w14:textFill>
              </w:rPr>
              <w:t>项目年生产规模8万m³不变，项目污染物排放总量和能耗也维持不变。</w:t>
            </w:r>
          </w:p>
          <w:p w14:paraId="223673F7">
            <w:pPr>
              <w:spacing w:line="360" w:lineRule="auto"/>
              <w:ind w:firstLine="468" w:firstLineChars="200"/>
              <w:rPr>
                <w:color w:val="000000" w:themeColor="text1"/>
                <w:sz w:val="24"/>
                <w14:textFill>
                  <w14:solidFill>
                    <w14:schemeClr w14:val="tx1"/>
                  </w14:solidFill>
                </w14:textFill>
              </w:rPr>
            </w:pPr>
            <w:r>
              <w:rPr>
                <w:rFonts w:eastAsiaTheme="minorEastAsia"/>
                <w:color w:val="000000" w:themeColor="text1"/>
                <w:spacing w:val="-3"/>
                <w:sz w:val="24"/>
                <w14:textFill>
                  <w14:solidFill>
                    <w14:schemeClr w14:val="tx1"/>
                  </w14:solidFill>
                </w14:textFill>
              </w:rPr>
              <w:t>根据《中华人民共和国环境保护法》、《中华人民共和国环境影响评价</w:t>
            </w:r>
            <w:r>
              <w:rPr>
                <w:rFonts w:eastAsiaTheme="minorEastAsia"/>
                <w:color w:val="000000" w:themeColor="text1"/>
                <w:sz w:val="24"/>
                <w14:textFill>
                  <w14:solidFill>
                    <w14:schemeClr w14:val="tx1"/>
                  </w14:solidFill>
                </w14:textFill>
              </w:rPr>
              <w:t>法》和国务院第682号令《建设项目环境保护管理条例》等有关条款规定，本项目需进行环境影响评价，根据《建设项目环境影响评价分类管理名录》（2021</w:t>
            </w:r>
            <w:r>
              <w:rPr>
                <w:rFonts w:eastAsiaTheme="minorEastAsia"/>
                <w:color w:val="000000" w:themeColor="text1"/>
                <w:spacing w:val="-2"/>
                <w:sz w:val="24"/>
                <w14:textFill>
                  <w14:solidFill>
                    <w14:schemeClr w14:val="tx1"/>
                  </w14:solidFill>
                </w14:textFill>
              </w:rPr>
              <w:t xml:space="preserve"> </w:t>
            </w:r>
            <w:r>
              <w:rPr>
                <w:rFonts w:eastAsiaTheme="minorEastAsia"/>
                <w:color w:val="000000" w:themeColor="text1"/>
                <w:sz w:val="24"/>
                <w14:textFill>
                  <w14:solidFill>
                    <w14:schemeClr w14:val="tx1"/>
                  </w14:solidFill>
                </w14:textFill>
              </w:rPr>
              <w:t>年版）本项目属于“二十七、非金属矿物制品业30”中“56</w:t>
            </w:r>
            <w:r>
              <w:rPr>
                <w:rFonts w:eastAsiaTheme="minorEastAsia"/>
                <w:color w:val="000000" w:themeColor="text1"/>
                <w:spacing w:val="-3"/>
                <w:sz w:val="24"/>
                <w14:textFill>
                  <w14:solidFill>
                    <w14:schemeClr w14:val="tx1"/>
                  </w14:solidFill>
                </w14:textFill>
              </w:rPr>
              <w:t xml:space="preserve"> </w:t>
            </w:r>
            <w:r>
              <w:rPr>
                <w:rFonts w:eastAsiaTheme="minorEastAsia"/>
                <w:color w:val="000000" w:themeColor="text1"/>
                <w:sz w:val="24"/>
                <w14:textFill>
                  <w14:solidFill>
                    <w14:schemeClr w14:val="tx1"/>
                  </w14:solidFill>
                </w14:textFill>
              </w:rPr>
              <w:t>砖瓦、石材等建筑材料制造303”“四十七、生态保护和环境治理业，103一般工</w:t>
            </w:r>
            <w:r>
              <w:rPr>
                <w:rFonts w:eastAsiaTheme="minorEastAsia"/>
                <w:color w:val="000000" w:themeColor="text1"/>
                <w:spacing w:val="-3"/>
                <w:sz w:val="24"/>
                <w14:textFill>
                  <w14:solidFill>
                    <w14:schemeClr w14:val="tx1"/>
                  </w14:solidFill>
                </w14:textFill>
              </w:rPr>
              <w:t>业固体废物（含污水处理污泥）、建筑施工废弃物处置及综合利用”，需编</w:t>
            </w:r>
            <w:r>
              <w:rPr>
                <w:rFonts w:eastAsiaTheme="minorEastAsia"/>
                <w:color w:val="000000" w:themeColor="text1"/>
                <w:sz w:val="24"/>
                <w14:textFill>
                  <w14:solidFill>
                    <w14:schemeClr w14:val="tx1"/>
                  </w14:solidFill>
                </w14:textFill>
              </w:rPr>
              <w:t>制环境影响报告表。为此，2023年9月</w:t>
            </w:r>
            <w:r>
              <w:rPr>
                <w:rFonts w:hint="eastAsia" w:eastAsiaTheme="minorEastAsia"/>
                <w:color w:val="000000" w:themeColor="text1"/>
                <w:sz w:val="24"/>
                <w:lang w:eastAsia="zh-CN"/>
                <w14:textFill>
                  <w14:solidFill>
                    <w14:schemeClr w14:val="tx1"/>
                  </w14:solidFill>
                </w14:textFill>
              </w:rPr>
              <w:t>委托</w:t>
            </w:r>
            <w:r>
              <w:rPr>
                <w:rFonts w:eastAsiaTheme="minorEastAsia"/>
                <w:color w:val="000000" w:themeColor="text1"/>
                <w:sz w:val="24"/>
                <w:shd w:val="clear" w:color="auto" w:fill="FFFFFF"/>
                <w14:textFill>
                  <w14:solidFill>
                    <w14:schemeClr w14:val="tx1"/>
                  </w14:solidFill>
                </w14:textFill>
              </w:rPr>
              <w:t>四川清奕生态环境科技有限公司</w:t>
            </w:r>
            <w:r>
              <w:rPr>
                <w:rFonts w:eastAsiaTheme="minorEastAsia"/>
                <w:color w:val="000000" w:themeColor="text1"/>
                <w:sz w:val="24"/>
                <w14:textFill>
                  <w14:solidFill>
                    <w14:schemeClr w14:val="tx1"/>
                  </w14:solidFill>
                </w14:textFill>
              </w:rPr>
              <w:t>承担该项目的环境影响评价工作，我单位接受委托后，</w:t>
            </w:r>
            <w:r>
              <w:rPr>
                <w:rFonts w:eastAsiaTheme="minorEastAsia"/>
                <w:color w:val="000000" w:themeColor="text1"/>
                <w:spacing w:val="4"/>
                <w:sz w:val="24"/>
                <w14:textFill>
                  <w14:solidFill>
                    <w14:schemeClr w14:val="tx1"/>
                  </w14:solidFill>
                </w14:textFill>
              </w:rPr>
              <w:t>立即组织有关技术人员对工程场址及周围环境进行了详尽的实地勘察和相</w:t>
            </w:r>
            <w:r>
              <w:rPr>
                <w:rFonts w:eastAsiaTheme="minorEastAsia"/>
                <w:color w:val="000000" w:themeColor="text1"/>
                <w:spacing w:val="-2"/>
                <w:sz w:val="24"/>
                <w14:textFill>
                  <w14:solidFill>
                    <w14:schemeClr w14:val="tx1"/>
                  </w14:solidFill>
                </w14:textFill>
              </w:rPr>
              <w:t>关资料的收集、核实与分析工作，在此基础上，编制了《</w:t>
            </w:r>
            <w:r>
              <w:rPr>
                <w:rFonts w:eastAsiaTheme="minorEastAsia"/>
                <w:color w:val="000000" w:themeColor="text1"/>
                <w:sz w:val="24"/>
                <w14:textFill>
                  <w14:solidFill>
                    <w14:schemeClr w14:val="tx1"/>
                  </w14:solidFill>
                </w14:textFill>
              </w:rPr>
              <w:t>再生资源综合利用升级改造项目环境影响报告表》</w:t>
            </w:r>
            <w:r>
              <w:rPr>
                <w:color w:val="000000" w:themeColor="text1"/>
                <w:sz w:val="24"/>
                <w14:textFill>
                  <w14:solidFill>
                    <w14:schemeClr w14:val="tx1"/>
                  </w14:solidFill>
                </w14:textFill>
              </w:rPr>
              <w:t>。</w:t>
            </w:r>
          </w:p>
          <w:p w14:paraId="43C545FA">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eastAsiaTheme="minorEastAsia"/>
                <w:b/>
                <w:bCs/>
                <w:color w:val="000000" w:themeColor="text1"/>
                <w:sz w:val="24"/>
                <w14:textFill>
                  <w14:solidFill>
                    <w14:schemeClr w14:val="tx1"/>
                  </w14:solidFill>
                </w14:textFill>
              </w:rPr>
              <w:t>、</w:t>
            </w:r>
            <w:r>
              <w:rPr>
                <w:b/>
                <w:color w:val="000000" w:themeColor="text1"/>
                <w:sz w:val="24"/>
                <w14:textFill>
                  <w14:solidFill>
                    <w14:schemeClr w14:val="tx1"/>
                  </w14:solidFill>
                </w14:textFill>
              </w:rPr>
              <w:t>项目组成及主要环境问题</w:t>
            </w:r>
          </w:p>
          <w:p w14:paraId="55272357">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项目</w:t>
            </w:r>
            <w:r>
              <w:rPr>
                <w:rFonts w:eastAsiaTheme="minorEastAsia"/>
                <w:color w:val="000000" w:themeColor="text1"/>
                <w:sz w:val="24"/>
                <w14:textFill>
                  <w14:solidFill>
                    <w14:schemeClr w14:val="tx1"/>
                  </w14:solidFill>
                </w14:textFill>
              </w:rPr>
              <w:t>拟利用四川鸿乔再生资源利用有限公司的现有厂房（约2277㎡）及土地（约7000㎡），新</w:t>
            </w:r>
            <w:r>
              <w:rPr>
                <w:color w:val="000000" w:themeColor="text1"/>
                <w:sz w:val="24"/>
                <w14:textFill>
                  <w14:solidFill>
                    <w14:schemeClr w14:val="tx1"/>
                  </w14:solidFill>
                </w14:textFill>
              </w:rPr>
              <w:t>建生产车间约660m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；主要设备有球磨机、配料机、切割机组、蒸压养护生产线等。项目建成以后可年产轻质建筑材料8万立方米。项目组成及主要环境问题见下表。</w:t>
            </w:r>
          </w:p>
          <w:p w14:paraId="7BD06F9B">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表2-1 项目组成及主要环境问题</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45"/>
              <w:gridCol w:w="4278"/>
              <w:gridCol w:w="1080"/>
              <w:gridCol w:w="927"/>
              <w:gridCol w:w="762"/>
            </w:tblGrid>
            <w:tr w14:paraId="4531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tc>
                <w:tcPr>
                  <w:tcW w:w="902" w:type="pct"/>
                  <w:gridSpan w:val="2"/>
                  <w:vMerge w:val="restart"/>
                  <w:vAlign w:val="center"/>
                </w:tcPr>
                <w:p w14:paraId="3C7E4E2A">
                  <w:pPr>
                    <w:pStyle w:val="80"/>
                    <w:spacing w:line="228"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项目组成</w:t>
                  </w:r>
                </w:p>
              </w:tc>
              <w:tc>
                <w:tcPr>
                  <w:tcW w:w="2487" w:type="pct"/>
                  <w:vMerge w:val="restart"/>
                  <w:vAlign w:val="center"/>
                </w:tcPr>
                <w:p w14:paraId="66DA5B54">
                  <w:pPr>
                    <w:pStyle w:val="80"/>
                    <w:spacing w:line="228"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建设内容及规模</w:t>
                  </w:r>
                </w:p>
              </w:tc>
              <w:tc>
                <w:tcPr>
                  <w:tcW w:w="1167" w:type="pct"/>
                  <w:gridSpan w:val="2"/>
                  <w:vAlign w:val="center"/>
                </w:tcPr>
                <w:p w14:paraId="5217C838">
                  <w:pPr>
                    <w:pStyle w:val="80"/>
                    <w:spacing w:line="228"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可能产生的</w:t>
                  </w:r>
                </w:p>
                <w:p w14:paraId="039590E3">
                  <w:pPr>
                    <w:pStyle w:val="80"/>
                    <w:spacing w:line="228"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环境问题</w:t>
                  </w:r>
                </w:p>
              </w:tc>
              <w:tc>
                <w:tcPr>
                  <w:tcW w:w="443" w:type="pct"/>
                  <w:vMerge w:val="restart"/>
                  <w:vAlign w:val="center"/>
                </w:tcPr>
                <w:p w14:paraId="3CBC3547">
                  <w:pPr>
                    <w:pStyle w:val="80"/>
                    <w:spacing w:line="228"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备注</w:t>
                  </w:r>
                </w:p>
              </w:tc>
            </w:tr>
            <w:tr w14:paraId="3736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902" w:type="pct"/>
                  <w:gridSpan w:val="2"/>
                  <w:vMerge w:val="continue"/>
                  <w:vAlign w:val="center"/>
                </w:tcPr>
                <w:p w14:paraId="58130A83">
                  <w:pPr>
                    <w:pStyle w:val="79"/>
                    <w:spacing w:line="228" w:lineRule="auto"/>
                    <w:jc w:val="both"/>
                    <w:rPr>
                      <w:rFonts w:ascii="Times New Roman" w:hAnsi="Times New Roman"/>
                      <w:color w:val="000000" w:themeColor="text1"/>
                      <w14:textFill>
                        <w14:solidFill>
                          <w14:schemeClr w14:val="tx1"/>
                        </w14:solidFill>
                      </w14:textFill>
                    </w:rPr>
                  </w:pPr>
                </w:p>
              </w:tc>
              <w:tc>
                <w:tcPr>
                  <w:tcW w:w="2487" w:type="pct"/>
                  <w:vMerge w:val="continue"/>
                  <w:vAlign w:val="center"/>
                </w:tcPr>
                <w:p w14:paraId="4B985A50">
                  <w:pPr>
                    <w:pStyle w:val="79"/>
                    <w:spacing w:line="228" w:lineRule="auto"/>
                    <w:jc w:val="both"/>
                    <w:rPr>
                      <w:rFonts w:ascii="Times New Roman" w:hAnsi="Times New Roman"/>
                      <w:color w:val="000000" w:themeColor="text1"/>
                      <w14:textFill>
                        <w14:solidFill>
                          <w14:schemeClr w14:val="tx1"/>
                        </w14:solidFill>
                      </w14:textFill>
                    </w:rPr>
                  </w:pPr>
                </w:p>
              </w:tc>
              <w:tc>
                <w:tcPr>
                  <w:tcW w:w="628" w:type="pct"/>
                  <w:vAlign w:val="center"/>
                </w:tcPr>
                <w:p w14:paraId="468FD3B7">
                  <w:pPr>
                    <w:pStyle w:val="79"/>
                    <w:spacing w:line="228" w:lineRule="auto"/>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施工期</w:t>
                  </w:r>
                </w:p>
              </w:tc>
              <w:tc>
                <w:tcPr>
                  <w:tcW w:w="539" w:type="pct"/>
                  <w:vAlign w:val="center"/>
                </w:tcPr>
                <w:p w14:paraId="12FC04E6">
                  <w:pPr>
                    <w:pStyle w:val="79"/>
                    <w:spacing w:line="228" w:lineRule="auto"/>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运营期</w:t>
                  </w:r>
                </w:p>
              </w:tc>
              <w:tc>
                <w:tcPr>
                  <w:tcW w:w="443" w:type="pct"/>
                  <w:vMerge w:val="continue"/>
                  <w:vAlign w:val="center"/>
                </w:tcPr>
                <w:p w14:paraId="4789F6CD">
                  <w:pPr>
                    <w:pStyle w:val="79"/>
                    <w:spacing w:line="228" w:lineRule="auto"/>
                    <w:jc w:val="both"/>
                    <w:rPr>
                      <w:rFonts w:ascii="Times New Roman" w:hAnsi="Times New Roman"/>
                      <w:color w:val="000000" w:themeColor="text1"/>
                      <w14:textFill>
                        <w14:solidFill>
                          <w14:schemeClr w14:val="tx1"/>
                        </w14:solidFill>
                      </w14:textFill>
                    </w:rPr>
                  </w:pPr>
                </w:p>
              </w:tc>
            </w:tr>
            <w:tr w14:paraId="3421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trPr>
              <w:tc>
                <w:tcPr>
                  <w:tcW w:w="411" w:type="pct"/>
                  <w:vAlign w:val="center"/>
                </w:tcPr>
                <w:p w14:paraId="562B4442">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主体工程</w:t>
                  </w:r>
                </w:p>
              </w:tc>
              <w:tc>
                <w:tcPr>
                  <w:tcW w:w="491" w:type="pct"/>
                  <w:vAlign w:val="center"/>
                </w:tcPr>
                <w:p w14:paraId="235A9A40">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生产区</w:t>
                  </w:r>
                </w:p>
              </w:tc>
              <w:tc>
                <w:tcPr>
                  <w:tcW w:w="2487" w:type="pct"/>
                  <w:vAlign w:val="center"/>
                </w:tcPr>
                <w:p w14:paraId="0691D4D9">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生产车间为一层厂房，采用树脂瓦构建密闭厂房。生产区面积约660 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，主要设粉料筒仓区、配料搅拌区、模具成型区、蒸压养护区。布置设备有配料机、粉碎机、切割机、蒸压釜等。</w:t>
                  </w:r>
                </w:p>
              </w:tc>
              <w:tc>
                <w:tcPr>
                  <w:tcW w:w="628" w:type="pct"/>
                  <w:vMerge w:val="restart"/>
                  <w:vAlign w:val="center"/>
                </w:tcPr>
                <w:p w14:paraId="690E8F8E">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施工废水、施工期生活污水、施工作业噪声、施工车辆噪声、生活垃圾等</w:t>
                  </w:r>
                </w:p>
              </w:tc>
              <w:tc>
                <w:tcPr>
                  <w:tcW w:w="539" w:type="pct"/>
                  <w:vAlign w:val="center"/>
                </w:tcPr>
                <w:p w14:paraId="51A47D95">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粉尘、噪声、固废</w:t>
                  </w:r>
                </w:p>
              </w:tc>
              <w:tc>
                <w:tcPr>
                  <w:tcW w:w="443" w:type="pct"/>
                  <w:vAlign w:val="center"/>
                </w:tcPr>
                <w:p w14:paraId="7BD63BC7">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r w14:paraId="2ED8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11" w:type="pct"/>
                  <w:vMerge w:val="restart"/>
                  <w:vAlign w:val="center"/>
                </w:tcPr>
                <w:p w14:paraId="48BD0ED1">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辅助</w:t>
                  </w:r>
                </w:p>
                <w:p w14:paraId="14BFCA3A">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工程</w:t>
                  </w:r>
                </w:p>
              </w:tc>
              <w:tc>
                <w:tcPr>
                  <w:tcW w:w="491" w:type="pct"/>
                  <w:vAlign w:val="center"/>
                </w:tcPr>
                <w:p w14:paraId="4E2DE0E0">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摆渡区与轨道航吊</w:t>
                  </w:r>
                </w:p>
              </w:tc>
              <w:tc>
                <w:tcPr>
                  <w:tcW w:w="2487" w:type="pct"/>
                  <w:vAlign w:val="center"/>
                </w:tcPr>
                <w:p w14:paraId="15B79BE3">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项目在配料机楼东侧设摆渡区，面积约30m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，在蒸压釜南侧设摆渡区域，面积约160m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。项目中部与东南侧设地移动轨道与航吊架。摆渡区、轨道与航吊主要用于成品、半成品的转运。</w:t>
                  </w:r>
                </w:p>
              </w:tc>
              <w:tc>
                <w:tcPr>
                  <w:tcW w:w="628" w:type="pct"/>
                  <w:vMerge w:val="continue"/>
                  <w:vAlign w:val="center"/>
                </w:tcPr>
                <w:p w14:paraId="2C6234F2">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024A6946">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噪声、粉尘</w:t>
                  </w:r>
                </w:p>
              </w:tc>
              <w:tc>
                <w:tcPr>
                  <w:tcW w:w="443" w:type="pct"/>
                  <w:vAlign w:val="center"/>
                </w:tcPr>
                <w:p w14:paraId="541BA5E7">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r w14:paraId="101B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11" w:type="pct"/>
                  <w:vMerge w:val="continue"/>
                  <w:vAlign w:val="center"/>
                </w:tcPr>
                <w:p w14:paraId="05043CD6">
                  <w:pPr>
                    <w:pStyle w:val="79"/>
                    <w:spacing w:line="228" w:lineRule="auto"/>
                    <w:jc w:val="both"/>
                    <w:rPr>
                      <w:rFonts w:ascii="Times New Roman" w:hAnsi="Times New Roman"/>
                      <w:color w:val="000000" w:themeColor="text1"/>
                      <w14:textFill>
                        <w14:solidFill>
                          <w14:schemeClr w14:val="tx1"/>
                        </w14:solidFill>
                      </w14:textFill>
                    </w:rPr>
                  </w:pPr>
                </w:p>
              </w:tc>
              <w:tc>
                <w:tcPr>
                  <w:tcW w:w="491" w:type="pct"/>
                  <w:vAlign w:val="center"/>
                </w:tcPr>
                <w:p w14:paraId="51CB008C">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养护区</w:t>
                  </w:r>
                </w:p>
              </w:tc>
              <w:tc>
                <w:tcPr>
                  <w:tcW w:w="2487" w:type="pct"/>
                  <w:vAlign w:val="center"/>
                </w:tcPr>
                <w:p w14:paraId="3B182E1D">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项目轨道区域作为项目养护区，占地面积约为120 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w:t>
                  </w:r>
                </w:p>
              </w:tc>
              <w:tc>
                <w:tcPr>
                  <w:tcW w:w="628" w:type="pct"/>
                  <w:vMerge w:val="continue"/>
                  <w:vAlign w:val="center"/>
                </w:tcPr>
                <w:p w14:paraId="62BA7568">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52ACDAF3">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4FEB00EB">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r w14:paraId="11CA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rPr>
              <w:tc>
                <w:tcPr>
                  <w:tcW w:w="411" w:type="pct"/>
                  <w:vMerge w:val="restart"/>
                  <w:vAlign w:val="center"/>
                </w:tcPr>
                <w:p w14:paraId="5282B2D0">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公用工程与</w:t>
                  </w:r>
                </w:p>
              </w:tc>
              <w:tc>
                <w:tcPr>
                  <w:tcW w:w="491" w:type="pct"/>
                  <w:vAlign w:val="center"/>
                </w:tcPr>
                <w:p w14:paraId="6BE02465">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供电</w:t>
                  </w:r>
                </w:p>
              </w:tc>
              <w:tc>
                <w:tcPr>
                  <w:tcW w:w="2487" w:type="pct"/>
                  <w:vAlign w:val="center"/>
                </w:tcPr>
                <w:p w14:paraId="7EA4E362">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市政电网提供</w:t>
                  </w:r>
                </w:p>
              </w:tc>
              <w:tc>
                <w:tcPr>
                  <w:tcW w:w="628" w:type="pct"/>
                  <w:vMerge w:val="continue"/>
                  <w:vAlign w:val="center"/>
                </w:tcPr>
                <w:p w14:paraId="6C080105">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7E52569D">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739592E7">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w:t>
                  </w:r>
                </w:p>
              </w:tc>
            </w:tr>
            <w:tr w14:paraId="2F77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411" w:type="pct"/>
                  <w:vMerge w:val="continue"/>
                  <w:vAlign w:val="center"/>
                </w:tcPr>
                <w:p w14:paraId="3CC8CD00">
                  <w:pPr>
                    <w:pStyle w:val="79"/>
                    <w:spacing w:line="228" w:lineRule="auto"/>
                    <w:jc w:val="both"/>
                    <w:rPr>
                      <w:rFonts w:ascii="Times New Roman" w:hAnsi="Times New Roman"/>
                      <w:color w:val="000000" w:themeColor="text1"/>
                      <w14:textFill>
                        <w14:solidFill>
                          <w14:schemeClr w14:val="tx1"/>
                        </w14:solidFill>
                      </w14:textFill>
                    </w:rPr>
                  </w:pPr>
                </w:p>
              </w:tc>
              <w:tc>
                <w:tcPr>
                  <w:tcW w:w="491" w:type="pct"/>
                  <w:vAlign w:val="center"/>
                </w:tcPr>
                <w:p w14:paraId="63104609">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供水</w:t>
                  </w:r>
                </w:p>
              </w:tc>
              <w:tc>
                <w:tcPr>
                  <w:tcW w:w="2487" w:type="pct"/>
                  <w:vAlign w:val="center"/>
                </w:tcPr>
                <w:p w14:paraId="30BE6AF7">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生活用水使用自来水，由市政给水管网接入</w:t>
                  </w:r>
                </w:p>
              </w:tc>
              <w:tc>
                <w:tcPr>
                  <w:tcW w:w="628" w:type="pct"/>
                  <w:vMerge w:val="continue"/>
                  <w:vAlign w:val="center"/>
                </w:tcPr>
                <w:p w14:paraId="0FD4E4CE">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0CCDD136">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03451519">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w:t>
                  </w:r>
                </w:p>
              </w:tc>
            </w:tr>
            <w:tr w14:paraId="1AE0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411" w:type="pct"/>
                  <w:vMerge w:val="continue"/>
                  <w:vAlign w:val="center"/>
                </w:tcPr>
                <w:p w14:paraId="24452170">
                  <w:pPr>
                    <w:pStyle w:val="79"/>
                    <w:spacing w:line="228" w:lineRule="auto"/>
                    <w:jc w:val="both"/>
                    <w:rPr>
                      <w:rFonts w:ascii="Times New Roman" w:hAnsi="Times New Roman"/>
                      <w:color w:val="000000" w:themeColor="text1"/>
                      <w14:textFill>
                        <w14:solidFill>
                          <w14:schemeClr w14:val="tx1"/>
                        </w14:solidFill>
                      </w14:textFill>
                    </w:rPr>
                  </w:pPr>
                </w:p>
              </w:tc>
              <w:tc>
                <w:tcPr>
                  <w:tcW w:w="491" w:type="pct"/>
                  <w:vAlign w:val="center"/>
                </w:tcPr>
                <w:p w14:paraId="47C02848">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供气</w:t>
                  </w:r>
                </w:p>
              </w:tc>
              <w:tc>
                <w:tcPr>
                  <w:tcW w:w="2487" w:type="pct"/>
                  <w:vAlign w:val="center"/>
                </w:tcPr>
                <w:p w14:paraId="6EDED9CF">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卧式蒸汽锅炉4t/h</w:t>
                  </w:r>
                </w:p>
              </w:tc>
              <w:tc>
                <w:tcPr>
                  <w:tcW w:w="628" w:type="pct"/>
                  <w:vMerge w:val="continue"/>
                  <w:vAlign w:val="center"/>
                </w:tcPr>
                <w:p w14:paraId="51407D4C">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03D68770">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52069A63">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w:t>
                  </w:r>
                </w:p>
              </w:tc>
            </w:tr>
            <w:tr w14:paraId="3238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411" w:type="pct"/>
                  <w:vAlign w:val="center"/>
                </w:tcPr>
                <w:p w14:paraId="3C710CD7">
                  <w:pPr>
                    <w:spacing w:line="228"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办公</w:t>
                  </w:r>
                </w:p>
                <w:p w14:paraId="6BCC6E1B">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生活设施</w:t>
                  </w:r>
                </w:p>
              </w:tc>
              <w:tc>
                <w:tcPr>
                  <w:tcW w:w="491" w:type="pct"/>
                  <w:vAlign w:val="center"/>
                </w:tcPr>
                <w:p w14:paraId="0C8627B8">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办公室</w:t>
                  </w:r>
                </w:p>
              </w:tc>
              <w:tc>
                <w:tcPr>
                  <w:tcW w:w="2487" w:type="pct"/>
                  <w:vAlign w:val="center"/>
                </w:tcPr>
                <w:p w14:paraId="20B152EA">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位于车间东北侧，面积约73m</w:t>
                  </w:r>
                  <w:r>
                    <w:rPr>
                      <w:rFonts w:ascii="Times New Roman" w:hAnsi="Times New Roman"/>
                      <w:color w:val="000000" w:themeColor="text1"/>
                      <w:vertAlign w:val="superscript"/>
                      <w14:textFill>
                        <w14:solidFill>
                          <w14:schemeClr w14:val="tx1"/>
                        </w14:solidFill>
                      </w14:textFill>
                    </w:rPr>
                    <w:t>2</w:t>
                  </w:r>
                </w:p>
              </w:tc>
              <w:tc>
                <w:tcPr>
                  <w:tcW w:w="628" w:type="pct"/>
                  <w:vMerge w:val="continue"/>
                  <w:vAlign w:val="center"/>
                </w:tcPr>
                <w:p w14:paraId="16F82C4A">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1EF69811">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生活污水、生活垃圾</w:t>
                  </w:r>
                </w:p>
              </w:tc>
              <w:tc>
                <w:tcPr>
                  <w:tcW w:w="443" w:type="pct"/>
                  <w:vAlign w:val="center"/>
                </w:tcPr>
                <w:p w14:paraId="49019567">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w:t>
                  </w:r>
                </w:p>
              </w:tc>
            </w:tr>
            <w:tr w14:paraId="1D39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411" w:type="pct"/>
                  <w:vMerge w:val="restart"/>
                  <w:vAlign w:val="center"/>
                </w:tcPr>
                <w:p w14:paraId="384D8C35">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仓储工程</w:t>
                  </w:r>
                </w:p>
              </w:tc>
              <w:tc>
                <w:tcPr>
                  <w:tcW w:w="491" w:type="pct"/>
                  <w:vAlign w:val="center"/>
                </w:tcPr>
                <w:p w14:paraId="01C33494">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原材料区</w:t>
                  </w:r>
                </w:p>
              </w:tc>
              <w:tc>
                <w:tcPr>
                  <w:tcW w:w="2487" w:type="pct"/>
                  <w:vAlign w:val="center"/>
                </w:tcPr>
                <w:p w14:paraId="016ACEA2">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生产间西南侧一般工业固体废物，面积约30m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 xml:space="preserve">，配备喷雾装置； </w:t>
                  </w:r>
                </w:p>
              </w:tc>
              <w:tc>
                <w:tcPr>
                  <w:tcW w:w="628" w:type="pct"/>
                  <w:vMerge w:val="continue"/>
                  <w:vAlign w:val="center"/>
                </w:tcPr>
                <w:p w14:paraId="7F0997C3">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01C1CEAF">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4F96F1C8">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r w14:paraId="6B74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411" w:type="pct"/>
                  <w:vMerge w:val="continue"/>
                  <w:vAlign w:val="center"/>
                </w:tcPr>
                <w:p w14:paraId="4F585F02">
                  <w:pPr>
                    <w:pStyle w:val="79"/>
                    <w:spacing w:line="228" w:lineRule="auto"/>
                    <w:jc w:val="both"/>
                    <w:rPr>
                      <w:rFonts w:ascii="Times New Roman" w:hAnsi="Times New Roman"/>
                      <w:b/>
                      <w:bCs/>
                      <w:color w:val="000000" w:themeColor="text1"/>
                      <w14:textFill>
                        <w14:solidFill>
                          <w14:schemeClr w14:val="tx1"/>
                        </w14:solidFill>
                      </w14:textFill>
                    </w:rPr>
                  </w:pPr>
                </w:p>
              </w:tc>
              <w:tc>
                <w:tcPr>
                  <w:tcW w:w="491" w:type="pct"/>
                  <w:vAlign w:val="center"/>
                </w:tcPr>
                <w:p w14:paraId="67BEF987">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成品区</w:t>
                  </w:r>
                </w:p>
              </w:tc>
              <w:tc>
                <w:tcPr>
                  <w:tcW w:w="2487" w:type="pct"/>
                  <w:vAlign w:val="center"/>
                </w:tcPr>
                <w:p w14:paraId="17977A1D">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位于生产车间外东侧，面积约100m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w:t>
                  </w:r>
                </w:p>
              </w:tc>
              <w:tc>
                <w:tcPr>
                  <w:tcW w:w="628" w:type="pct"/>
                  <w:vMerge w:val="continue"/>
                  <w:vAlign w:val="center"/>
                </w:tcPr>
                <w:p w14:paraId="0F673429">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0B900F85">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7D3DE428">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r w14:paraId="76BF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411" w:type="pct"/>
                  <w:vMerge w:val="restart"/>
                  <w:vAlign w:val="center"/>
                </w:tcPr>
                <w:p w14:paraId="712F598F">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环保工程</w:t>
                  </w:r>
                </w:p>
              </w:tc>
              <w:tc>
                <w:tcPr>
                  <w:tcW w:w="491" w:type="pct"/>
                  <w:vAlign w:val="center"/>
                </w:tcPr>
                <w:p w14:paraId="2DDCB60D">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生活污水</w:t>
                  </w:r>
                </w:p>
              </w:tc>
              <w:tc>
                <w:tcPr>
                  <w:tcW w:w="2487" w:type="pct"/>
                  <w:vAlign w:val="center"/>
                </w:tcPr>
                <w:p w14:paraId="79972878">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进入虎林砖厂预处理池（10m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）处理，用作农肥施用于周边土地，不外排。</w:t>
                  </w:r>
                </w:p>
              </w:tc>
              <w:tc>
                <w:tcPr>
                  <w:tcW w:w="628" w:type="pct"/>
                  <w:vMerge w:val="continue"/>
                  <w:vAlign w:val="center"/>
                </w:tcPr>
                <w:p w14:paraId="64F5E517">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27B87C43">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生活污水</w:t>
                  </w:r>
                </w:p>
              </w:tc>
              <w:tc>
                <w:tcPr>
                  <w:tcW w:w="443" w:type="pct"/>
                  <w:vAlign w:val="center"/>
                </w:tcPr>
                <w:p w14:paraId="5C6F87CB">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w:t>
                  </w:r>
                </w:p>
              </w:tc>
            </w:tr>
            <w:tr w14:paraId="4A28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411" w:type="pct"/>
                  <w:vMerge w:val="continue"/>
                  <w:vAlign w:val="center"/>
                </w:tcPr>
                <w:p w14:paraId="38C5A7D8">
                  <w:pPr>
                    <w:pStyle w:val="79"/>
                    <w:spacing w:line="228" w:lineRule="auto"/>
                    <w:jc w:val="both"/>
                    <w:rPr>
                      <w:rFonts w:ascii="Times New Roman" w:hAnsi="Times New Roman"/>
                      <w:color w:val="000000" w:themeColor="text1"/>
                      <w14:textFill>
                        <w14:solidFill>
                          <w14:schemeClr w14:val="tx1"/>
                        </w14:solidFill>
                      </w14:textFill>
                    </w:rPr>
                  </w:pPr>
                </w:p>
              </w:tc>
              <w:tc>
                <w:tcPr>
                  <w:tcW w:w="491" w:type="pct"/>
                  <w:vAlign w:val="center"/>
                </w:tcPr>
                <w:p w14:paraId="45F4EC2B">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生产废水</w:t>
                  </w:r>
                </w:p>
              </w:tc>
              <w:tc>
                <w:tcPr>
                  <w:tcW w:w="2487" w:type="pct"/>
                  <w:vAlign w:val="center"/>
                </w:tcPr>
                <w:p w14:paraId="3976692E">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引入沉淀池（10m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）处理后回用于生产，不外排。</w:t>
                  </w:r>
                </w:p>
              </w:tc>
              <w:tc>
                <w:tcPr>
                  <w:tcW w:w="628" w:type="pct"/>
                  <w:vMerge w:val="continue"/>
                  <w:vAlign w:val="center"/>
                </w:tcPr>
                <w:p w14:paraId="76229AFA">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43F185DE">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43" w:type="pct"/>
                  <w:vAlign w:val="center"/>
                </w:tcPr>
                <w:p w14:paraId="618F4974">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w:t>
                  </w:r>
                </w:p>
              </w:tc>
            </w:tr>
            <w:tr w14:paraId="1D59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411" w:type="pct"/>
                  <w:vMerge w:val="continue"/>
                  <w:vAlign w:val="center"/>
                </w:tcPr>
                <w:p w14:paraId="2FFAB567">
                  <w:pPr>
                    <w:pStyle w:val="79"/>
                    <w:spacing w:line="228" w:lineRule="auto"/>
                    <w:jc w:val="both"/>
                    <w:rPr>
                      <w:rFonts w:ascii="Times New Roman" w:hAnsi="Times New Roman"/>
                      <w:color w:val="000000" w:themeColor="text1"/>
                      <w14:textFill>
                        <w14:solidFill>
                          <w14:schemeClr w14:val="tx1"/>
                        </w14:solidFill>
                      </w14:textFill>
                    </w:rPr>
                  </w:pPr>
                </w:p>
              </w:tc>
              <w:tc>
                <w:tcPr>
                  <w:tcW w:w="491" w:type="pct"/>
                  <w:vAlign w:val="center"/>
                </w:tcPr>
                <w:p w14:paraId="6F493FCC">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粉尘</w:t>
                  </w:r>
                </w:p>
              </w:tc>
              <w:tc>
                <w:tcPr>
                  <w:tcW w:w="2487" w:type="pct"/>
                  <w:vAlign w:val="center"/>
                </w:tcPr>
                <w:p w14:paraId="7D04075E">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设置布袋除尘器1套，15m排气筒1根。</w:t>
                  </w:r>
                </w:p>
              </w:tc>
              <w:tc>
                <w:tcPr>
                  <w:tcW w:w="628" w:type="pct"/>
                  <w:vMerge w:val="continue"/>
                  <w:vAlign w:val="center"/>
                </w:tcPr>
                <w:p w14:paraId="6F781465">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2593DCEE">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粉尘</w:t>
                  </w:r>
                </w:p>
              </w:tc>
              <w:tc>
                <w:tcPr>
                  <w:tcW w:w="443" w:type="pct"/>
                  <w:vAlign w:val="center"/>
                </w:tcPr>
                <w:p w14:paraId="7689B800">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r w14:paraId="13E0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411" w:type="pct"/>
                  <w:vMerge w:val="continue"/>
                  <w:vAlign w:val="center"/>
                </w:tcPr>
                <w:p w14:paraId="39BED560">
                  <w:pPr>
                    <w:pStyle w:val="79"/>
                    <w:spacing w:line="228" w:lineRule="auto"/>
                    <w:jc w:val="both"/>
                    <w:rPr>
                      <w:rFonts w:ascii="Times New Roman" w:hAnsi="Times New Roman"/>
                      <w:color w:val="000000" w:themeColor="text1"/>
                      <w14:textFill>
                        <w14:solidFill>
                          <w14:schemeClr w14:val="tx1"/>
                        </w14:solidFill>
                      </w14:textFill>
                    </w:rPr>
                  </w:pPr>
                </w:p>
              </w:tc>
              <w:tc>
                <w:tcPr>
                  <w:tcW w:w="491" w:type="pct"/>
                  <w:vAlign w:val="center"/>
                </w:tcPr>
                <w:p w14:paraId="45AF5CF8">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固废</w:t>
                  </w:r>
                </w:p>
              </w:tc>
              <w:tc>
                <w:tcPr>
                  <w:tcW w:w="2487" w:type="pct"/>
                  <w:vAlign w:val="center"/>
                </w:tcPr>
                <w:p w14:paraId="3934792C">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生活垃圾设垃圾桶收集，由环卫部门清运。</w:t>
                  </w:r>
                </w:p>
              </w:tc>
              <w:tc>
                <w:tcPr>
                  <w:tcW w:w="628" w:type="pct"/>
                  <w:vMerge w:val="continue"/>
                  <w:vAlign w:val="center"/>
                </w:tcPr>
                <w:p w14:paraId="4F6FCB9D">
                  <w:pPr>
                    <w:pStyle w:val="79"/>
                    <w:spacing w:line="228" w:lineRule="auto"/>
                    <w:jc w:val="both"/>
                    <w:rPr>
                      <w:rFonts w:ascii="Times New Roman" w:hAnsi="Times New Roman"/>
                      <w:color w:val="000000" w:themeColor="text1"/>
                      <w14:textFill>
                        <w14:solidFill>
                          <w14:schemeClr w14:val="tx1"/>
                        </w14:solidFill>
                      </w14:textFill>
                    </w:rPr>
                  </w:pPr>
                </w:p>
              </w:tc>
              <w:tc>
                <w:tcPr>
                  <w:tcW w:w="539" w:type="pct"/>
                  <w:vAlign w:val="center"/>
                </w:tcPr>
                <w:p w14:paraId="5572CFE9">
                  <w:pPr>
                    <w:pStyle w:val="79"/>
                    <w:spacing w:line="228"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固废</w:t>
                  </w:r>
                </w:p>
              </w:tc>
              <w:tc>
                <w:tcPr>
                  <w:tcW w:w="443" w:type="pct"/>
                  <w:vAlign w:val="center"/>
                </w:tcPr>
                <w:p w14:paraId="69C52B51">
                  <w:pPr>
                    <w:pStyle w:val="79"/>
                    <w:spacing w:line="228" w:lineRule="auto"/>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新建</w:t>
                  </w:r>
                </w:p>
              </w:tc>
            </w:tr>
          </w:tbl>
          <w:p w14:paraId="6A60993C">
            <w:pPr>
              <w:pStyle w:val="12"/>
              <w:spacing w:line="360" w:lineRule="auto"/>
              <w:ind w:left="0" w:right="0" w:firstLine="0"/>
              <w:rPr>
                <w:color w:val="000000" w:themeColor="text1"/>
                <w14:textFill>
                  <w14:solidFill>
                    <w14:schemeClr w14:val="tx1"/>
                  </w14:solidFill>
                </w14:textFill>
              </w:rPr>
            </w:pPr>
            <w:r>
              <w:rPr>
                <w:b/>
                <w:color w:val="000000" w:themeColor="text1"/>
                <w:sz w:val="24"/>
                <w14:textFill>
                  <w14:solidFill>
                    <w14:schemeClr w14:val="tx1"/>
                  </w14:solidFill>
                </w14:textFill>
              </w:rPr>
              <w:t>3</w:t>
            </w:r>
            <w:r>
              <w:rPr>
                <w:rFonts w:eastAsiaTheme="minorEastAsia"/>
                <w:b/>
                <w:bCs/>
                <w:color w:val="000000" w:themeColor="text1"/>
                <w:sz w:val="24"/>
                <w14:textFill>
                  <w14:solidFill>
                    <w14:schemeClr w14:val="tx1"/>
                  </w14:solidFill>
                </w14:textFill>
              </w:rPr>
              <w:t>、项目</w:t>
            </w:r>
            <w:r>
              <w:rPr>
                <w:b/>
                <w:color w:val="000000" w:themeColor="text1"/>
                <w:sz w:val="24"/>
                <w14:textFill>
                  <w14:solidFill>
                    <w14:schemeClr w14:val="tx1"/>
                  </w14:solidFill>
                </w14:textFill>
              </w:rPr>
              <w:t>主要产品及产能</w:t>
            </w:r>
          </w:p>
          <w:p w14:paraId="78A61DC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本项目年产轻质建筑材料8万立方米，具体产品方案见下表。</w:t>
            </w:r>
          </w:p>
          <w:p w14:paraId="4E312CE4">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表2-2生产规模及产品方案一览表</w:t>
            </w:r>
          </w:p>
          <w:tbl>
            <w:tblPr>
              <w:tblStyle w:val="25"/>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26"/>
              <w:gridCol w:w="2109"/>
              <w:gridCol w:w="2053"/>
              <w:gridCol w:w="796"/>
              <w:gridCol w:w="768"/>
              <w:gridCol w:w="904"/>
              <w:gridCol w:w="726"/>
            </w:tblGrid>
            <w:tr w14:paraId="1BF6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atLeast"/>
                <w:jc w:val="center"/>
              </w:trPr>
              <w:tc>
                <w:tcPr>
                  <w:tcW w:w="664" w:type="pct"/>
                  <w:vAlign w:val="center"/>
                </w:tcPr>
                <w:p w14:paraId="2BE3DB7F">
                  <w:pPr>
                    <w:widowControl/>
                    <w:textAlignment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1243" w:type="pct"/>
                  <w:vAlign w:val="center"/>
                </w:tcPr>
                <w:p w14:paraId="40E65400">
                  <w:pPr>
                    <w:widowControl/>
                    <w:textAlignment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产品样式</w:t>
                  </w:r>
                </w:p>
              </w:tc>
              <w:tc>
                <w:tcPr>
                  <w:tcW w:w="1210" w:type="pct"/>
                  <w:vAlign w:val="center"/>
                </w:tcPr>
                <w:p w14:paraId="232E0D98">
                  <w:pPr>
                    <w:widowControl/>
                    <w:textAlignment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规格</w:t>
                  </w:r>
                </w:p>
              </w:tc>
              <w:tc>
                <w:tcPr>
                  <w:tcW w:w="469" w:type="pct"/>
                  <w:vAlign w:val="center"/>
                </w:tcPr>
                <w:p w14:paraId="535FCEF6">
                  <w:pPr>
                    <w:widowControl/>
                    <w:textAlignment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技改前年产能</w:t>
                  </w:r>
                </w:p>
              </w:tc>
              <w:tc>
                <w:tcPr>
                  <w:tcW w:w="453" w:type="pct"/>
                </w:tcPr>
                <w:p w14:paraId="3873C077">
                  <w:pPr>
                    <w:widowControl/>
                    <w:jc w:val="center"/>
                    <w:textAlignment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技改前后产能</w:t>
                  </w:r>
                </w:p>
              </w:tc>
              <w:tc>
                <w:tcPr>
                  <w:tcW w:w="533" w:type="pct"/>
                  <w:vAlign w:val="center"/>
                </w:tcPr>
                <w:p w14:paraId="6F3402E7">
                  <w:pPr>
                    <w:widowControl/>
                    <w:jc w:val="center"/>
                    <w:textAlignment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变化量</w:t>
                  </w:r>
                </w:p>
              </w:tc>
              <w:tc>
                <w:tcPr>
                  <w:tcW w:w="428" w:type="pct"/>
                  <w:vAlign w:val="center"/>
                </w:tcPr>
                <w:p w14:paraId="6ACB9B3C">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备注</w:t>
                  </w:r>
                </w:p>
              </w:tc>
            </w:tr>
            <w:tr w14:paraId="7764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9" w:hRule="atLeast"/>
                <w:jc w:val="center"/>
              </w:trPr>
              <w:tc>
                <w:tcPr>
                  <w:tcW w:w="664" w:type="pct"/>
                  <w:vAlign w:val="center"/>
                </w:tcPr>
                <w:p w14:paraId="1AE18D8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蒸压灰砂砖</w:t>
                  </w:r>
                </w:p>
              </w:tc>
              <w:tc>
                <w:tcPr>
                  <w:tcW w:w="1243" w:type="pct"/>
                  <w:vAlign w:val="center"/>
                </w:tcPr>
                <w:p w14:paraId="70B79F6D">
                  <w:pPr>
                    <w:widowControl/>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0" distR="0">
                        <wp:extent cx="1207770" cy="1382395"/>
                        <wp:effectExtent l="0" t="0" r="0" b="8255"/>
                        <wp:docPr id="20463087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8793"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28145" cy="1406060"/>
                                </a:xfrm>
                                <a:prstGeom prst="rect">
                                  <a:avLst/>
                                </a:prstGeom>
                                <a:noFill/>
                                <a:ln>
                                  <a:noFill/>
                                </a:ln>
                              </pic:spPr>
                            </pic:pic>
                          </a:graphicData>
                        </a:graphic>
                      </wp:inline>
                    </w:drawing>
                  </w:r>
                </w:p>
              </w:tc>
              <w:tc>
                <w:tcPr>
                  <w:tcW w:w="1210" w:type="pct"/>
                  <w:vAlign w:val="center"/>
                </w:tcPr>
                <w:p w14:paraId="50C4B628">
                  <w:pPr>
                    <w:widowControl/>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240mmx115mmx53mm</w:t>
                  </w:r>
                </w:p>
              </w:tc>
              <w:tc>
                <w:tcPr>
                  <w:tcW w:w="469" w:type="pct"/>
                  <w:vAlign w:val="center"/>
                </w:tcPr>
                <w:p w14:paraId="117D5CE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53" w:type="pct"/>
                  <w:vAlign w:val="center"/>
                </w:tcPr>
                <w:p w14:paraId="37AF2E7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4.4万m</w:t>
                  </w:r>
                  <w:r>
                    <w:rPr>
                      <w:color w:val="000000" w:themeColor="text1"/>
                      <w:szCs w:val="21"/>
                      <w:vertAlign w:val="superscript"/>
                      <w14:textFill>
                        <w14:solidFill>
                          <w14:schemeClr w14:val="tx1"/>
                        </w14:solidFill>
                      </w14:textFill>
                    </w:rPr>
                    <w:t>3</w:t>
                  </w:r>
                </w:p>
              </w:tc>
              <w:tc>
                <w:tcPr>
                  <w:tcW w:w="533" w:type="pct"/>
                  <w:vAlign w:val="center"/>
                </w:tcPr>
                <w:p w14:paraId="584EBD5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+4.4万m</w:t>
                  </w:r>
                  <w:r>
                    <w:rPr>
                      <w:color w:val="000000" w:themeColor="text1"/>
                      <w:szCs w:val="21"/>
                      <w:vertAlign w:val="superscript"/>
                      <w14:textFill>
                        <w14:solidFill>
                          <w14:schemeClr w14:val="tx1"/>
                        </w14:solidFill>
                      </w14:textFill>
                    </w:rPr>
                    <w:t>3</w:t>
                  </w:r>
                </w:p>
              </w:tc>
              <w:tc>
                <w:tcPr>
                  <w:tcW w:w="428" w:type="pct"/>
                  <w:vAlign w:val="center"/>
                </w:tcPr>
                <w:p w14:paraId="0BA19C3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1A4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9" w:hRule="atLeast"/>
                <w:jc w:val="center"/>
              </w:trPr>
              <w:tc>
                <w:tcPr>
                  <w:tcW w:w="664" w:type="pct"/>
                  <w:vAlign w:val="center"/>
                </w:tcPr>
                <w:p w14:paraId="68763330">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蒸养砖</w:t>
                  </w:r>
                </w:p>
              </w:tc>
              <w:tc>
                <w:tcPr>
                  <w:tcW w:w="1243" w:type="pct"/>
                  <w:vAlign w:val="center"/>
                </w:tcPr>
                <w:p w14:paraId="3A88D0DE">
                  <w:pPr>
                    <w:widowControl/>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0" distR="0">
                        <wp:extent cx="1207770" cy="1019175"/>
                        <wp:effectExtent l="0" t="0" r="0" b="0"/>
                        <wp:docPr id="4" name="图片 4" descr="C:\Users\PC028\AppData\Local\Temp\WeChat Files\0b45f470ab3f44c7a15888636daa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C028\AppData\Local\Temp\WeChat Files\0b45f470ab3f44c7a15888636daa140.png"/>
                                <pic:cNvPicPr>
                                  <a:picLocks noChangeAspect="1" noChangeArrowheads="1"/>
                                </pic:cNvPicPr>
                              </pic:nvPicPr>
                              <pic:blipFill>
                                <a:blip r:embed="rId10" cstate="print"/>
                                <a:srcRect/>
                                <a:stretch>
                                  <a:fillRect/>
                                </a:stretch>
                              </pic:blipFill>
                              <pic:spPr>
                                <a:xfrm>
                                  <a:off x="0" y="0"/>
                                  <a:ext cx="1214223" cy="1024501"/>
                                </a:xfrm>
                                <a:prstGeom prst="rect">
                                  <a:avLst/>
                                </a:prstGeom>
                                <a:noFill/>
                                <a:ln w="9525">
                                  <a:noFill/>
                                  <a:miter lim="800000"/>
                                  <a:headEnd/>
                                  <a:tailEnd/>
                                </a:ln>
                              </pic:spPr>
                            </pic:pic>
                          </a:graphicData>
                        </a:graphic>
                      </wp:inline>
                    </w:drawing>
                  </w:r>
                </w:p>
              </w:tc>
              <w:tc>
                <w:tcPr>
                  <w:tcW w:w="1210" w:type="pct"/>
                  <w:vAlign w:val="center"/>
                </w:tcPr>
                <w:p w14:paraId="5231794F">
                  <w:pPr>
                    <w:widowControl/>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600mm×200mm×厚度，(厚度为100mm、120mm、150mm、200mm、240mm不等)</w:t>
                  </w:r>
                </w:p>
              </w:tc>
              <w:tc>
                <w:tcPr>
                  <w:tcW w:w="469" w:type="pct"/>
                  <w:vAlign w:val="center"/>
                </w:tcPr>
                <w:p w14:paraId="4EA179B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8万m</w:t>
                  </w:r>
                  <w:r>
                    <w:rPr>
                      <w:color w:val="000000" w:themeColor="text1"/>
                      <w:szCs w:val="21"/>
                      <w:vertAlign w:val="superscript"/>
                      <w14:textFill>
                        <w14:solidFill>
                          <w14:schemeClr w14:val="tx1"/>
                        </w14:solidFill>
                      </w14:textFill>
                    </w:rPr>
                    <w:t>3</w:t>
                  </w:r>
                </w:p>
              </w:tc>
              <w:tc>
                <w:tcPr>
                  <w:tcW w:w="453" w:type="pct"/>
                  <w:vAlign w:val="center"/>
                </w:tcPr>
                <w:p w14:paraId="6845E20C">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3.6万m</w:t>
                  </w:r>
                  <w:r>
                    <w:rPr>
                      <w:color w:val="000000" w:themeColor="text1"/>
                      <w:szCs w:val="21"/>
                      <w:vertAlign w:val="superscript"/>
                      <w14:textFill>
                        <w14:solidFill>
                          <w14:schemeClr w14:val="tx1"/>
                        </w14:solidFill>
                      </w14:textFill>
                    </w:rPr>
                    <w:t>3</w:t>
                  </w:r>
                </w:p>
              </w:tc>
              <w:tc>
                <w:tcPr>
                  <w:tcW w:w="533" w:type="pct"/>
                  <w:vAlign w:val="center"/>
                </w:tcPr>
                <w:p w14:paraId="0698515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-4.4万m</w:t>
                  </w:r>
                  <w:r>
                    <w:rPr>
                      <w:color w:val="000000" w:themeColor="text1"/>
                      <w:szCs w:val="21"/>
                      <w:vertAlign w:val="superscript"/>
                      <w14:textFill>
                        <w14:solidFill>
                          <w14:schemeClr w14:val="tx1"/>
                        </w14:solidFill>
                      </w14:textFill>
                    </w:rPr>
                    <w:t>3</w:t>
                  </w:r>
                </w:p>
              </w:tc>
              <w:tc>
                <w:tcPr>
                  <w:tcW w:w="428" w:type="pct"/>
                  <w:vAlign w:val="center"/>
                </w:tcPr>
                <w:p w14:paraId="1E3BF9B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33CE99C7">
            <w:pPr>
              <w:spacing w:before="120"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eastAsiaTheme="minor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项目主要设备</w:t>
            </w:r>
          </w:p>
          <w:p w14:paraId="31AD292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经查询《部分工业行业淘汰落后生产工艺装备和产品指导目录》（2010年本），本项目所用设备均不属于淘汰落后设备，项目主要设备如下表所示：</w:t>
            </w:r>
          </w:p>
          <w:p w14:paraId="7CC0249D">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表2-3 项目主要生产设备表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55"/>
              <w:gridCol w:w="1211"/>
              <w:gridCol w:w="867"/>
              <w:gridCol w:w="731"/>
              <w:gridCol w:w="652"/>
              <w:gridCol w:w="765"/>
              <w:gridCol w:w="760"/>
              <w:gridCol w:w="587"/>
              <w:gridCol w:w="940"/>
              <w:gridCol w:w="940"/>
              <w:gridCol w:w="490"/>
            </w:tblGrid>
            <w:tr w14:paraId="487B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384" w:type="pct"/>
                  <w:vAlign w:val="center"/>
                </w:tcPr>
                <w:p w14:paraId="3E9958E5">
                  <w:pPr>
                    <w:widowControl/>
                    <w:jc w:val="center"/>
                    <w:textAlignment w:val="center"/>
                    <w:rPr>
                      <w:b/>
                      <w:bCs/>
                      <w:color w:val="000000" w:themeColor="text1"/>
                      <w:kern w:val="0"/>
                      <w:sz w:val="24"/>
                      <w14:textFill>
                        <w14:solidFill>
                          <w14:schemeClr w14:val="tx1"/>
                        </w14:solidFill>
                      </w14:textFill>
                    </w:rPr>
                  </w:pPr>
                  <w:bookmarkStart w:id="6" w:name="_Hlk149142172"/>
                </w:p>
              </w:tc>
              <w:tc>
                <w:tcPr>
                  <w:tcW w:w="2442" w:type="pct"/>
                  <w:gridSpan w:val="5"/>
                  <w:vAlign w:val="center"/>
                </w:tcPr>
                <w:p w14:paraId="10AACF27">
                  <w:pPr>
                    <w:widowControl/>
                    <w:jc w:val="center"/>
                    <w:textAlignment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本项目新增（技改后）</w:t>
                  </w:r>
                </w:p>
              </w:tc>
              <w:tc>
                <w:tcPr>
                  <w:tcW w:w="2173" w:type="pct"/>
                  <w:gridSpan w:val="5"/>
                  <w:vAlign w:val="center"/>
                </w:tcPr>
                <w:p w14:paraId="4E8E815D">
                  <w:pPr>
                    <w:widowControl/>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原项目（技改前）</w:t>
                  </w:r>
                </w:p>
              </w:tc>
            </w:tr>
            <w:tr w14:paraId="6E7E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384" w:type="pct"/>
                  <w:vAlign w:val="center"/>
                </w:tcPr>
                <w:p w14:paraId="225D5534">
                  <w:pPr>
                    <w:widowControl/>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序号</w:t>
                  </w:r>
                </w:p>
              </w:tc>
              <w:tc>
                <w:tcPr>
                  <w:tcW w:w="707" w:type="pct"/>
                  <w:vAlign w:val="center"/>
                </w:tcPr>
                <w:p w14:paraId="6B02D845">
                  <w:pPr>
                    <w:widowControl/>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设备</w:t>
                  </w:r>
                </w:p>
              </w:tc>
              <w:tc>
                <w:tcPr>
                  <w:tcW w:w="507" w:type="pct"/>
                  <w:vAlign w:val="center"/>
                </w:tcPr>
                <w:p w14:paraId="09A57A94">
                  <w:pPr>
                    <w:widowControl/>
                    <w:jc w:val="center"/>
                    <w:textAlignment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数量</w:t>
                  </w:r>
                </w:p>
              </w:tc>
              <w:tc>
                <w:tcPr>
                  <w:tcW w:w="398" w:type="pct"/>
                  <w:vAlign w:val="center"/>
                </w:tcPr>
                <w:p w14:paraId="6AC04F51">
                  <w:pPr>
                    <w:widowControl/>
                    <w:jc w:val="center"/>
                    <w:textAlignment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型号</w:t>
                  </w:r>
                </w:p>
              </w:tc>
              <w:tc>
                <w:tcPr>
                  <w:tcW w:w="382" w:type="pct"/>
                  <w:vAlign w:val="center"/>
                </w:tcPr>
                <w:p w14:paraId="428A8027">
                  <w:pPr>
                    <w:widowControl/>
                    <w:jc w:val="center"/>
                    <w:textAlignment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用途</w:t>
                  </w:r>
                </w:p>
              </w:tc>
              <w:tc>
                <w:tcPr>
                  <w:tcW w:w="448" w:type="pct"/>
                  <w:vAlign w:val="center"/>
                </w:tcPr>
                <w:p w14:paraId="5D36611B">
                  <w:pPr>
                    <w:widowControl/>
                    <w:jc w:val="center"/>
                    <w:textAlignment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备注</w:t>
                  </w:r>
                </w:p>
              </w:tc>
              <w:tc>
                <w:tcPr>
                  <w:tcW w:w="445" w:type="pct"/>
                  <w:vAlign w:val="center"/>
                </w:tcPr>
                <w:p w14:paraId="6C0A9736">
                  <w:pPr>
                    <w:widowControl/>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设备</w:t>
                  </w:r>
                </w:p>
              </w:tc>
              <w:tc>
                <w:tcPr>
                  <w:tcW w:w="344" w:type="pct"/>
                  <w:vAlign w:val="center"/>
                </w:tcPr>
                <w:p w14:paraId="5C7DFECD">
                  <w:pPr>
                    <w:widowControl/>
                    <w:jc w:val="center"/>
                    <w:textAlignment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数量</w:t>
                  </w:r>
                </w:p>
              </w:tc>
              <w:tc>
                <w:tcPr>
                  <w:tcW w:w="549" w:type="pct"/>
                  <w:vAlign w:val="center"/>
                </w:tcPr>
                <w:p w14:paraId="03725B1D">
                  <w:pPr>
                    <w:widowControl/>
                    <w:jc w:val="center"/>
                    <w:textAlignment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型号</w:t>
                  </w:r>
                </w:p>
              </w:tc>
              <w:tc>
                <w:tcPr>
                  <w:tcW w:w="549" w:type="pct"/>
                  <w:vAlign w:val="center"/>
                </w:tcPr>
                <w:p w14:paraId="12BF9034">
                  <w:pPr>
                    <w:widowControl/>
                    <w:jc w:val="center"/>
                    <w:textAlignment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用途</w:t>
                  </w:r>
                </w:p>
              </w:tc>
              <w:tc>
                <w:tcPr>
                  <w:tcW w:w="287" w:type="pct"/>
                  <w:vAlign w:val="center"/>
                </w:tcPr>
                <w:p w14:paraId="6535C355">
                  <w:pPr>
                    <w:widowControl/>
                    <w:jc w:val="center"/>
                    <w:textAlignment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备注</w:t>
                  </w:r>
                </w:p>
              </w:tc>
            </w:tr>
            <w:tr w14:paraId="215D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384" w:type="pct"/>
                  <w:vAlign w:val="center"/>
                </w:tcPr>
                <w:p w14:paraId="2F11C381">
                  <w:pPr>
                    <w:widowControl/>
                    <w:jc w:val="center"/>
                    <w:textAlignment w:val="center"/>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1</w:t>
                  </w:r>
                </w:p>
              </w:tc>
              <w:tc>
                <w:tcPr>
                  <w:tcW w:w="707" w:type="pct"/>
                  <w:vAlign w:val="center"/>
                </w:tcPr>
                <w:p w14:paraId="553EF209">
                  <w:pPr>
                    <w:widowControl/>
                    <w:jc w:val="center"/>
                    <w:textAlignment w:val="center"/>
                    <w:rPr>
                      <w:b/>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5m螺旋输送机</w:t>
                  </w:r>
                </w:p>
              </w:tc>
              <w:tc>
                <w:tcPr>
                  <w:tcW w:w="507" w:type="pct"/>
                  <w:vAlign w:val="center"/>
                </w:tcPr>
                <w:p w14:paraId="790F8AC2">
                  <w:pPr>
                    <w:widowControl/>
                    <w:jc w:val="center"/>
                    <w:textAlignment w:val="center"/>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1台</w:t>
                  </w:r>
                </w:p>
              </w:tc>
              <w:tc>
                <w:tcPr>
                  <w:tcW w:w="398" w:type="pct"/>
                  <w:vAlign w:val="center"/>
                </w:tcPr>
                <w:p w14:paraId="3B5D2142">
                  <w:pPr>
                    <w:widowControl/>
                    <w:jc w:val="center"/>
                    <w:textAlignment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352D0DED">
                  <w:pPr>
                    <w:widowControl/>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物料输送</w:t>
                  </w:r>
                </w:p>
              </w:tc>
              <w:tc>
                <w:tcPr>
                  <w:tcW w:w="448" w:type="pct"/>
                  <w:vAlign w:val="center"/>
                </w:tcPr>
                <w:p w14:paraId="5B4B19CA">
                  <w:pPr>
                    <w:widowControl/>
                    <w:jc w:val="center"/>
                    <w:textAlignment w:val="center"/>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6B5043F4">
                  <w:pPr>
                    <w:widowControl/>
                    <w:jc w:val="center"/>
                    <w:textAlignment w:val="center"/>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湿式球磨机</w:t>
                  </w:r>
                </w:p>
              </w:tc>
              <w:tc>
                <w:tcPr>
                  <w:tcW w:w="344" w:type="pct"/>
                  <w:vAlign w:val="center"/>
                </w:tcPr>
                <w:p w14:paraId="17CFD1D7">
                  <w:pPr>
                    <w:widowControl/>
                    <w:jc w:val="center"/>
                    <w:textAlignment w:val="center"/>
                    <w:rPr>
                      <w:b/>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1台</w:t>
                  </w:r>
                </w:p>
              </w:tc>
              <w:tc>
                <w:tcPr>
                  <w:tcW w:w="549" w:type="pct"/>
                  <w:vAlign w:val="center"/>
                </w:tcPr>
                <w:p w14:paraId="79C00D97">
                  <w:pPr>
                    <w:widowControl/>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Φ1200-4500</w:t>
                  </w:r>
                </w:p>
              </w:tc>
              <w:tc>
                <w:tcPr>
                  <w:tcW w:w="549" w:type="pct"/>
                  <w:vAlign w:val="center"/>
                </w:tcPr>
                <w:p w14:paraId="3E0D1AD8">
                  <w:pPr>
                    <w:widowControl/>
                    <w:jc w:val="center"/>
                    <w:textAlignment w:val="center"/>
                    <w:rPr>
                      <w:b/>
                      <w:bCs/>
                      <w:color w:val="000000" w:themeColor="text1"/>
                      <w:sz w:val="24"/>
                      <w14:textFill>
                        <w14:solidFill>
                          <w14:schemeClr w14:val="tx1"/>
                        </w14:solidFill>
                      </w14:textFill>
                    </w:rPr>
                  </w:pPr>
                  <w:r>
                    <w:rPr>
                      <w:color w:val="000000" w:themeColor="text1"/>
                      <w:sz w:val="24"/>
                      <w14:textFill>
                        <w14:solidFill>
                          <w14:schemeClr w14:val="tx1"/>
                        </w14:solidFill>
                      </w14:textFill>
                    </w:rPr>
                    <w:t>建筑垃圾粉碎</w:t>
                  </w:r>
                </w:p>
              </w:tc>
              <w:tc>
                <w:tcPr>
                  <w:tcW w:w="287" w:type="pct"/>
                  <w:vAlign w:val="center"/>
                </w:tcPr>
                <w:p w14:paraId="690AE041">
                  <w:pPr>
                    <w:widowControl/>
                    <w:jc w:val="center"/>
                    <w:textAlignment w:val="center"/>
                    <w:rPr>
                      <w:b/>
                      <w:bCs/>
                      <w:color w:val="000000" w:themeColor="text1"/>
                      <w:sz w:val="24"/>
                      <w14:textFill>
                        <w14:solidFill>
                          <w14:schemeClr w14:val="tx1"/>
                        </w14:solidFill>
                      </w14:textFill>
                    </w:rPr>
                  </w:pPr>
                  <w:bookmarkStart w:id="7" w:name="OLE_LINK1"/>
                  <w:bookmarkStart w:id="8" w:name="OLE_LINK2"/>
                  <w:r>
                    <w:rPr>
                      <w:color w:val="000000" w:themeColor="text1"/>
                      <w:sz w:val="24"/>
                      <w14:textFill>
                        <w14:solidFill>
                          <w14:schemeClr w14:val="tx1"/>
                        </w14:solidFill>
                      </w14:textFill>
                    </w:rPr>
                    <w:t>用电</w:t>
                  </w:r>
                  <w:bookmarkEnd w:id="7"/>
                  <w:bookmarkEnd w:id="8"/>
                </w:p>
              </w:tc>
            </w:tr>
            <w:tr w14:paraId="11C6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2" w:hRule="atLeast"/>
                <w:jc w:val="center"/>
              </w:trPr>
              <w:tc>
                <w:tcPr>
                  <w:tcW w:w="384" w:type="pct"/>
                  <w:vAlign w:val="center"/>
                </w:tcPr>
                <w:p w14:paraId="1FD63CC4">
                  <w:pPr>
                    <w:widowControl/>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707" w:type="pct"/>
                  <w:vAlign w:val="center"/>
                </w:tcPr>
                <w:p w14:paraId="69B2261C">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2000轮碾搅拌机</w:t>
                  </w:r>
                </w:p>
              </w:tc>
              <w:tc>
                <w:tcPr>
                  <w:tcW w:w="507" w:type="pct"/>
                  <w:vAlign w:val="center"/>
                </w:tcPr>
                <w:p w14:paraId="49091ACB">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1台</w:t>
                  </w:r>
                </w:p>
              </w:tc>
              <w:tc>
                <w:tcPr>
                  <w:tcW w:w="398" w:type="pct"/>
                  <w:vAlign w:val="center"/>
                </w:tcPr>
                <w:p w14:paraId="11757A77">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XLH-2000</w:t>
                  </w:r>
                </w:p>
              </w:tc>
              <w:tc>
                <w:tcPr>
                  <w:tcW w:w="382" w:type="pct"/>
                  <w:vAlign w:val="center"/>
                </w:tcPr>
                <w:p w14:paraId="5C6D2B2B">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物料搅拌</w:t>
                  </w:r>
                </w:p>
              </w:tc>
              <w:tc>
                <w:tcPr>
                  <w:tcW w:w="448" w:type="pct"/>
                  <w:vAlign w:val="center"/>
                </w:tcPr>
                <w:p w14:paraId="3ED9777B">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2990518A">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干式球磨机</w:t>
                  </w:r>
                </w:p>
              </w:tc>
              <w:tc>
                <w:tcPr>
                  <w:tcW w:w="344" w:type="pct"/>
                  <w:vAlign w:val="center"/>
                </w:tcPr>
                <w:p w14:paraId="7F93818C">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1台</w:t>
                  </w:r>
                </w:p>
              </w:tc>
              <w:tc>
                <w:tcPr>
                  <w:tcW w:w="549" w:type="pct"/>
                  <w:vAlign w:val="center"/>
                </w:tcPr>
                <w:p w14:paraId="273C93E2">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Φ1200-4500</w:t>
                  </w:r>
                </w:p>
              </w:tc>
              <w:tc>
                <w:tcPr>
                  <w:tcW w:w="549" w:type="pct"/>
                  <w:vAlign w:val="center"/>
                </w:tcPr>
                <w:p w14:paraId="246EDC8E">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石灰块粉碎</w:t>
                  </w:r>
                </w:p>
              </w:tc>
              <w:tc>
                <w:tcPr>
                  <w:tcW w:w="287" w:type="pct"/>
                  <w:vAlign w:val="center"/>
                </w:tcPr>
                <w:p w14:paraId="109AEE08">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r>
            <w:tr w14:paraId="7236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2" w:hRule="atLeast"/>
                <w:jc w:val="center"/>
              </w:trPr>
              <w:tc>
                <w:tcPr>
                  <w:tcW w:w="384" w:type="pct"/>
                  <w:vAlign w:val="center"/>
                </w:tcPr>
                <w:p w14:paraId="75D5832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707" w:type="pct"/>
                  <w:vAlign w:val="center"/>
                </w:tcPr>
                <w:p w14:paraId="77A50837">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10m皮带输送机</w:t>
                  </w:r>
                </w:p>
              </w:tc>
              <w:tc>
                <w:tcPr>
                  <w:tcW w:w="507" w:type="pct"/>
                  <w:vAlign w:val="center"/>
                </w:tcPr>
                <w:p w14:paraId="38015D86">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1台</w:t>
                  </w:r>
                </w:p>
              </w:tc>
              <w:tc>
                <w:tcPr>
                  <w:tcW w:w="398" w:type="pct"/>
                  <w:vAlign w:val="center"/>
                </w:tcPr>
                <w:p w14:paraId="13CA9E98">
                  <w:pPr>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6826411A">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物料输送</w:t>
                  </w:r>
                </w:p>
              </w:tc>
              <w:tc>
                <w:tcPr>
                  <w:tcW w:w="448" w:type="pct"/>
                  <w:vAlign w:val="center"/>
                </w:tcPr>
                <w:p w14:paraId="3C335E8F">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7BAB4CCE">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破碎机</w:t>
                  </w:r>
                </w:p>
              </w:tc>
              <w:tc>
                <w:tcPr>
                  <w:tcW w:w="344" w:type="pct"/>
                  <w:vAlign w:val="center"/>
                </w:tcPr>
                <w:p w14:paraId="761CA7E0">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1台</w:t>
                  </w:r>
                </w:p>
              </w:tc>
              <w:tc>
                <w:tcPr>
                  <w:tcW w:w="549" w:type="pct"/>
                  <w:vAlign w:val="center"/>
                </w:tcPr>
                <w:p w14:paraId="0CC1D603">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w:t>
                  </w:r>
                </w:p>
              </w:tc>
              <w:tc>
                <w:tcPr>
                  <w:tcW w:w="549" w:type="pct"/>
                  <w:vAlign w:val="center"/>
                </w:tcPr>
                <w:p w14:paraId="77D59012">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石灰块破碎</w:t>
                  </w:r>
                </w:p>
              </w:tc>
              <w:tc>
                <w:tcPr>
                  <w:tcW w:w="287" w:type="pct"/>
                  <w:vAlign w:val="center"/>
                </w:tcPr>
                <w:p w14:paraId="6FC39A0E">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r>
            <w:tr w14:paraId="2A9D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7" w:hRule="atLeast"/>
                <w:jc w:val="center"/>
              </w:trPr>
              <w:tc>
                <w:tcPr>
                  <w:tcW w:w="384" w:type="pct"/>
                  <w:vAlign w:val="center"/>
                </w:tcPr>
                <w:p w14:paraId="3EEBEFC2">
                  <w:pPr>
                    <w:widowControl/>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707" w:type="pct"/>
                  <w:vAlign w:val="center"/>
                </w:tcPr>
                <w:p w14:paraId="77A8AB71">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4.5m皮带输送机</w:t>
                  </w:r>
                </w:p>
              </w:tc>
              <w:tc>
                <w:tcPr>
                  <w:tcW w:w="507" w:type="pct"/>
                  <w:vAlign w:val="center"/>
                </w:tcPr>
                <w:p w14:paraId="6BE2112E">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1台</w:t>
                  </w:r>
                </w:p>
              </w:tc>
              <w:tc>
                <w:tcPr>
                  <w:tcW w:w="398" w:type="pct"/>
                  <w:vAlign w:val="center"/>
                </w:tcPr>
                <w:p w14:paraId="0AF10420">
                  <w:pPr>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7975B660">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物料输送</w:t>
                  </w:r>
                </w:p>
              </w:tc>
              <w:tc>
                <w:tcPr>
                  <w:tcW w:w="448" w:type="pct"/>
                  <w:vAlign w:val="center"/>
                </w:tcPr>
                <w:p w14:paraId="60161107">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41A54887">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配料</w:t>
                  </w:r>
                  <w:r>
                    <w:rPr>
                      <w:color w:val="000000" w:themeColor="text1"/>
                      <w:kern w:val="0"/>
                      <w:sz w:val="24"/>
                      <w14:textFill>
                        <w14:solidFill>
                          <w14:schemeClr w14:val="tx1"/>
                        </w14:solidFill>
                      </w14:textFill>
                    </w:rPr>
                    <w:t>搅拌</w:t>
                  </w:r>
                  <w:r>
                    <w:rPr>
                      <w:color w:val="000000" w:themeColor="text1"/>
                      <w:sz w:val="24"/>
                      <w14:textFill>
                        <w14:solidFill>
                          <w14:schemeClr w14:val="tx1"/>
                        </w14:solidFill>
                      </w14:textFill>
                    </w:rPr>
                    <w:t>机</w:t>
                  </w:r>
                </w:p>
              </w:tc>
              <w:tc>
                <w:tcPr>
                  <w:tcW w:w="344" w:type="pct"/>
                  <w:vAlign w:val="center"/>
                </w:tcPr>
                <w:p w14:paraId="2C33738D">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1台</w:t>
                  </w:r>
                </w:p>
              </w:tc>
              <w:tc>
                <w:tcPr>
                  <w:tcW w:w="549" w:type="pct"/>
                  <w:vAlign w:val="center"/>
                </w:tcPr>
                <w:p w14:paraId="3B4A3ACB">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S1140</w:t>
                  </w:r>
                </w:p>
              </w:tc>
              <w:tc>
                <w:tcPr>
                  <w:tcW w:w="549" w:type="pct"/>
                  <w:vAlign w:val="center"/>
                </w:tcPr>
                <w:p w14:paraId="67644B1C">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原料混料</w:t>
                  </w:r>
                </w:p>
              </w:tc>
              <w:tc>
                <w:tcPr>
                  <w:tcW w:w="287" w:type="pct"/>
                  <w:vAlign w:val="center"/>
                </w:tcPr>
                <w:p w14:paraId="443B7C3B">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r>
            <w:tr w14:paraId="7B81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84" w:type="pct"/>
                  <w:vAlign w:val="center"/>
                </w:tcPr>
                <w:p w14:paraId="4F867EC1">
                  <w:pPr>
                    <w:widowControl/>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707" w:type="pct"/>
                  <w:vAlign w:val="center"/>
                </w:tcPr>
                <w:p w14:paraId="2AE57796">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10m皮带输送机</w:t>
                  </w:r>
                </w:p>
              </w:tc>
              <w:tc>
                <w:tcPr>
                  <w:tcW w:w="507" w:type="pct"/>
                  <w:vAlign w:val="center"/>
                </w:tcPr>
                <w:p w14:paraId="741737EB">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1台</w:t>
                  </w:r>
                </w:p>
              </w:tc>
              <w:tc>
                <w:tcPr>
                  <w:tcW w:w="398" w:type="pct"/>
                  <w:vAlign w:val="center"/>
                </w:tcPr>
                <w:p w14:paraId="74635E18">
                  <w:pPr>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45421C37">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物料输送</w:t>
                  </w:r>
                </w:p>
              </w:tc>
              <w:tc>
                <w:tcPr>
                  <w:tcW w:w="448" w:type="pct"/>
                  <w:vAlign w:val="center"/>
                </w:tcPr>
                <w:p w14:paraId="747B5FEC">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0AD13C89">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成型机组（切割机）</w:t>
                  </w:r>
                </w:p>
              </w:tc>
              <w:tc>
                <w:tcPr>
                  <w:tcW w:w="344" w:type="pct"/>
                  <w:vAlign w:val="center"/>
                </w:tcPr>
                <w:p w14:paraId="6EC5A98B">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1台</w:t>
                  </w:r>
                </w:p>
              </w:tc>
              <w:tc>
                <w:tcPr>
                  <w:tcW w:w="549" w:type="pct"/>
                  <w:vAlign w:val="center"/>
                </w:tcPr>
                <w:p w14:paraId="680A446D">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JQF4.2</w:t>
                  </w:r>
                </w:p>
              </w:tc>
              <w:tc>
                <w:tcPr>
                  <w:tcW w:w="549" w:type="pct"/>
                  <w:vAlign w:val="center"/>
                </w:tcPr>
                <w:p w14:paraId="2C81479F">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成品切割</w:t>
                  </w:r>
                </w:p>
              </w:tc>
              <w:tc>
                <w:tcPr>
                  <w:tcW w:w="287" w:type="pct"/>
                  <w:vAlign w:val="center"/>
                </w:tcPr>
                <w:p w14:paraId="0B2F032C">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r>
            <w:tr w14:paraId="60F9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7" w:hRule="atLeast"/>
                <w:jc w:val="center"/>
              </w:trPr>
              <w:tc>
                <w:tcPr>
                  <w:tcW w:w="384" w:type="pct"/>
                  <w:vAlign w:val="center"/>
                </w:tcPr>
                <w:p w14:paraId="1B215795">
                  <w:pPr>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6</w:t>
                  </w:r>
                </w:p>
              </w:tc>
              <w:tc>
                <w:tcPr>
                  <w:tcW w:w="707" w:type="pct"/>
                  <w:vAlign w:val="center"/>
                </w:tcPr>
                <w:p w14:paraId="0502BAFC">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1300双向模拟静压机</w:t>
                  </w:r>
                </w:p>
              </w:tc>
              <w:tc>
                <w:tcPr>
                  <w:tcW w:w="507" w:type="pct"/>
                  <w:vAlign w:val="center"/>
                </w:tcPr>
                <w:p w14:paraId="07420AD1">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1台</w:t>
                  </w:r>
                </w:p>
              </w:tc>
              <w:tc>
                <w:tcPr>
                  <w:tcW w:w="398" w:type="pct"/>
                  <w:vAlign w:val="center"/>
                </w:tcPr>
                <w:p w14:paraId="7413DA98">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1300吨压力</w:t>
                  </w:r>
                </w:p>
              </w:tc>
              <w:tc>
                <w:tcPr>
                  <w:tcW w:w="382" w:type="pct"/>
                  <w:vAlign w:val="center"/>
                </w:tcPr>
                <w:p w14:paraId="06D4ADF5">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半成品压制</w:t>
                  </w:r>
                </w:p>
              </w:tc>
              <w:tc>
                <w:tcPr>
                  <w:tcW w:w="448" w:type="pct"/>
                  <w:vAlign w:val="center"/>
                </w:tcPr>
                <w:p w14:paraId="3071370A">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00BC5411">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蒸压釜</w:t>
                  </w:r>
                </w:p>
              </w:tc>
              <w:tc>
                <w:tcPr>
                  <w:tcW w:w="344" w:type="pct"/>
                  <w:vAlign w:val="center"/>
                </w:tcPr>
                <w:p w14:paraId="01A6E726">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3套</w:t>
                  </w:r>
                </w:p>
              </w:tc>
              <w:tc>
                <w:tcPr>
                  <w:tcW w:w="549" w:type="pct"/>
                  <w:vAlign w:val="center"/>
                </w:tcPr>
                <w:p w14:paraId="13284DDA">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22.12*26</w:t>
                  </w:r>
                </w:p>
              </w:tc>
              <w:tc>
                <w:tcPr>
                  <w:tcW w:w="549" w:type="pct"/>
                  <w:vAlign w:val="center"/>
                </w:tcPr>
                <w:p w14:paraId="78A63C3B">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蒸压养护</w:t>
                  </w:r>
                </w:p>
              </w:tc>
              <w:tc>
                <w:tcPr>
                  <w:tcW w:w="287" w:type="pct"/>
                  <w:vAlign w:val="center"/>
                </w:tcPr>
                <w:p w14:paraId="5C6FE6F3">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7FBE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7" w:hRule="atLeast"/>
                <w:jc w:val="center"/>
              </w:trPr>
              <w:tc>
                <w:tcPr>
                  <w:tcW w:w="384" w:type="pct"/>
                  <w:vAlign w:val="center"/>
                </w:tcPr>
                <w:p w14:paraId="6E95117A">
                  <w:pPr>
                    <w:widowControl/>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7</w:t>
                  </w:r>
                </w:p>
              </w:tc>
              <w:tc>
                <w:tcPr>
                  <w:tcW w:w="707" w:type="pct"/>
                  <w:vAlign w:val="center"/>
                </w:tcPr>
                <w:p w14:paraId="0D1723B5">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出砖平皮带输送机</w:t>
                  </w:r>
                </w:p>
              </w:tc>
              <w:tc>
                <w:tcPr>
                  <w:tcW w:w="507" w:type="pct"/>
                  <w:vAlign w:val="center"/>
                </w:tcPr>
                <w:p w14:paraId="482DF1AD">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1台</w:t>
                  </w:r>
                </w:p>
              </w:tc>
              <w:tc>
                <w:tcPr>
                  <w:tcW w:w="398" w:type="pct"/>
                  <w:vAlign w:val="center"/>
                </w:tcPr>
                <w:p w14:paraId="46D4FBF0">
                  <w:pPr>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2BAD0CAC">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成品输送</w:t>
                  </w:r>
                </w:p>
              </w:tc>
              <w:tc>
                <w:tcPr>
                  <w:tcW w:w="448" w:type="pct"/>
                  <w:vAlign w:val="center"/>
                </w:tcPr>
                <w:p w14:paraId="26636748">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2212DDD4">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水泥罐</w:t>
                  </w:r>
                </w:p>
              </w:tc>
              <w:tc>
                <w:tcPr>
                  <w:tcW w:w="344" w:type="pct"/>
                  <w:vAlign w:val="center"/>
                </w:tcPr>
                <w:p w14:paraId="341234FA">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1个</w:t>
                  </w:r>
                </w:p>
              </w:tc>
              <w:tc>
                <w:tcPr>
                  <w:tcW w:w="549" w:type="pct"/>
                  <w:vAlign w:val="center"/>
                </w:tcPr>
                <w:p w14:paraId="7ADBD3C3">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60m</w:t>
                  </w:r>
                  <w:r>
                    <w:rPr>
                      <w:color w:val="000000" w:themeColor="text1"/>
                      <w:kern w:val="0"/>
                      <w:sz w:val="24"/>
                      <w:vertAlign w:val="superscript"/>
                      <w14:textFill>
                        <w14:solidFill>
                          <w14:schemeClr w14:val="tx1"/>
                        </w14:solidFill>
                      </w14:textFill>
                    </w:rPr>
                    <w:t>3</w:t>
                  </w:r>
                </w:p>
              </w:tc>
              <w:tc>
                <w:tcPr>
                  <w:tcW w:w="549" w:type="pct"/>
                  <w:vAlign w:val="center"/>
                </w:tcPr>
                <w:p w14:paraId="217097D8">
                  <w:pPr>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水泥储存</w:t>
                  </w:r>
                </w:p>
              </w:tc>
              <w:tc>
                <w:tcPr>
                  <w:tcW w:w="287" w:type="pct"/>
                  <w:vAlign w:val="center"/>
                </w:tcPr>
                <w:p w14:paraId="789F4F87">
                  <w:pPr>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用电</w:t>
                  </w:r>
                </w:p>
              </w:tc>
            </w:tr>
            <w:tr w14:paraId="2CBD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 w:hRule="atLeast"/>
                <w:jc w:val="center"/>
              </w:trPr>
              <w:tc>
                <w:tcPr>
                  <w:tcW w:w="384" w:type="pct"/>
                  <w:vAlign w:val="center"/>
                </w:tcPr>
                <w:p w14:paraId="2EECFF38">
                  <w:pPr>
                    <w:widowControl/>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8</w:t>
                  </w:r>
                </w:p>
              </w:tc>
              <w:tc>
                <w:tcPr>
                  <w:tcW w:w="707" w:type="pct"/>
                  <w:vAlign w:val="center"/>
                </w:tcPr>
                <w:p w14:paraId="131C9027">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桁架码垛机</w:t>
                  </w:r>
                </w:p>
              </w:tc>
              <w:tc>
                <w:tcPr>
                  <w:tcW w:w="507" w:type="pct"/>
                  <w:vAlign w:val="center"/>
                </w:tcPr>
                <w:p w14:paraId="3F58C543">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1台</w:t>
                  </w:r>
                </w:p>
              </w:tc>
              <w:tc>
                <w:tcPr>
                  <w:tcW w:w="398" w:type="pct"/>
                  <w:vAlign w:val="center"/>
                </w:tcPr>
                <w:p w14:paraId="472BE1D6">
                  <w:pPr>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6BB0B4A1">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成品码垛</w:t>
                  </w:r>
                </w:p>
              </w:tc>
              <w:tc>
                <w:tcPr>
                  <w:tcW w:w="448" w:type="pct"/>
                  <w:vAlign w:val="center"/>
                </w:tcPr>
                <w:p w14:paraId="46E540FD">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25A5B7E0">
                  <w:pPr>
                    <w:snapToGrid w:val="0"/>
                    <w:jc w:val="center"/>
                    <w:rPr>
                      <w:b/>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粉煤灰罐</w:t>
                  </w:r>
                </w:p>
              </w:tc>
              <w:tc>
                <w:tcPr>
                  <w:tcW w:w="344" w:type="pct"/>
                  <w:vAlign w:val="center"/>
                </w:tcPr>
                <w:p w14:paraId="3AF3FC44">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1个</w:t>
                  </w:r>
                </w:p>
              </w:tc>
              <w:tc>
                <w:tcPr>
                  <w:tcW w:w="549" w:type="pct"/>
                  <w:vAlign w:val="center"/>
                </w:tcPr>
                <w:p w14:paraId="4CBF61FA">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60m</w:t>
                  </w:r>
                  <w:r>
                    <w:rPr>
                      <w:color w:val="000000" w:themeColor="text1"/>
                      <w:kern w:val="0"/>
                      <w:sz w:val="24"/>
                      <w:vertAlign w:val="superscript"/>
                      <w14:textFill>
                        <w14:solidFill>
                          <w14:schemeClr w14:val="tx1"/>
                        </w14:solidFill>
                      </w14:textFill>
                    </w:rPr>
                    <w:t>3</w:t>
                  </w:r>
                </w:p>
              </w:tc>
              <w:tc>
                <w:tcPr>
                  <w:tcW w:w="549" w:type="pct"/>
                  <w:vAlign w:val="center"/>
                </w:tcPr>
                <w:p w14:paraId="760E3BB0">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粉煤灰储存</w:t>
                  </w:r>
                </w:p>
              </w:tc>
              <w:tc>
                <w:tcPr>
                  <w:tcW w:w="287" w:type="pct"/>
                  <w:vAlign w:val="center"/>
                </w:tcPr>
                <w:p w14:paraId="45451F35">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r>
            <w:tr w14:paraId="2F90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 w:hRule="atLeast"/>
                <w:jc w:val="center"/>
              </w:trPr>
              <w:tc>
                <w:tcPr>
                  <w:tcW w:w="384" w:type="pct"/>
                  <w:vAlign w:val="center"/>
                </w:tcPr>
                <w:p w14:paraId="1037DBE3">
                  <w:pPr>
                    <w:widowControl/>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9</w:t>
                  </w:r>
                </w:p>
              </w:tc>
              <w:tc>
                <w:tcPr>
                  <w:tcW w:w="707" w:type="pct"/>
                  <w:vAlign w:val="center"/>
                </w:tcPr>
                <w:p w14:paraId="7875C087">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粉料仓</w:t>
                  </w:r>
                </w:p>
              </w:tc>
              <w:tc>
                <w:tcPr>
                  <w:tcW w:w="507" w:type="pct"/>
                  <w:vAlign w:val="center"/>
                </w:tcPr>
                <w:p w14:paraId="74A0D9C5">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4个</w:t>
                  </w:r>
                </w:p>
              </w:tc>
              <w:tc>
                <w:tcPr>
                  <w:tcW w:w="398" w:type="pct"/>
                  <w:vAlign w:val="center"/>
                </w:tcPr>
                <w:p w14:paraId="458DF9DA">
                  <w:pPr>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4C2FD62E">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粉料储存</w:t>
                  </w:r>
                </w:p>
              </w:tc>
              <w:tc>
                <w:tcPr>
                  <w:tcW w:w="448" w:type="pct"/>
                  <w:vAlign w:val="center"/>
                </w:tcPr>
                <w:p w14:paraId="77944E9B">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7F530DBD">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白灰仓罐</w:t>
                  </w:r>
                </w:p>
              </w:tc>
              <w:tc>
                <w:tcPr>
                  <w:tcW w:w="344" w:type="pct"/>
                  <w:vAlign w:val="center"/>
                </w:tcPr>
                <w:p w14:paraId="3543D29B">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2个</w:t>
                  </w:r>
                </w:p>
              </w:tc>
              <w:tc>
                <w:tcPr>
                  <w:tcW w:w="549" w:type="pct"/>
                  <w:vAlign w:val="center"/>
                </w:tcPr>
                <w:p w14:paraId="19965F84">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*2</w:t>
                  </w:r>
                </w:p>
              </w:tc>
              <w:tc>
                <w:tcPr>
                  <w:tcW w:w="549" w:type="pct"/>
                  <w:vAlign w:val="center"/>
                </w:tcPr>
                <w:p w14:paraId="7D0A4AE5">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石灰储存</w:t>
                  </w:r>
                </w:p>
              </w:tc>
              <w:tc>
                <w:tcPr>
                  <w:tcW w:w="287" w:type="pct"/>
                  <w:vAlign w:val="center"/>
                </w:tcPr>
                <w:p w14:paraId="446D3E28">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r>
            <w:tr w14:paraId="09CF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 w:hRule="atLeast"/>
                <w:jc w:val="center"/>
              </w:trPr>
              <w:tc>
                <w:tcPr>
                  <w:tcW w:w="384" w:type="pct"/>
                  <w:vAlign w:val="center"/>
                </w:tcPr>
                <w:p w14:paraId="66AED9BE">
                  <w:pPr>
                    <w:widowControl/>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10</w:t>
                  </w:r>
                </w:p>
              </w:tc>
              <w:tc>
                <w:tcPr>
                  <w:tcW w:w="707" w:type="pct"/>
                  <w:vAlign w:val="center"/>
                </w:tcPr>
                <w:p w14:paraId="6C82EE0B">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蒸压釜</w:t>
                  </w:r>
                </w:p>
              </w:tc>
              <w:tc>
                <w:tcPr>
                  <w:tcW w:w="507" w:type="pct"/>
                  <w:vAlign w:val="center"/>
                </w:tcPr>
                <w:p w14:paraId="25E390F7">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3套</w:t>
                  </w:r>
                </w:p>
              </w:tc>
              <w:tc>
                <w:tcPr>
                  <w:tcW w:w="398" w:type="pct"/>
                  <w:vAlign w:val="center"/>
                </w:tcPr>
                <w:p w14:paraId="209D5EF0">
                  <w:pPr>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82" w:type="pct"/>
                  <w:vAlign w:val="center"/>
                </w:tcPr>
                <w:p w14:paraId="2CA22010">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蒸压养护</w:t>
                  </w:r>
                </w:p>
              </w:tc>
              <w:tc>
                <w:tcPr>
                  <w:tcW w:w="448" w:type="pct"/>
                  <w:vAlign w:val="center"/>
                </w:tcPr>
                <w:p w14:paraId="1061C237">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c>
                <w:tcPr>
                  <w:tcW w:w="445" w:type="pct"/>
                  <w:vAlign w:val="center"/>
                </w:tcPr>
                <w:p w14:paraId="5A0F26F7">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卧式蒸汽锅炉</w:t>
                  </w:r>
                </w:p>
              </w:tc>
              <w:tc>
                <w:tcPr>
                  <w:tcW w:w="344" w:type="pct"/>
                  <w:vAlign w:val="center"/>
                </w:tcPr>
                <w:p w14:paraId="634C4593">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1台</w:t>
                  </w:r>
                </w:p>
              </w:tc>
              <w:tc>
                <w:tcPr>
                  <w:tcW w:w="549" w:type="pct"/>
                  <w:vAlign w:val="center"/>
                </w:tcPr>
                <w:p w14:paraId="61F7A467">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4t/h</w:t>
                  </w:r>
                </w:p>
              </w:tc>
              <w:tc>
                <w:tcPr>
                  <w:tcW w:w="549" w:type="pct"/>
                  <w:vAlign w:val="center"/>
                </w:tcPr>
                <w:p w14:paraId="3757B5C5">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提供蒸汽</w:t>
                  </w:r>
                </w:p>
              </w:tc>
              <w:tc>
                <w:tcPr>
                  <w:tcW w:w="287" w:type="pct"/>
                  <w:vAlign w:val="center"/>
                </w:tcPr>
                <w:p w14:paraId="4463AC8B">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用气</w:t>
                  </w:r>
                </w:p>
              </w:tc>
            </w:tr>
            <w:tr w14:paraId="43F1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6" w:hRule="atLeast"/>
                <w:jc w:val="center"/>
              </w:trPr>
              <w:tc>
                <w:tcPr>
                  <w:tcW w:w="384" w:type="pct"/>
                  <w:vAlign w:val="center"/>
                </w:tcPr>
                <w:p w14:paraId="5FE3DFE3">
                  <w:pPr>
                    <w:widowControl/>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11</w:t>
                  </w:r>
                </w:p>
              </w:tc>
              <w:tc>
                <w:tcPr>
                  <w:tcW w:w="707" w:type="pct"/>
                  <w:vAlign w:val="center"/>
                </w:tcPr>
                <w:p w14:paraId="3C56F18B">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切割机</w:t>
                  </w:r>
                </w:p>
              </w:tc>
              <w:tc>
                <w:tcPr>
                  <w:tcW w:w="507" w:type="pct"/>
                  <w:vAlign w:val="center"/>
                </w:tcPr>
                <w:p w14:paraId="1E8B4CAD">
                  <w:pPr>
                    <w:snapToGrid w:val="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p>
              </w:tc>
              <w:tc>
                <w:tcPr>
                  <w:tcW w:w="398" w:type="pct"/>
                  <w:vAlign w:val="center"/>
                </w:tcPr>
                <w:p w14:paraId="73A02662">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JQF4.2</w:t>
                  </w:r>
                </w:p>
              </w:tc>
              <w:tc>
                <w:tcPr>
                  <w:tcW w:w="382" w:type="pct"/>
                  <w:vAlign w:val="center"/>
                </w:tcPr>
                <w:p w14:paraId="08E4A81F">
                  <w:pPr>
                    <w:snapToGrid w:val="0"/>
                    <w:jc w:val="center"/>
                    <w:rPr>
                      <w:color w:val="000000" w:themeColor="text1"/>
                      <w:kern w:val="0"/>
                      <w:sz w:val="24"/>
                      <w14:textFill>
                        <w14:solidFill>
                          <w14:schemeClr w14:val="tx1"/>
                        </w14:solidFill>
                      </w14:textFill>
                    </w:rPr>
                  </w:pPr>
                </w:p>
              </w:tc>
              <w:tc>
                <w:tcPr>
                  <w:tcW w:w="448" w:type="pct"/>
                  <w:vAlign w:val="center"/>
                </w:tcPr>
                <w:p w14:paraId="7791082C">
                  <w:pPr>
                    <w:snapToGrid w:val="0"/>
                    <w:jc w:val="center"/>
                    <w:rPr>
                      <w:color w:val="000000" w:themeColor="text1"/>
                      <w:kern w:val="0"/>
                      <w:sz w:val="24"/>
                      <w14:textFill>
                        <w14:solidFill>
                          <w14:schemeClr w14:val="tx1"/>
                        </w14:solidFill>
                      </w14:textFill>
                    </w:rPr>
                  </w:pPr>
                </w:p>
              </w:tc>
              <w:tc>
                <w:tcPr>
                  <w:tcW w:w="445" w:type="pct"/>
                  <w:vAlign w:val="center"/>
                </w:tcPr>
                <w:p w14:paraId="5BDE5859">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牵引机</w:t>
                  </w:r>
                </w:p>
              </w:tc>
              <w:tc>
                <w:tcPr>
                  <w:tcW w:w="344" w:type="pct"/>
                  <w:vAlign w:val="center"/>
                </w:tcPr>
                <w:p w14:paraId="7C00AE6B">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2套</w:t>
                  </w:r>
                </w:p>
              </w:tc>
              <w:tc>
                <w:tcPr>
                  <w:tcW w:w="549" w:type="pct"/>
                  <w:vAlign w:val="center"/>
                </w:tcPr>
                <w:p w14:paraId="125D861D">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w:t>
                  </w:r>
                </w:p>
              </w:tc>
              <w:tc>
                <w:tcPr>
                  <w:tcW w:w="549" w:type="pct"/>
                  <w:vAlign w:val="center"/>
                </w:tcPr>
                <w:p w14:paraId="7D80A363">
                  <w:pPr>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物料调度</w:t>
                  </w:r>
                </w:p>
              </w:tc>
              <w:tc>
                <w:tcPr>
                  <w:tcW w:w="287" w:type="pct"/>
                  <w:vAlign w:val="center"/>
                </w:tcPr>
                <w:p w14:paraId="79931CEE">
                  <w:pPr>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用电</w:t>
                  </w:r>
                </w:p>
              </w:tc>
            </w:tr>
            <w:bookmarkEnd w:id="6"/>
          </w:tbl>
          <w:p w14:paraId="4B16D178">
            <w:pPr>
              <w:pStyle w:val="62"/>
              <w:spacing w:before="120" w:beforeLines="50"/>
              <w:ind w:firstLine="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ascii="Times New Roman" w:hAnsi="Times New Roman" w:eastAsiaTheme="minorEastAsia"/>
                <w:b/>
                <w:bCs w:val="0"/>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主要原辅材料及燃料的种类和用量</w:t>
            </w:r>
          </w:p>
          <w:p w14:paraId="126C9A12">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5.1原辅材料种类与用量</w:t>
            </w:r>
          </w:p>
          <w:p w14:paraId="6C3EC34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本项目主要原辅料为基岩屑厌氧热回收处理后的干渣和水泥，具体使用情况见下表：</w:t>
            </w:r>
          </w:p>
          <w:p w14:paraId="23643E6D">
            <w:pPr>
              <w:pStyle w:val="2"/>
              <w:rPr>
                <w:color w:val="000000" w:themeColor="text1"/>
                <w14:textFill>
                  <w14:solidFill>
                    <w14:schemeClr w14:val="tx1"/>
                  </w14:solidFill>
                </w14:textFill>
              </w:rPr>
            </w:pPr>
          </w:p>
          <w:p w14:paraId="550406A6">
            <w:pPr>
              <w:pStyle w:val="2"/>
              <w:rPr>
                <w:color w:val="000000" w:themeColor="text1"/>
                <w14:textFill>
                  <w14:solidFill>
                    <w14:schemeClr w14:val="tx1"/>
                  </w14:solidFill>
                </w14:textFill>
              </w:rPr>
            </w:pPr>
          </w:p>
          <w:p w14:paraId="3C4ED6C0">
            <w:pPr>
              <w:pStyle w:val="2"/>
              <w:rPr>
                <w:color w:val="000000" w:themeColor="text1"/>
                <w14:textFill>
                  <w14:solidFill>
                    <w14:schemeClr w14:val="tx1"/>
                  </w14:solidFill>
                </w14:textFill>
              </w:rPr>
            </w:pPr>
          </w:p>
          <w:p w14:paraId="7E7C4E82">
            <w:pPr>
              <w:pStyle w:val="2"/>
              <w:rPr>
                <w:color w:val="000000" w:themeColor="text1"/>
                <w14:textFill>
                  <w14:solidFill>
                    <w14:schemeClr w14:val="tx1"/>
                  </w14:solidFill>
                </w14:textFill>
              </w:rPr>
            </w:pPr>
          </w:p>
          <w:p w14:paraId="397646E3">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 主要原辅材料及能源消耗表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33"/>
              <w:gridCol w:w="562"/>
              <w:gridCol w:w="1121"/>
              <w:gridCol w:w="743"/>
              <w:gridCol w:w="585"/>
              <w:gridCol w:w="647"/>
              <w:gridCol w:w="657"/>
              <w:gridCol w:w="851"/>
              <w:gridCol w:w="1197"/>
              <w:gridCol w:w="748"/>
              <w:gridCol w:w="822"/>
              <w:gridCol w:w="332"/>
            </w:tblGrid>
            <w:tr w14:paraId="50BD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3" w:hRule="atLeast"/>
                <w:jc w:val="center"/>
              </w:trPr>
              <w:tc>
                <w:tcPr>
                  <w:tcW w:w="194" w:type="pct"/>
                  <w:vMerge w:val="restart"/>
                  <w:vAlign w:val="center"/>
                </w:tcPr>
                <w:p w14:paraId="55331B86">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序号</w:t>
                  </w:r>
                </w:p>
              </w:tc>
              <w:tc>
                <w:tcPr>
                  <w:tcW w:w="327" w:type="pct"/>
                  <w:vMerge w:val="restart"/>
                  <w:vAlign w:val="center"/>
                </w:tcPr>
                <w:p w14:paraId="0D29EC44">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生产线</w:t>
                  </w:r>
                </w:p>
              </w:tc>
              <w:tc>
                <w:tcPr>
                  <w:tcW w:w="2182" w:type="pct"/>
                  <w:gridSpan w:val="5"/>
                  <w:vAlign w:val="center"/>
                </w:tcPr>
                <w:p w14:paraId="170542B7">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技改后原辅料</w:t>
                  </w:r>
                </w:p>
              </w:tc>
              <w:tc>
                <w:tcPr>
                  <w:tcW w:w="2297" w:type="pct"/>
                  <w:gridSpan w:val="5"/>
                  <w:vAlign w:val="center"/>
                </w:tcPr>
                <w:p w14:paraId="0B882085">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技改前原辅料</w:t>
                  </w:r>
                </w:p>
              </w:tc>
            </w:tr>
            <w:tr w14:paraId="6708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3" w:hRule="atLeast"/>
                <w:jc w:val="center"/>
              </w:trPr>
              <w:tc>
                <w:tcPr>
                  <w:tcW w:w="194" w:type="pct"/>
                  <w:vMerge w:val="continue"/>
                  <w:vAlign w:val="center"/>
                </w:tcPr>
                <w:p w14:paraId="7FC44C68">
                  <w:pPr>
                    <w:pStyle w:val="64"/>
                    <w:snapToGrid w:val="0"/>
                    <w:rPr>
                      <w:rFonts w:ascii="Times New Roman" w:hAnsi="Times New Roman"/>
                      <w:b/>
                      <w:color w:val="000000" w:themeColor="text1"/>
                      <w14:textFill>
                        <w14:solidFill>
                          <w14:schemeClr w14:val="tx1"/>
                        </w14:solidFill>
                      </w14:textFill>
                    </w:rPr>
                  </w:pPr>
                </w:p>
              </w:tc>
              <w:tc>
                <w:tcPr>
                  <w:tcW w:w="327" w:type="pct"/>
                  <w:vMerge w:val="continue"/>
                  <w:vAlign w:val="center"/>
                </w:tcPr>
                <w:p w14:paraId="275D0692">
                  <w:pPr>
                    <w:pStyle w:val="64"/>
                    <w:snapToGrid w:val="0"/>
                    <w:rPr>
                      <w:rFonts w:ascii="Times New Roman" w:hAnsi="Times New Roman"/>
                      <w:b/>
                      <w:color w:val="000000" w:themeColor="text1"/>
                      <w14:textFill>
                        <w14:solidFill>
                          <w14:schemeClr w14:val="tx1"/>
                        </w14:solidFill>
                      </w14:textFill>
                    </w:rPr>
                  </w:pPr>
                </w:p>
              </w:tc>
              <w:tc>
                <w:tcPr>
                  <w:tcW w:w="652" w:type="pct"/>
                  <w:vAlign w:val="center"/>
                </w:tcPr>
                <w:p w14:paraId="689CE664">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原辅材料名称</w:t>
                  </w:r>
                </w:p>
              </w:tc>
              <w:tc>
                <w:tcPr>
                  <w:tcW w:w="432" w:type="pct"/>
                  <w:vAlign w:val="center"/>
                </w:tcPr>
                <w:p w14:paraId="0C4D520C">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年用量</w:t>
                  </w:r>
                </w:p>
              </w:tc>
              <w:tc>
                <w:tcPr>
                  <w:tcW w:w="340" w:type="pct"/>
                  <w:vAlign w:val="center"/>
                </w:tcPr>
                <w:p w14:paraId="2B0C4A8E">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形态</w:t>
                  </w:r>
                </w:p>
              </w:tc>
              <w:tc>
                <w:tcPr>
                  <w:tcW w:w="376" w:type="pct"/>
                  <w:vAlign w:val="center"/>
                </w:tcPr>
                <w:p w14:paraId="2A98D4BA">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储存方式</w:t>
                  </w:r>
                </w:p>
              </w:tc>
              <w:tc>
                <w:tcPr>
                  <w:tcW w:w="381" w:type="pct"/>
                  <w:vAlign w:val="center"/>
                </w:tcPr>
                <w:p w14:paraId="44F371F5">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来源</w:t>
                  </w:r>
                </w:p>
              </w:tc>
              <w:tc>
                <w:tcPr>
                  <w:tcW w:w="495" w:type="pct"/>
                  <w:vAlign w:val="center"/>
                </w:tcPr>
                <w:p w14:paraId="29D343AF">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原辅材料名称</w:t>
                  </w:r>
                </w:p>
              </w:tc>
              <w:tc>
                <w:tcPr>
                  <w:tcW w:w="696" w:type="pct"/>
                  <w:vAlign w:val="center"/>
                </w:tcPr>
                <w:p w14:paraId="104B2C97">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年用量</w:t>
                  </w:r>
                </w:p>
              </w:tc>
              <w:tc>
                <w:tcPr>
                  <w:tcW w:w="435" w:type="pct"/>
                  <w:vAlign w:val="center"/>
                </w:tcPr>
                <w:p w14:paraId="65AE2540">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形态</w:t>
                  </w:r>
                </w:p>
              </w:tc>
              <w:tc>
                <w:tcPr>
                  <w:tcW w:w="478" w:type="pct"/>
                  <w:vAlign w:val="center"/>
                </w:tcPr>
                <w:p w14:paraId="48DCA6CE">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储存方式</w:t>
                  </w:r>
                </w:p>
              </w:tc>
              <w:tc>
                <w:tcPr>
                  <w:tcW w:w="194" w:type="pct"/>
                  <w:vAlign w:val="center"/>
                </w:tcPr>
                <w:p w14:paraId="459A1E84">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来源</w:t>
                  </w:r>
                </w:p>
              </w:tc>
            </w:tr>
            <w:tr w14:paraId="4A25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 w:hRule="atLeast"/>
                <w:jc w:val="center"/>
              </w:trPr>
              <w:tc>
                <w:tcPr>
                  <w:tcW w:w="194" w:type="pct"/>
                  <w:vAlign w:val="center"/>
                </w:tcPr>
                <w:p w14:paraId="04B62952">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327" w:type="pct"/>
                  <w:vMerge w:val="restart"/>
                  <w:vAlign w:val="center"/>
                </w:tcPr>
                <w:p w14:paraId="086982FA">
                  <w:pPr>
                    <w:spacing w:line="360" w:lineRule="exact"/>
                    <w:jc w:val="center"/>
                    <w:rPr>
                      <w:rFonts w:eastAsiaTheme="minorEastAsia"/>
                      <w:b/>
                      <w:bCs/>
                      <w:color w:val="000000" w:themeColor="text1"/>
                      <w:spacing w:val="-5"/>
                      <w:w w:val="101"/>
                      <w:szCs w:val="21"/>
                      <w14:textFill>
                        <w14:solidFill>
                          <w14:schemeClr w14:val="tx1"/>
                        </w14:solidFill>
                      </w14:textFill>
                    </w:rPr>
                  </w:pPr>
                  <w:r>
                    <w:rPr>
                      <w:rFonts w:eastAsiaTheme="minorEastAsia"/>
                      <w:b/>
                      <w:bCs/>
                      <w:color w:val="000000" w:themeColor="text1"/>
                      <w:spacing w:val="-5"/>
                      <w:w w:val="101"/>
                      <w:szCs w:val="21"/>
                      <w14:textFill>
                        <w14:solidFill>
                          <w14:schemeClr w14:val="tx1"/>
                        </w14:solidFill>
                      </w14:textFill>
                    </w:rPr>
                    <w:t>新增蒸压砖生产线</w:t>
                  </w:r>
                </w:p>
              </w:tc>
              <w:tc>
                <w:tcPr>
                  <w:tcW w:w="652" w:type="pct"/>
                  <w:vAlign w:val="center"/>
                </w:tcPr>
                <w:p w14:paraId="256B9B5B">
                  <w:pPr>
                    <w:spacing w:line="360" w:lineRule="exact"/>
                    <w:jc w:val="center"/>
                    <w:rPr>
                      <w:color w:val="000000" w:themeColor="text1"/>
                      <w:szCs w:val="21"/>
                      <w14:textFill>
                        <w14:solidFill>
                          <w14:schemeClr w14:val="tx1"/>
                        </w14:solidFill>
                      </w14:textFill>
                    </w:rPr>
                  </w:pPr>
                  <w:r>
                    <w:rPr>
                      <w:rFonts w:eastAsiaTheme="minorEastAsia"/>
                      <w:color w:val="000000" w:themeColor="text1"/>
                      <w:spacing w:val="-5"/>
                      <w:w w:val="101"/>
                      <w:szCs w:val="21"/>
                      <w14:textFill>
                        <w14:solidFill>
                          <w14:schemeClr w14:val="tx1"/>
                        </w14:solidFill>
                      </w14:textFill>
                    </w:rPr>
                    <w:t>干渣</w:t>
                  </w:r>
                </w:p>
              </w:tc>
              <w:tc>
                <w:tcPr>
                  <w:tcW w:w="432" w:type="pct"/>
                  <w:vAlign w:val="center"/>
                </w:tcPr>
                <w:p w14:paraId="03BC718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83100</w:t>
                  </w:r>
                  <w:r>
                    <w:rPr>
                      <w:color w:val="000000" w:themeColor="text1"/>
                      <w14:textFill>
                        <w14:solidFill>
                          <w14:schemeClr w14:val="tx1"/>
                        </w14:solidFill>
                      </w14:textFill>
                    </w:rPr>
                    <w:t xml:space="preserve"> t</w:t>
                  </w:r>
                </w:p>
              </w:tc>
              <w:tc>
                <w:tcPr>
                  <w:tcW w:w="340" w:type="pct"/>
                  <w:vAlign w:val="center"/>
                </w:tcPr>
                <w:p w14:paraId="5A9FBE76">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粉末状</w:t>
                  </w:r>
                </w:p>
              </w:tc>
              <w:tc>
                <w:tcPr>
                  <w:tcW w:w="376" w:type="pct"/>
                  <w:vAlign w:val="center"/>
                </w:tcPr>
                <w:p w14:paraId="0BA002A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粉料</w:t>
                  </w:r>
                  <w:r>
                    <w:rPr>
                      <w:color w:val="000000" w:themeColor="text1"/>
                      <w14:textFill>
                        <w14:solidFill>
                          <w14:schemeClr w14:val="tx1"/>
                        </w14:solidFill>
                      </w14:textFill>
                    </w:rPr>
                    <w:t>仓</w:t>
                  </w:r>
                </w:p>
              </w:tc>
              <w:tc>
                <w:tcPr>
                  <w:tcW w:w="381" w:type="pct"/>
                  <w:vAlign w:val="center"/>
                </w:tcPr>
                <w:p w14:paraId="437090A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本厂自有</w:t>
                  </w:r>
                </w:p>
              </w:tc>
              <w:tc>
                <w:tcPr>
                  <w:tcW w:w="495" w:type="pct"/>
                  <w:vAlign w:val="center"/>
                </w:tcPr>
                <w:p w14:paraId="050E04B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6" w:type="pct"/>
                  <w:vAlign w:val="center"/>
                </w:tcPr>
                <w:p w14:paraId="499F900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35" w:type="pct"/>
                  <w:vAlign w:val="center"/>
                </w:tcPr>
                <w:p w14:paraId="1ADD178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78" w:type="pct"/>
                  <w:vAlign w:val="center"/>
                </w:tcPr>
                <w:p w14:paraId="3F083FE7">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94" w:type="pct"/>
                  <w:vAlign w:val="center"/>
                </w:tcPr>
                <w:p w14:paraId="0554242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799D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6720BECC">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327" w:type="pct"/>
                  <w:vMerge w:val="continue"/>
                  <w:vAlign w:val="center"/>
                </w:tcPr>
                <w:p w14:paraId="02797634">
                  <w:pPr>
                    <w:spacing w:line="360" w:lineRule="exact"/>
                    <w:jc w:val="center"/>
                    <w:rPr>
                      <w:b/>
                      <w:bCs/>
                      <w:color w:val="000000" w:themeColor="text1"/>
                      <w:szCs w:val="21"/>
                      <w14:textFill>
                        <w14:solidFill>
                          <w14:schemeClr w14:val="tx1"/>
                        </w14:solidFill>
                      </w14:textFill>
                    </w:rPr>
                  </w:pPr>
                </w:p>
              </w:tc>
              <w:tc>
                <w:tcPr>
                  <w:tcW w:w="652" w:type="pct"/>
                  <w:vAlign w:val="center"/>
                </w:tcPr>
                <w:p w14:paraId="0733ABC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432" w:type="pct"/>
                  <w:vAlign w:val="center"/>
                </w:tcPr>
                <w:p w14:paraId="005E460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9230</w:t>
                  </w:r>
                  <w:r>
                    <w:rPr>
                      <w:color w:val="000000" w:themeColor="text1"/>
                      <w14:textFill>
                        <w14:solidFill>
                          <w14:schemeClr w14:val="tx1"/>
                        </w14:solidFill>
                      </w14:textFill>
                    </w:rPr>
                    <w:t xml:space="preserve"> t</w:t>
                  </w:r>
                </w:p>
              </w:tc>
              <w:tc>
                <w:tcPr>
                  <w:tcW w:w="340" w:type="pct"/>
                  <w:vAlign w:val="center"/>
                </w:tcPr>
                <w:p w14:paraId="54D0C07C">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粉末状</w:t>
                  </w:r>
                </w:p>
              </w:tc>
              <w:tc>
                <w:tcPr>
                  <w:tcW w:w="376" w:type="pct"/>
                  <w:vAlign w:val="center"/>
                </w:tcPr>
                <w:p w14:paraId="2A0F53A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粉料</w:t>
                  </w:r>
                  <w:r>
                    <w:rPr>
                      <w:color w:val="000000" w:themeColor="text1"/>
                      <w14:textFill>
                        <w14:solidFill>
                          <w14:schemeClr w14:val="tx1"/>
                        </w14:solidFill>
                      </w14:textFill>
                    </w:rPr>
                    <w:t>仓</w:t>
                  </w:r>
                </w:p>
              </w:tc>
              <w:tc>
                <w:tcPr>
                  <w:tcW w:w="381" w:type="pct"/>
                  <w:vAlign w:val="center"/>
                </w:tcPr>
                <w:p w14:paraId="7174CA7B">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77384D4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6" w:type="pct"/>
                  <w:vAlign w:val="center"/>
                </w:tcPr>
                <w:p w14:paraId="556E3D34">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35" w:type="pct"/>
                  <w:vAlign w:val="center"/>
                </w:tcPr>
                <w:p w14:paraId="077AA386">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78" w:type="pct"/>
                  <w:vAlign w:val="center"/>
                </w:tcPr>
                <w:p w14:paraId="39085D3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94" w:type="pct"/>
                  <w:vAlign w:val="center"/>
                </w:tcPr>
                <w:p w14:paraId="27F03854">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7FCC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0007A928">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327" w:type="pct"/>
                  <w:vMerge w:val="restart"/>
                  <w:vAlign w:val="center"/>
                </w:tcPr>
                <w:p w14:paraId="0CF86B1D">
                  <w:pPr>
                    <w:spacing w:line="360" w:lineRule="exact"/>
                    <w:jc w:val="center"/>
                    <w:rPr>
                      <w:b/>
                      <w:bCs/>
                      <w:color w:val="000000" w:themeColor="text1"/>
                      <w:szCs w:val="21"/>
                      <w14:textFill>
                        <w14:solidFill>
                          <w14:schemeClr w14:val="tx1"/>
                        </w14:solidFill>
                      </w14:textFill>
                    </w:rPr>
                  </w:pPr>
                  <w:r>
                    <w:rPr>
                      <w:rFonts w:eastAsiaTheme="minorEastAsia"/>
                      <w:b/>
                      <w:bCs/>
                      <w:color w:val="000000" w:themeColor="text1"/>
                      <w:spacing w:val="-5"/>
                      <w:w w:val="101"/>
                      <w:szCs w:val="21"/>
                      <w14:textFill>
                        <w14:solidFill>
                          <w14:schemeClr w14:val="tx1"/>
                        </w14:solidFill>
                      </w14:textFill>
                    </w:rPr>
                    <w:t>原蒸</w:t>
                  </w:r>
                  <w:r>
                    <w:rPr>
                      <w:rFonts w:hint="eastAsia" w:eastAsiaTheme="minorEastAsia"/>
                      <w:b/>
                      <w:bCs/>
                      <w:color w:val="000000" w:themeColor="text1"/>
                      <w:spacing w:val="-5"/>
                      <w:w w:val="101"/>
                      <w:szCs w:val="21"/>
                      <w:lang w:eastAsia="zh-CN"/>
                      <w14:textFill>
                        <w14:solidFill>
                          <w14:schemeClr w14:val="tx1"/>
                        </w14:solidFill>
                      </w14:textFill>
                    </w:rPr>
                    <w:t>压</w:t>
                  </w:r>
                  <w:r>
                    <w:rPr>
                      <w:rFonts w:eastAsiaTheme="minorEastAsia"/>
                      <w:b/>
                      <w:bCs/>
                      <w:color w:val="000000" w:themeColor="text1"/>
                      <w:spacing w:val="-5"/>
                      <w:w w:val="101"/>
                      <w:szCs w:val="21"/>
                      <w14:textFill>
                        <w14:solidFill>
                          <w14:schemeClr w14:val="tx1"/>
                        </w14:solidFill>
                      </w14:textFill>
                    </w:rPr>
                    <w:t>砖生产线</w:t>
                  </w:r>
                </w:p>
              </w:tc>
              <w:tc>
                <w:tcPr>
                  <w:tcW w:w="652" w:type="pct"/>
                  <w:vAlign w:val="center"/>
                </w:tcPr>
                <w:p w14:paraId="7782D47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w:t>
                  </w:r>
                </w:p>
              </w:tc>
              <w:tc>
                <w:tcPr>
                  <w:tcW w:w="432" w:type="pct"/>
                  <w:vAlign w:val="center"/>
                </w:tcPr>
                <w:p w14:paraId="2809E729">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13500 t</w:t>
                  </w:r>
                </w:p>
              </w:tc>
              <w:tc>
                <w:tcPr>
                  <w:tcW w:w="340" w:type="pct"/>
                  <w:vAlign w:val="center"/>
                </w:tcPr>
                <w:p w14:paraId="5F48958B">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块状固体</w:t>
                  </w:r>
                </w:p>
              </w:tc>
              <w:tc>
                <w:tcPr>
                  <w:tcW w:w="376" w:type="pct"/>
                  <w:vAlign w:val="center"/>
                </w:tcPr>
                <w:p w14:paraId="6EC88926">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原料场堆存</w:t>
                  </w:r>
                </w:p>
              </w:tc>
              <w:tc>
                <w:tcPr>
                  <w:tcW w:w="381" w:type="pct"/>
                  <w:vAlign w:val="center"/>
                </w:tcPr>
                <w:p w14:paraId="5BECA160">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201A812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w:t>
                  </w:r>
                </w:p>
              </w:tc>
              <w:tc>
                <w:tcPr>
                  <w:tcW w:w="696" w:type="pct"/>
                  <w:vAlign w:val="center"/>
                </w:tcPr>
                <w:p w14:paraId="08373251">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30000 t</w:t>
                  </w:r>
                </w:p>
              </w:tc>
              <w:tc>
                <w:tcPr>
                  <w:tcW w:w="435" w:type="pct"/>
                  <w:vAlign w:val="center"/>
                </w:tcPr>
                <w:p w14:paraId="20215E5C">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块状固体</w:t>
                  </w:r>
                </w:p>
              </w:tc>
              <w:tc>
                <w:tcPr>
                  <w:tcW w:w="478" w:type="pct"/>
                  <w:vAlign w:val="center"/>
                </w:tcPr>
                <w:p w14:paraId="5F0A07C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原料场堆存</w:t>
                  </w:r>
                </w:p>
              </w:tc>
              <w:tc>
                <w:tcPr>
                  <w:tcW w:w="194" w:type="pct"/>
                  <w:vAlign w:val="center"/>
                </w:tcPr>
                <w:p w14:paraId="73AA7151">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19D2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68FA2026">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327" w:type="pct"/>
                  <w:vMerge w:val="continue"/>
                  <w:vAlign w:val="center"/>
                </w:tcPr>
                <w:p w14:paraId="567728A9">
                  <w:pPr>
                    <w:spacing w:line="360" w:lineRule="exact"/>
                    <w:jc w:val="center"/>
                    <w:rPr>
                      <w:color w:val="000000" w:themeColor="text1"/>
                      <w:szCs w:val="21"/>
                      <w14:textFill>
                        <w14:solidFill>
                          <w14:schemeClr w14:val="tx1"/>
                        </w14:solidFill>
                      </w14:textFill>
                    </w:rPr>
                  </w:pPr>
                </w:p>
              </w:tc>
              <w:tc>
                <w:tcPr>
                  <w:tcW w:w="652" w:type="pct"/>
                  <w:vAlign w:val="center"/>
                </w:tcPr>
                <w:p w14:paraId="0C5FA25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432" w:type="pct"/>
                  <w:vAlign w:val="center"/>
                </w:tcPr>
                <w:p w14:paraId="16A24AA6">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4500 t</w:t>
                  </w:r>
                </w:p>
              </w:tc>
              <w:tc>
                <w:tcPr>
                  <w:tcW w:w="340" w:type="pct"/>
                  <w:vAlign w:val="center"/>
                </w:tcPr>
                <w:p w14:paraId="7ACC78DE">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粉末状</w:t>
                  </w:r>
                </w:p>
              </w:tc>
              <w:tc>
                <w:tcPr>
                  <w:tcW w:w="376" w:type="pct"/>
                  <w:vAlign w:val="center"/>
                </w:tcPr>
                <w:p w14:paraId="6221E51B">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水泥筒仓</w:t>
                  </w:r>
                </w:p>
              </w:tc>
              <w:tc>
                <w:tcPr>
                  <w:tcW w:w="381" w:type="pct"/>
                  <w:vAlign w:val="center"/>
                </w:tcPr>
                <w:p w14:paraId="51979238">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59712EA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696" w:type="pct"/>
                  <w:vAlign w:val="center"/>
                </w:tcPr>
                <w:p w14:paraId="5C5DB08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10000 t</w:t>
                  </w:r>
                </w:p>
              </w:tc>
              <w:tc>
                <w:tcPr>
                  <w:tcW w:w="435" w:type="pct"/>
                  <w:vAlign w:val="center"/>
                </w:tcPr>
                <w:p w14:paraId="73406801">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粉末状</w:t>
                  </w:r>
                </w:p>
              </w:tc>
              <w:tc>
                <w:tcPr>
                  <w:tcW w:w="478" w:type="pct"/>
                  <w:vAlign w:val="center"/>
                </w:tcPr>
                <w:p w14:paraId="476F904D">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水泥筒仓</w:t>
                  </w:r>
                </w:p>
              </w:tc>
              <w:tc>
                <w:tcPr>
                  <w:tcW w:w="194" w:type="pct"/>
                  <w:vAlign w:val="center"/>
                </w:tcPr>
                <w:p w14:paraId="378ECAF7">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72D2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66E8CD6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327" w:type="pct"/>
                  <w:vMerge w:val="continue"/>
                  <w:vAlign w:val="center"/>
                </w:tcPr>
                <w:p w14:paraId="72C9EF06">
                  <w:pPr>
                    <w:spacing w:line="360" w:lineRule="exact"/>
                    <w:jc w:val="center"/>
                    <w:rPr>
                      <w:color w:val="000000" w:themeColor="text1"/>
                      <w:szCs w:val="21"/>
                      <w14:textFill>
                        <w14:solidFill>
                          <w14:schemeClr w14:val="tx1"/>
                        </w14:solidFill>
                      </w14:textFill>
                    </w:rPr>
                  </w:pPr>
                </w:p>
              </w:tc>
              <w:tc>
                <w:tcPr>
                  <w:tcW w:w="652" w:type="pct"/>
                  <w:vAlign w:val="center"/>
                </w:tcPr>
                <w:p w14:paraId="131B894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粉煤灰</w:t>
                  </w:r>
                </w:p>
              </w:tc>
              <w:tc>
                <w:tcPr>
                  <w:tcW w:w="432" w:type="pct"/>
                  <w:vAlign w:val="center"/>
                </w:tcPr>
                <w:p w14:paraId="75DAECB1">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2250 t</w:t>
                  </w:r>
                </w:p>
              </w:tc>
              <w:tc>
                <w:tcPr>
                  <w:tcW w:w="340" w:type="pct"/>
                  <w:vAlign w:val="center"/>
                </w:tcPr>
                <w:p w14:paraId="7E2098F6">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粉末状</w:t>
                  </w:r>
                </w:p>
              </w:tc>
              <w:tc>
                <w:tcPr>
                  <w:tcW w:w="376" w:type="pct"/>
                  <w:vAlign w:val="center"/>
                </w:tcPr>
                <w:p w14:paraId="19C95023">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粉状</w:t>
                  </w:r>
                </w:p>
              </w:tc>
              <w:tc>
                <w:tcPr>
                  <w:tcW w:w="381" w:type="pct"/>
                  <w:vAlign w:val="center"/>
                </w:tcPr>
                <w:p w14:paraId="1571494A">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2099117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粉煤灰</w:t>
                  </w:r>
                </w:p>
              </w:tc>
              <w:tc>
                <w:tcPr>
                  <w:tcW w:w="696" w:type="pct"/>
                  <w:vAlign w:val="center"/>
                </w:tcPr>
                <w:p w14:paraId="4799391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5000 t</w:t>
                  </w:r>
                </w:p>
              </w:tc>
              <w:tc>
                <w:tcPr>
                  <w:tcW w:w="435" w:type="pct"/>
                  <w:vAlign w:val="center"/>
                </w:tcPr>
                <w:p w14:paraId="76C56A4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粉末状</w:t>
                  </w:r>
                </w:p>
              </w:tc>
              <w:tc>
                <w:tcPr>
                  <w:tcW w:w="478" w:type="pct"/>
                  <w:vAlign w:val="center"/>
                </w:tcPr>
                <w:p w14:paraId="355A835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粉状</w:t>
                  </w:r>
                </w:p>
              </w:tc>
              <w:tc>
                <w:tcPr>
                  <w:tcW w:w="194" w:type="pct"/>
                  <w:vAlign w:val="center"/>
                </w:tcPr>
                <w:p w14:paraId="0459FF9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1D2C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0747FC5B">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327" w:type="pct"/>
                  <w:vMerge w:val="continue"/>
                  <w:vAlign w:val="center"/>
                </w:tcPr>
                <w:p w14:paraId="2873BEF9">
                  <w:pPr>
                    <w:spacing w:line="360" w:lineRule="exact"/>
                    <w:jc w:val="center"/>
                    <w:rPr>
                      <w:color w:val="000000" w:themeColor="text1"/>
                      <w:szCs w:val="21"/>
                      <w14:textFill>
                        <w14:solidFill>
                          <w14:schemeClr w14:val="tx1"/>
                        </w14:solidFill>
                      </w14:textFill>
                    </w:rPr>
                  </w:pPr>
                </w:p>
              </w:tc>
              <w:tc>
                <w:tcPr>
                  <w:tcW w:w="652" w:type="pct"/>
                  <w:vAlign w:val="center"/>
                </w:tcPr>
                <w:p w14:paraId="2E54B69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石灰粉</w:t>
                  </w:r>
                </w:p>
              </w:tc>
              <w:tc>
                <w:tcPr>
                  <w:tcW w:w="432" w:type="pct"/>
                  <w:vAlign w:val="center"/>
                </w:tcPr>
                <w:p w14:paraId="0A979CF1">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2250 t</w:t>
                  </w:r>
                </w:p>
              </w:tc>
              <w:tc>
                <w:tcPr>
                  <w:tcW w:w="340" w:type="pct"/>
                  <w:vAlign w:val="center"/>
                </w:tcPr>
                <w:p w14:paraId="2E1EF129">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块状</w:t>
                  </w:r>
                </w:p>
              </w:tc>
              <w:tc>
                <w:tcPr>
                  <w:tcW w:w="376" w:type="pct"/>
                  <w:vAlign w:val="center"/>
                </w:tcPr>
                <w:p w14:paraId="41554984">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白灰仓</w:t>
                  </w:r>
                </w:p>
              </w:tc>
              <w:tc>
                <w:tcPr>
                  <w:tcW w:w="381" w:type="pct"/>
                  <w:vAlign w:val="center"/>
                </w:tcPr>
                <w:p w14:paraId="14FA7625">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763FE49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石灰块</w:t>
                  </w:r>
                </w:p>
              </w:tc>
              <w:tc>
                <w:tcPr>
                  <w:tcW w:w="696" w:type="pct"/>
                  <w:vAlign w:val="center"/>
                </w:tcPr>
                <w:p w14:paraId="27A4417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5000 t</w:t>
                  </w:r>
                </w:p>
              </w:tc>
              <w:tc>
                <w:tcPr>
                  <w:tcW w:w="435" w:type="pct"/>
                  <w:vAlign w:val="center"/>
                </w:tcPr>
                <w:p w14:paraId="2A04364B">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块状</w:t>
                  </w:r>
                </w:p>
              </w:tc>
              <w:tc>
                <w:tcPr>
                  <w:tcW w:w="478" w:type="pct"/>
                  <w:vAlign w:val="center"/>
                </w:tcPr>
                <w:p w14:paraId="0A474F2C">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粉碎后储存与白灰仓</w:t>
                  </w:r>
                </w:p>
              </w:tc>
              <w:tc>
                <w:tcPr>
                  <w:tcW w:w="194" w:type="pct"/>
                  <w:vAlign w:val="center"/>
                </w:tcPr>
                <w:p w14:paraId="694F5FC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16E7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241DC8D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327" w:type="pct"/>
                  <w:vMerge w:val="continue"/>
                  <w:vAlign w:val="center"/>
                </w:tcPr>
                <w:p w14:paraId="592D493A">
                  <w:pPr>
                    <w:spacing w:line="360" w:lineRule="exact"/>
                    <w:jc w:val="center"/>
                    <w:rPr>
                      <w:color w:val="000000" w:themeColor="text1"/>
                      <w:szCs w:val="21"/>
                      <w14:textFill>
                        <w14:solidFill>
                          <w14:schemeClr w14:val="tx1"/>
                        </w14:solidFill>
                      </w14:textFill>
                    </w:rPr>
                  </w:pPr>
                </w:p>
              </w:tc>
              <w:tc>
                <w:tcPr>
                  <w:tcW w:w="652" w:type="pct"/>
                  <w:vAlign w:val="center"/>
                </w:tcPr>
                <w:p w14:paraId="548379F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碎石</w:t>
                  </w:r>
                </w:p>
              </w:tc>
              <w:tc>
                <w:tcPr>
                  <w:tcW w:w="432" w:type="pct"/>
                  <w:vAlign w:val="center"/>
                </w:tcPr>
                <w:p w14:paraId="40873DBD">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4500 t</w:t>
                  </w:r>
                </w:p>
              </w:tc>
              <w:tc>
                <w:tcPr>
                  <w:tcW w:w="340" w:type="pct"/>
                  <w:vAlign w:val="center"/>
                </w:tcPr>
                <w:p w14:paraId="3B01F479">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块状</w:t>
                  </w:r>
                </w:p>
              </w:tc>
              <w:tc>
                <w:tcPr>
                  <w:tcW w:w="376" w:type="pct"/>
                  <w:vAlign w:val="center"/>
                </w:tcPr>
                <w:p w14:paraId="2350BD94">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原料场堆存</w:t>
                  </w:r>
                </w:p>
              </w:tc>
              <w:tc>
                <w:tcPr>
                  <w:tcW w:w="381" w:type="pct"/>
                  <w:vAlign w:val="center"/>
                </w:tcPr>
                <w:p w14:paraId="5D8F658A">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59DEC63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碎石</w:t>
                  </w:r>
                </w:p>
              </w:tc>
              <w:tc>
                <w:tcPr>
                  <w:tcW w:w="696" w:type="pct"/>
                  <w:vAlign w:val="center"/>
                </w:tcPr>
                <w:p w14:paraId="162E7D92">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10000 t</w:t>
                  </w:r>
                </w:p>
              </w:tc>
              <w:tc>
                <w:tcPr>
                  <w:tcW w:w="435" w:type="pct"/>
                  <w:vAlign w:val="center"/>
                </w:tcPr>
                <w:p w14:paraId="30D2183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块状</w:t>
                  </w:r>
                </w:p>
              </w:tc>
              <w:tc>
                <w:tcPr>
                  <w:tcW w:w="478" w:type="pct"/>
                  <w:vAlign w:val="center"/>
                </w:tcPr>
                <w:p w14:paraId="6A16838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原料场堆存</w:t>
                  </w:r>
                </w:p>
              </w:tc>
              <w:tc>
                <w:tcPr>
                  <w:tcW w:w="194" w:type="pct"/>
                  <w:vAlign w:val="center"/>
                </w:tcPr>
                <w:p w14:paraId="0FCEC573">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323E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60FAC2F3">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327" w:type="pct"/>
                  <w:vMerge w:val="continue"/>
                  <w:vAlign w:val="center"/>
                </w:tcPr>
                <w:p w14:paraId="3D3826DE">
                  <w:pPr>
                    <w:spacing w:line="360" w:lineRule="exact"/>
                    <w:jc w:val="center"/>
                    <w:rPr>
                      <w:color w:val="000000" w:themeColor="text1"/>
                      <w:szCs w:val="21"/>
                      <w14:textFill>
                        <w14:solidFill>
                          <w14:schemeClr w14:val="tx1"/>
                        </w14:solidFill>
                      </w14:textFill>
                    </w:rPr>
                  </w:pPr>
                </w:p>
              </w:tc>
              <w:tc>
                <w:tcPr>
                  <w:tcW w:w="652" w:type="pct"/>
                  <w:vAlign w:val="center"/>
                </w:tcPr>
                <w:p w14:paraId="3575A0E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脱模剂</w:t>
                  </w:r>
                </w:p>
              </w:tc>
              <w:tc>
                <w:tcPr>
                  <w:tcW w:w="432" w:type="pct"/>
                  <w:vAlign w:val="center"/>
                </w:tcPr>
                <w:p w14:paraId="03DE9441">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4.5 t</w:t>
                  </w:r>
                </w:p>
              </w:tc>
              <w:tc>
                <w:tcPr>
                  <w:tcW w:w="340" w:type="pct"/>
                  <w:vAlign w:val="center"/>
                </w:tcPr>
                <w:p w14:paraId="0BF62CFD">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液体</w:t>
                  </w:r>
                </w:p>
              </w:tc>
              <w:tc>
                <w:tcPr>
                  <w:tcW w:w="376" w:type="pct"/>
                  <w:vAlign w:val="center"/>
                </w:tcPr>
                <w:p w14:paraId="48C0A925">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桶装</w:t>
                  </w:r>
                </w:p>
              </w:tc>
              <w:tc>
                <w:tcPr>
                  <w:tcW w:w="381" w:type="pct"/>
                  <w:vAlign w:val="center"/>
                </w:tcPr>
                <w:p w14:paraId="740DE67B">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外购</w:t>
                  </w:r>
                </w:p>
              </w:tc>
              <w:tc>
                <w:tcPr>
                  <w:tcW w:w="495" w:type="pct"/>
                  <w:vAlign w:val="center"/>
                </w:tcPr>
                <w:p w14:paraId="3EB0AF9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脱模剂</w:t>
                  </w:r>
                </w:p>
              </w:tc>
              <w:tc>
                <w:tcPr>
                  <w:tcW w:w="696" w:type="pct"/>
                  <w:vAlign w:val="center"/>
                </w:tcPr>
                <w:p w14:paraId="7EFCA4FD">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 t</w:t>
                  </w:r>
                </w:p>
              </w:tc>
              <w:tc>
                <w:tcPr>
                  <w:tcW w:w="435" w:type="pct"/>
                  <w:vAlign w:val="center"/>
                </w:tcPr>
                <w:p w14:paraId="335986BD">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液体</w:t>
                  </w:r>
                </w:p>
              </w:tc>
              <w:tc>
                <w:tcPr>
                  <w:tcW w:w="478" w:type="pct"/>
                  <w:vAlign w:val="center"/>
                </w:tcPr>
                <w:p w14:paraId="59943971">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桶装</w:t>
                  </w:r>
                </w:p>
              </w:tc>
              <w:tc>
                <w:tcPr>
                  <w:tcW w:w="194" w:type="pct"/>
                  <w:vAlign w:val="center"/>
                </w:tcPr>
                <w:p w14:paraId="485AF42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102F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6A3DD81C">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327" w:type="pct"/>
                  <w:vAlign w:val="center"/>
                </w:tcPr>
                <w:p w14:paraId="1B82E4D3">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水</w:t>
                  </w:r>
                </w:p>
              </w:tc>
              <w:tc>
                <w:tcPr>
                  <w:tcW w:w="652" w:type="pct"/>
                  <w:vAlign w:val="center"/>
                </w:tcPr>
                <w:p w14:paraId="752552D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21781.89  m</w:t>
                  </w:r>
                  <w:r>
                    <w:rPr>
                      <w:rFonts w:ascii="Times New Roman" w:hAnsi="Times New Roman"/>
                      <w:color w:val="000000" w:themeColor="text1"/>
                      <w:vertAlign w:val="superscript"/>
                      <w14:textFill>
                        <w14:solidFill>
                          <w14:schemeClr w14:val="tx1"/>
                        </w14:solidFill>
                      </w14:textFill>
                    </w:rPr>
                    <w:t>3</w:t>
                  </w:r>
                </w:p>
              </w:tc>
              <w:tc>
                <w:tcPr>
                  <w:tcW w:w="432" w:type="pct"/>
                  <w:vAlign w:val="center"/>
                </w:tcPr>
                <w:p w14:paraId="6E716CC2">
                  <w:pPr>
                    <w:pStyle w:val="64"/>
                    <w:snapToGrid w:val="0"/>
                    <w:rPr>
                      <w:rFonts w:ascii="Times New Roman" w:hAnsi="Times New Roman"/>
                      <w:color w:val="000000" w:themeColor="text1"/>
                      <w14:textFill>
                        <w14:solidFill>
                          <w14:schemeClr w14:val="tx1"/>
                        </w14:solidFill>
                      </w14:textFill>
                    </w:rPr>
                  </w:pPr>
                </w:p>
              </w:tc>
              <w:tc>
                <w:tcPr>
                  <w:tcW w:w="340" w:type="pct"/>
                  <w:vAlign w:val="center"/>
                </w:tcPr>
                <w:p w14:paraId="3F1D6DE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76" w:type="pct"/>
                  <w:vAlign w:val="center"/>
                </w:tcPr>
                <w:p w14:paraId="61ABAB5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81" w:type="pct"/>
                  <w:vAlign w:val="center"/>
                </w:tcPr>
                <w:p w14:paraId="3F511F53">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c>
                <w:tcPr>
                  <w:tcW w:w="495" w:type="pct"/>
                  <w:vAlign w:val="center"/>
                </w:tcPr>
                <w:p w14:paraId="1C5583B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水</w:t>
                  </w:r>
                </w:p>
              </w:tc>
              <w:tc>
                <w:tcPr>
                  <w:tcW w:w="696" w:type="pct"/>
                  <w:vAlign w:val="center"/>
                </w:tcPr>
                <w:p w14:paraId="3DDED66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21781.89  m</w:t>
                  </w:r>
                  <w:r>
                    <w:rPr>
                      <w:rFonts w:ascii="Times New Roman" w:hAnsi="Times New Roman"/>
                      <w:color w:val="000000" w:themeColor="text1"/>
                      <w:vertAlign w:val="superscript"/>
                      <w14:textFill>
                        <w14:solidFill>
                          <w14:schemeClr w14:val="tx1"/>
                        </w14:solidFill>
                      </w14:textFill>
                    </w:rPr>
                    <w:t>3</w:t>
                  </w:r>
                </w:p>
              </w:tc>
              <w:tc>
                <w:tcPr>
                  <w:tcW w:w="435" w:type="pct"/>
                  <w:vAlign w:val="center"/>
                </w:tcPr>
                <w:p w14:paraId="5D67E2F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78" w:type="pct"/>
                  <w:vAlign w:val="center"/>
                </w:tcPr>
                <w:p w14:paraId="3FCBCD1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94" w:type="pct"/>
                  <w:vAlign w:val="center"/>
                </w:tcPr>
                <w:p w14:paraId="31B851C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59EF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71864E4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p>
              </w:tc>
              <w:tc>
                <w:tcPr>
                  <w:tcW w:w="327" w:type="pct"/>
                  <w:vAlign w:val="center"/>
                </w:tcPr>
                <w:p w14:paraId="364D7006">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w:t>
                  </w:r>
                </w:p>
              </w:tc>
              <w:tc>
                <w:tcPr>
                  <w:tcW w:w="652" w:type="pct"/>
                  <w:vAlign w:val="center"/>
                </w:tcPr>
                <w:p w14:paraId="6F7812ED">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8万 kw·h</w:t>
                  </w:r>
                </w:p>
              </w:tc>
              <w:tc>
                <w:tcPr>
                  <w:tcW w:w="432" w:type="pct"/>
                  <w:vAlign w:val="center"/>
                </w:tcPr>
                <w:p w14:paraId="416D1B7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40" w:type="pct"/>
                  <w:vAlign w:val="center"/>
                </w:tcPr>
                <w:p w14:paraId="295652F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76" w:type="pct"/>
                  <w:vAlign w:val="center"/>
                </w:tcPr>
                <w:p w14:paraId="64DAA72C">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81" w:type="pct"/>
                  <w:vAlign w:val="center"/>
                </w:tcPr>
                <w:p w14:paraId="60E28022">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c>
                <w:tcPr>
                  <w:tcW w:w="495" w:type="pct"/>
                  <w:vAlign w:val="center"/>
                </w:tcPr>
                <w:p w14:paraId="57F70E14">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w:t>
                  </w:r>
                </w:p>
              </w:tc>
              <w:tc>
                <w:tcPr>
                  <w:tcW w:w="696" w:type="pct"/>
                  <w:vAlign w:val="center"/>
                </w:tcPr>
                <w:p w14:paraId="54056402">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8万 kw·h</w:t>
                  </w:r>
                </w:p>
              </w:tc>
              <w:tc>
                <w:tcPr>
                  <w:tcW w:w="435" w:type="pct"/>
                  <w:vAlign w:val="center"/>
                </w:tcPr>
                <w:p w14:paraId="3D7C6A3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78" w:type="pct"/>
                  <w:vAlign w:val="center"/>
                </w:tcPr>
                <w:p w14:paraId="0D904A8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94" w:type="pct"/>
                  <w:vAlign w:val="center"/>
                </w:tcPr>
                <w:p w14:paraId="36AF96D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r w14:paraId="24B7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9" w:hRule="atLeast"/>
                <w:jc w:val="center"/>
              </w:trPr>
              <w:tc>
                <w:tcPr>
                  <w:tcW w:w="194" w:type="pct"/>
                  <w:vAlign w:val="center"/>
                </w:tcPr>
                <w:p w14:paraId="43777DD4">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w:t>
                  </w:r>
                </w:p>
              </w:tc>
              <w:tc>
                <w:tcPr>
                  <w:tcW w:w="327" w:type="pct"/>
                  <w:vAlign w:val="center"/>
                </w:tcPr>
                <w:p w14:paraId="01E12727">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天然气</w:t>
                  </w:r>
                </w:p>
              </w:tc>
              <w:tc>
                <w:tcPr>
                  <w:tcW w:w="652" w:type="pct"/>
                  <w:vAlign w:val="center"/>
                </w:tcPr>
                <w:p w14:paraId="5E62C74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600000 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/a</w:t>
                  </w:r>
                </w:p>
              </w:tc>
              <w:tc>
                <w:tcPr>
                  <w:tcW w:w="432" w:type="pct"/>
                  <w:vAlign w:val="center"/>
                </w:tcPr>
                <w:p w14:paraId="578959C6">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40" w:type="pct"/>
                  <w:vAlign w:val="center"/>
                </w:tcPr>
                <w:p w14:paraId="1DABFF26">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76" w:type="pct"/>
                  <w:vAlign w:val="center"/>
                </w:tcPr>
                <w:p w14:paraId="4A6E849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381" w:type="pct"/>
                  <w:vAlign w:val="center"/>
                </w:tcPr>
                <w:p w14:paraId="626F922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c>
                <w:tcPr>
                  <w:tcW w:w="495" w:type="pct"/>
                  <w:vAlign w:val="center"/>
                </w:tcPr>
                <w:p w14:paraId="09B4D74A">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天然气</w:t>
                  </w:r>
                </w:p>
              </w:tc>
              <w:tc>
                <w:tcPr>
                  <w:tcW w:w="696" w:type="pct"/>
                  <w:vAlign w:val="center"/>
                </w:tcPr>
                <w:p w14:paraId="391DD14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600000 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/a</w:t>
                  </w:r>
                </w:p>
              </w:tc>
              <w:tc>
                <w:tcPr>
                  <w:tcW w:w="435" w:type="pct"/>
                  <w:vAlign w:val="center"/>
                </w:tcPr>
                <w:p w14:paraId="7B566026">
                  <w:pPr>
                    <w:pStyle w:val="64"/>
                    <w:snapToGrid w:val="0"/>
                    <w:rPr>
                      <w:rFonts w:ascii="Times New Roman" w:hAnsi="Times New Roman"/>
                      <w:color w:val="000000" w:themeColor="text1"/>
                      <w14:textFill>
                        <w14:solidFill>
                          <w14:schemeClr w14:val="tx1"/>
                        </w14:solidFill>
                      </w14:textFill>
                    </w:rPr>
                  </w:pPr>
                </w:p>
              </w:tc>
              <w:tc>
                <w:tcPr>
                  <w:tcW w:w="478" w:type="pct"/>
                  <w:vAlign w:val="center"/>
                </w:tcPr>
                <w:p w14:paraId="0AFCF728">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94" w:type="pct"/>
                  <w:vAlign w:val="center"/>
                </w:tcPr>
                <w:p w14:paraId="55B8A668">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外购</w:t>
                  </w:r>
                </w:p>
              </w:tc>
            </w:tr>
          </w:tbl>
          <w:p w14:paraId="1AA3D400">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5.2主要原辅材料理化特性表如下：</w:t>
            </w:r>
          </w:p>
          <w:p w14:paraId="258CAF4E">
            <w:pPr>
              <w:pStyle w:val="2"/>
              <w:rPr>
                <w:color w:val="000000" w:themeColor="text1"/>
                <w14:textFill>
                  <w14:solidFill>
                    <w14:schemeClr w14:val="tx1"/>
                  </w14:solidFill>
                </w14:textFill>
              </w:rPr>
            </w:pPr>
          </w:p>
          <w:p w14:paraId="4FDF7217">
            <w:pPr>
              <w:pStyle w:val="2"/>
              <w:rPr>
                <w:color w:val="000000" w:themeColor="text1"/>
                <w14:textFill>
                  <w14:solidFill>
                    <w14:schemeClr w14:val="tx1"/>
                  </w14:solidFill>
                </w14:textFill>
              </w:rPr>
            </w:pPr>
          </w:p>
          <w:p w14:paraId="12D0EBEB">
            <w:pPr>
              <w:pStyle w:val="2"/>
              <w:rPr>
                <w:color w:val="000000" w:themeColor="text1"/>
                <w14:textFill>
                  <w14:solidFill>
                    <w14:schemeClr w14:val="tx1"/>
                  </w14:solidFill>
                </w14:textFill>
              </w:rPr>
            </w:pPr>
          </w:p>
          <w:p w14:paraId="3A949133">
            <w:pPr>
              <w:pStyle w:val="2"/>
              <w:rPr>
                <w:color w:val="000000" w:themeColor="text1"/>
                <w14:textFill>
                  <w14:solidFill>
                    <w14:schemeClr w14:val="tx1"/>
                  </w14:solidFill>
                </w14:textFill>
              </w:rPr>
            </w:pPr>
          </w:p>
          <w:p w14:paraId="43C13DDC">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表2-5 主要原辅材料理化特性表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887"/>
              <w:gridCol w:w="4621"/>
              <w:gridCol w:w="1335"/>
              <w:gridCol w:w="1265"/>
            </w:tblGrid>
            <w:tr w14:paraId="5F69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300" w:type="pct"/>
                  <w:tcMar>
                    <w:left w:w="28" w:type="dxa"/>
                    <w:right w:w="28" w:type="dxa"/>
                  </w:tcMar>
                  <w:vAlign w:val="center"/>
                </w:tcPr>
                <w:p w14:paraId="001D6EC3">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530" w:type="pct"/>
                  <w:tcMar>
                    <w:left w:w="28" w:type="dxa"/>
                    <w:right w:w="28" w:type="dxa"/>
                  </w:tcMar>
                  <w:vAlign w:val="center"/>
                </w:tcPr>
                <w:p w14:paraId="569EEAB5">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名称</w:t>
                  </w:r>
                </w:p>
              </w:tc>
              <w:tc>
                <w:tcPr>
                  <w:tcW w:w="2701" w:type="pct"/>
                  <w:tcMar>
                    <w:left w:w="28" w:type="dxa"/>
                    <w:right w:w="28" w:type="dxa"/>
                  </w:tcMar>
                  <w:vAlign w:val="center"/>
                </w:tcPr>
                <w:p w14:paraId="30AF1E4C">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理化特性</w:t>
                  </w:r>
                </w:p>
              </w:tc>
              <w:tc>
                <w:tcPr>
                  <w:tcW w:w="718" w:type="pct"/>
                  <w:tcMar>
                    <w:left w:w="28" w:type="dxa"/>
                    <w:right w:w="28" w:type="dxa"/>
                  </w:tcMar>
                  <w:vAlign w:val="center"/>
                </w:tcPr>
                <w:p w14:paraId="2546AC94">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燃烧及</w:t>
                  </w:r>
                </w:p>
                <w:p w14:paraId="734AC129">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爆炸特性</w:t>
                  </w:r>
                </w:p>
              </w:tc>
              <w:tc>
                <w:tcPr>
                  <w:tcW w:w="750" w:type="pct"/>
                  <w:tcMar>
                    <w:left w:w="28" w:type="dxa"/>
                    <w:right w:w="28" w:type="dxa"/>
                  </w:tcMar>
                  <w:vAlign w:val="center"/>
                </w:tcPr>
                <w:p w14:paraId="3C75500C">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毒理毒性</w:t>
                  </w:r>
                </w:p>
              </w:tc>
            </w:tr>
            <w:tr w14:paraId="2DA0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300" w:type="pct"/>
                  <w:tcMar>
                    <w:left w:w="28" w:type="dxa"/>
                    <w:right w:w="28" w:type="dxa"/>
                  </w:tcMar>
                  <w:vAlign w:val="center"/>
                </w:tcPr>
                <w:p w14:paraId="3876C3A4">
                  <w:pPr>
                    <w:pStyle w:val="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530" w:type="pct"/>
                  <w:tcMar>
                    <w:left w:w="28" w:type="dxa"/>
                    <w:right w:w="28" w:type="dxa"/>
                  </w:tcMar>
                  <w:vAlign w:val="center"/>
                </w:tcPr>
                <w:p w14:paraId="114CFC4C">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干渣</w:t>
                  </w:r>
                </w:p>
              </w:tc>
              <w:tc>
                <w:tcPr>
                  <w:tcW w:w="2701" w:type="pct"/>
                  <w:tcMar>
                    <w:left w:w="28" w:type="dxa"/>
                    <w:right w:w="28" w:type="dxa"/>
                  </w:tcMar>
                  <w:vAlign w:val="center"/>
                </w:tcPr>
                <w:p w14:paraId="7F582C12">
                  <w:pP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主要成分为二氧化硅、氧化铝、硫酸钡、碳酸钙等无机物，不存在《危险废物鉴别标准反应性鉴别》(GB5085.5-2007)4.1中爆炸性质，且不属于废弃氧化剂或有机过氧化物，干渣常温下为灰色粉末状物质，含水率范围为0.1%~1.2%。干渣中不含氰化物和硫化物；</w:t>
                  </w:r>
                </w:p>
              </w:tc>
              <w:tc>
                <w:tcPr>
                  <w:tcW w:w="718" w:type="pct"/>
                  <w:tcMar>
                    <w:left w:w="28" w:type="dxa"/>
                    <w:right w:w="28" w:type="dxa"/>
                  </w:tcMar>
                  <w:vAlign w:val="center"/>
                </w:tcPr>
                <w:p w14:paraId="1749A336">
                  <w:pP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不易燃</w:t>
                  </w:r>
                </w:p>
              </w:tc>
              <w:tc>
                <w:tcPr>
                  <w:tcW w:w="750" w:type="pct"/>
                  <w:tcMar>
                    <w:left w:w="28" w:type="dxa"/>
                    <w:right w:w="28" w:type="dxa"/>
                  </w:tcMar>
                  <w:vAlign w:val="center"/>
                </w:tcPr>
                <w:p w14:paraId="4B81E2F8">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无毒</w:t>
                  </w:r>
                </w:p>
              </w:tc>
            </w:tr>
            <w:tr w14:paraId="73CD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00" w:type="pct"/>
                  <w:tcMar>
                    <w:left w:w="28" w:type="dxa"/>
                    <w:right w:w="28" w:type="dxa"/>
                  </w:tcMar>
                  <w:vAlign w:val="center"/>
                </w:tcPr>
                <w:p w14:paraId="5EF3CFB1">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530" w:type="pct"/>
                  <w:tcMar>
                    <w:left w:w="28" w:type="dxa"/>
                    <w:right w:w="28" w:type="dxa"/>
                  </w:tcMar>
                  <w:vAlign w:val="center"/>
                </w:tcPr>
                <w:p w14:paraId="18865C1D">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水泥</w:t>
                  </w:r>
                </w:p>
              </w:tc>
              <w:tc>
                <w:tcPr>
                  <w:tcW w:w="2701" w:type="pct"/>
                  <w:tcMar>
                    <w:left w:w="28" w:type="dxa"/>
                    <w:right w:w="28" w:type="dxa"/>
                  </w:tcMar>
                  <w:vAlign w:val="center"/>
                </w:tcPr>
                <w:p w14:paraId="5AE6BE4C">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粉状水硬性无机胶凝材料。加水搅拌后成浆体，能在空气中硬化或者在水中硬化，并能把砂、石等材料牢固地胶结在一起，水泥作为一种重要的胶凝材料，广泛应用于土木建筑、水利、国防等工程。</w:t>
                  </w:r>
                </w:p>
              </w:tc>
              <w:tc>
                <w:tcPr>
                  <w:tcW w:w="718" w:type="pct"/>
                  <w:tcMar>
                    <w:left w:w="28" w:type="dxa"/>
                    <w:right w:w="28" w:type="dxa"/>
                  </w:tcMar>
                  <w:vAlign w:val="center"/>
                </w:tcPr>
                <w:p w14:paraId="32AD3559">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不燃</w:t>
                  </w:r>
                </w:p>
              </w:tc>
              <w:tc>
                <w:tcPr>
                  <w:tcW w:w="750" w:type="pct"/>
                  <w:tcMar>
                    <w:left w:w="28" w:type="dxa"/>
                    <w:right w:w="28" w:type="dxa"/>
                  </w:tcMar>
                  <w:vAlign w:val="center"/>
                </w:tcPr>
                <w:p w14:paraId="2D67EE7D">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具有轻微腐蚀性，粘在皮肤遇水时会灼伤，刺激皮肤引起炎症</w:t>
                  </w:r>
                </w:p>
              </w:tc>
            </w:tr>
            <w:tr w14:paraId="47A6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300" w:type="pct"/>
                  <w:tcMar>
                    <w:left w:w="28" w:type="dxa"/>
                    <w:right w:w="28" w:type="dxa"/>
                  </w:tcMar>
                  <w:vAlign w:val="center"/>
                </w:tcPr>
                <w:p w14:paraId="2459465A">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530" w:type="pct"/>
                  <w:tcMar>
                    <w:left w:w="28" w:type="dxa"/>
                    <w:right w:w="28" w:type="dxa"/>
                  </w:tcMar>
                  <w:vAlign w:val="center"/>
                </w:tcPr>
                <w:p w14:paraId="322F691C">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石灰</w:t>
                  </w:r>
                </w:p>
              </w:tc>
              <w:tc>
                <w:tcPr>
                  <w:tcW w:w="2701" w:type="pct"/>
                  <w:tcMar>
                    <w:left w:w="28" w:type="dxa"/>
                    <w:right w:w="28" w:type="dxa"/>
                  </w:tcMar>
                  <w:vAlign w:val="center"/>
                </w:tcPr>
                <w:p w14:paraId="780EF296">
                  <w:pPr>
                    <w:pStyle w:val="79"/>
                    <w:jc w:val="left"/>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是一种以氧化钙为主要成分的气硬性无机胶凝材料。石灰是用石灰石、白云石、白垩、贝壳等碳酸钙含量高的产物，经900～1100℃煅烧而成。大量用做建筑材料。</w:t>
                  </w:r>
                </w:p>
              </w:tc>
              <w:tc>
                <w:tcPr>
                  <w:tcW w:w="718" w:type="pct"/>
                  <w:tcMar>
                    <w:left w:w="28" w:type="dxa"/>
                    <w:right w:w="28" w:type="dxa"/>
                  </w:tcMar>
                  <w:vAlign w:val="center"/>
                </w:tcPr>
                <w:p w14:paraId="0F32D1F8">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不燃</w:t>
                  </w:r>
                </w:p>
              </w:tc>
              <w:tc>
                <w:tcPr>
                  <w:tcW w:w="750" w:type="pct"/>
                  <w:tcMar>
                    <w:left w:w="28" w:type="dxa"/>
                    <w:right w:w="28" w:type="dxa"/>
                  </w:tcMar>
                  <w:vAlign w:val="center"/>
                </w:tcPr>
                <w:p w14:paraId="4DF04F16">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具有腐蚀性、刺激性，可致人灼伤</w:t>
                  </w:r>
                </w:p>
              </w:tc>
            </w:tr>
            <w:tr w14:paraId="4D64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300" w:type="pct"/>
                  <w:tcMar>
                    <w:left w:w="28" w:type="dxa"/>
                    <w:right w:w="28" w:type="dxa"/>
                  </w:tcMar>
                  <w:vAlign w:val="center"/>
                </w:tcPr>
                <w:p w14:paraId="2468AB2E">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530" w:type="pct"/>
                  <w:tcMar>
                    <w:left w:w="28" w:type="dxa"/>
                    <w:right w:w="28" w:type="dxa"/>
                  </w:tcMar>
                  <w:vAlign w:val="center"/>
                </w:tcPr>
                <w:p w14:paraId="74071E61">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粉煤灰</w:t>
                  </w:r>
                </w:p>
              </w:tc>
              <w:tc>
                <w:tcPr>
                  <w:tcW w:w="2701" w:type="pct"/>
                  <w:tcMar>
                    <w:left w:w="28" w:type="dxa"/>
                    <w:right w:w="28" w:type="dxa"/>
                  </w:tcMar>
                  <w:vAlign w:val="center"/>
                </w:tcPr>
                <w:p w14:paraId="02162A59">
                  <w:pPr>
                    <w:pStyle w:val="79"/>
                    <w:jc w:val="left"/>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由燃料（主要是煤）燃烧过程中排出的微小灰粒。其粒径一般在1~100um 之间，</w:t>
                  </w:r>
                  <w:r>
                    <w:rPr>
                      <w:rFonts w:hint="eastAsia" w:ascii="Times New Roman" w:hAnsi="Times New Roman" w:eastAsiaTheme="minorEastAsia"/>
                      <w:color w:val="000000" w:themeColor="text1"/>
                      <w:lang w:eastAsia="zh-CN"/>
                      <w14:textFill>
                        <w14:solidFill>
                          <w14:schemeClr w14:val="tx1"/>
                        </w14:solidFill>
                      </w14:textFill>
                    </w:rPr>
                    <w:t>主</w:t>
                  </w:r>
                  <w:r>
                    <w:rPr>
                      <w:rFonts w:ascii="Times New Roman" w:hAnsi="Times New Roman" w:eastAsiaTheme="minorEastAsia"/>
                      <w:color w:val="000000" w:themeColor="text1"/>
                      <w14:textFill>
                        <w14:solidFill>
                          <w14:schemeClr w14:val="tx1"/>
                        </w14:solidFill>
                      </w14:textFill>
                    </w:rPr>
                    <w:t>要含二氧化硅（SiO2）、氧化铝（A12O3）和氧化铁（Fe2O3）</w:t>
                  </w:r>
                </w:p>
              </w:tc>
              <w:tc>
                <w:tcPr>
                  <w:tcW w:w="718" w:type="pct"/>
                  <w:tcMar>
                    <w:left w:w="28" w:type="dxa"/>
                    <w:right w:w="28" w:type="dxa"/>
                  </w:tcMar>
                  <w:vAlign w:val="center"/>
                </w:tcPr>
                <w:p w14:paraId="13352539">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不易燃，引燃温度在610℃~1050℃</w:t>
                  </w:r>
                </w:p>
              </w:tc>
              <w:tc>
                <w:tcPr>
                  <w:tcW w:w="750" w:type="pct"/>
                  <w:tcMar>
                    <w:left w:w="28" w:type="dxa"/>
                    <w:right w:w="28" w:type="dxa"/>
                  </w:tcMar>
                  <w:vAlign w:val="center"/>
                </w:tcPr>
                <w:p w14:paraId="79748D90">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无毒，吸入易引发炎症。</w:t>
                  </w:r>
                </w:p>
              </w:tc>
            </w:tr>
            <w:tr w14:paraId="1419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00" w:type="pct"/>
                  <w:tcMar>
                    <w:left w:w="28" w:type="dxa"/>
                    <w:right w:w="28" w:type="dxa"/>
                  </w:tcMar>
                  <w:vAlign w:val="center"/>
                </w:tcPr>
                <w:p w14:paraId="77EFD021">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530" w:type="pct"/>
                  <w:tcMar>
                    <w:left w:w="28" w:type="dxa"/>
                    <w:right w:w="28" w:type="dxa"/>
                  </w:tcMar>
                  <w:vAlign w:val="center"/>
                </w:tcPr>
                <w:p w14:paraId="2C112FF6">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脱模剂</w:t>
                  </w:r>
                </w:p>
              </w:tc>
              <w:tc>
                <w:tcPr>
                  <w:tcW w:w="2701" w:type="pct"/>
                  <w:tcMar>
                    <w:left w:w="28" w:type="dxa"/>
                    <w:right w:w="28" w:type="dxa"/>
                  </w:tcMar>
                  <w:vAlign w:val="center"/>
                </w:tcPr>
                <w:p w14:paraId="33104E5E">
                  <w:pPr>
                    <w:pStyle w:val="79"/>
                    <w:jc w:val="left"/>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项目使用的脱模剂主要成分是改性聚硅氧烷乳液，是一种涂于模板内壁起润滑和隔离作用，使混凝土在拆模时能顺利脱离模板，保持混凝土形状完整无损。本项目使用水性脱模剂，水性脱模剂用时与水按一定比例调兑后，再涂抹。水性脱模剂使用简单安全、环保。</w:t>
                  </w:r>
                </w:p>
              </w:tc>
              <w:tc>
                <w:tcPr>
                  <w:tcW w:w="718" w:type="pct"/>
                  <w:tcMar>
                    <w:left w:w="28" w:type="dxa"/>
                    <w:right w:w="28" w:type="dxa"/>
                  </w:tcMar>
                  <w:vAlign w:val="center"/>
                </w:tcPr>
                <w:p w14:paraId="2EE74A73">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可燃</w:t>
                  </w:r>
                </w:p>
              </w:tc>
              <w:tc>
                <w:tcPr>
                  <w:tcW w:w="750" w:type="pct"/>
                  <w:tcMar>
                    <w:left w:w="28" w:type="dxa"/>
                    <w:right w:w="28" w:type="dxa"/>
                  </w:tcMar>
                  <w:vAlign w:val="center"/>
                </w:tcPr>
                <w:p w14:paraId="3F8A89BF">
                  <w:pPr>
                    <w:pStyle w:val="79"/>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r>
          </w:tbl>
          <w:p w14:paraId="1AEA2219">
            <w:pPr>
              <w:autoSpaceDE w:val="0"/>
              <w:autoSpaceDN w:val="0"/>
              <w:adjustRightInd w:val="0"/>
              <w:spacing w:before="120" w:beforeLines="50"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5.3 项目干渣来源：</w:t>
            </w:r>
          </w:p>
          <w:p w14:paraId="0B88166B">
            <w:pPr>
              <w:autoSpaceDE w:val="0"/>
              <w:autoSpaceDN w:val="0"/>
              <w:adjustRightInd w:val="0"/>
              <w:spacing w:line="360" w:lineRule="auto"/>
              <w:ind w:firstLine="480" w:firstLineChars="200"/>
              <w:rPr>
                <w:b/>
                <w:bCs/>
                <w:color w:val="000000" w:themeColor="text1"/>
                <w:kern w:val="0"/>
                <w:sz w:val="24"/>
                <w14:textFill>
                  <w14:solidFill>
                    <w14:schemeClr w14:val="tx1"/>
                  </w14:solidFill>
                </w14:textFill>
              </w:rPr>
            </w:pPr>
            <w:r>
              <w:rPr>
                <w:rFonts w:eastAsiaTheme="minorEastAsia"/>
                <w:color w:val="000000" w:themeColor="text1"/>
                <w:sz w:val="24"/>
                <w14:textFill>
                  <w14:solidFill>
                    <w14:schemeClr w14:val="tx1"/>
                  </w14:solidFill>
                </w14:textFill>
              </w:rPr>
              <w:t>永津环保公司油基岩屑主要来源于重庆铜梁、四川泸县等四川页岩气开发的主力区块，其主要成分为岩石颗粒、水、基础油，其中无机物包括二氧化硅、氧化铝.氧化铁等金属氧化物、硫酸钡、碳酸钙、磷酸盐、氯化物及铅、铬、锰等重金属元素，含油率为 7.68%~8.21%，含水率为 2.82%~3.21%，油基岩屑成分稳定。本项目干渣为永津环保公司在大英县经开区投资建设的油基岩屑资源综合利用项目中原料油基岩屑从储料池输送至热回收主系统中，在厌氧热回收工艺下分离出干渣和回收油，其中干渣被干渣输出系统提取，在螺旋输送器中经冷却后在出料口产出本次项目的干渣，</w:t>
            </w:r>
            <w:r>
              <w:rPr>
                <w:rFonts w:eastAsiaTheme="minorEastAsia"/>
                <w:b/>
                <w:bCs/>
                <w:color w:val="000000" w:themeColor="text1"/>
                <w:sz w:val="24"/>
                <w14:textFill>
                  <w14:solidFill>
                    <w14:schemeClr w14:val="tx1"/>
                  </w14:solidFill>
                </w14:textFill>
              </w:rPr>
              <w:t>干渣由罐车由大英县经开区密闭运输进本厂，并通过密闭管道输入本项目粉料仓内</w:t>
            </w:r>
            <w:r>
              <w:rPr>
                <w:rFonts w:eastAsiaTheme="minorEastAsia"/>
                <w:color w:val="000000" w:themeColor="text1"/>
                <w:sz w:val="24"/>
                <w14:textFill>
                  <w14:solidFill>
                    <w14:schemeClr w14:val="tx1"/>
                  </w14:solidFill>
                </w14:textFill>
              </w:rPr>
              <w:t>，</w:t>
            </w:r>
            <w:r>
              <w:rPr>
                <w:rFonts w:eastAsiaTheme="minorEastAsia"/>
                <w:b/>
                <w:bCs/>
                <w:color w:val="000000" w:themeColor="text1"/>
                <w:sz w:val="24"/>
                <w14:textFill>
                  <w14:solidFill>
                    <w14:schemeClr w14:val="tx1"/>
                  </w14:solidFill>
                </w14:textFill>
              </w:rPr>
              <w:t>干渣不在厂区内久存。</w:t>
            </w:r>
          </w:p>
          <w:p w14:paraId="351716D0">
            <w:pPr>
              <w:pStyle w:val="2"/>
              <w:spacing w:before="120" w:beforeLines="50" w:after="0" w:line="360" w:lineRule="auto"/>
              <w:ind w:left="0" w:leftChars="0" w:firstLine="0" w:firstLineChars="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drawing>
                <wp:inline distT="0" distB="0" distL="0" distR="0">
                  <wp:extent cx="5151120" cy="3166745"/>
                  <wp:effectExtent l="0" t="0" r="0" b="0"/>
                  <wp:docPr id="805076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7625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57747" cy="3171396"/>
                          </a:xfrm>
                          <a:prstGeom prst="rect">
                            <a:avLst/>
                          </a:prstGeom>
                          <a:noFill/>
                          <a:ln>
                            <a:noFill/>
                          </a:ln>
                        </pic:spPr>
                      </pic:pic>
                    </a:graphicData>
                  </a:graphic>
                </wp:inline>
              </w:drawing>
            </w:r>
          </w:p>
          <w:p w14:paraId="16695C09">
            <w:pPr>
              <w:pStyle w:val="2"/>
              <w:ind w:firstLine="2168" w:firstLineChars="9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图2-1项目干渣来源</w:t>
            </w:r>
          </w:p>
          <w:p w14:paraId="004DF389">
            <w:pPr>
              <w:pStyle w:val="2"/>
              <w:ind w:firstLine="1890" w:firstLineChars="900"/>
              <w:rPr>
                <w:color w:val="000000" w:themeColor="text1"/>
                <w14:textFill>
                  <w14:solidFill>
                    <w14:schemeClr w14:val="tx1"/>
                  </w14:solidFill>
                </w14:textFill>
              </w:rPr>
            </w:pPr>
          </w:p>
          <w:p w14:paraId="1FFDBCF8">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29100" cy="3168650"/>
                  <wp:effectExtent l="0" t="0" r="0" b="0"/>
                  <wp:docPr id="610940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40356"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56825" cy="3189647"/>
                          </a:xfrm>
                          <a:prstGeom prst="rect">
                            <a:avLst/>
                          </a:prstGeom>
                          <a:noFill/>
                          <a:ln>
                            <a:noFill/>
                          </a:ln>
                        </pic:spPr>
                      </pic:pic>
                    </a:graphicData>
                  </a:graphic>
                </wp:inline>
              </w:drawing>
            </w:r>
          </w:p>
          <w:p w14:paraId="6FA0D780">
            <w:pPr>
              <w:pStyle w:val="2"/>
              <w:ind w:firstLine="2409" w:firstLineChars="10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图2-2干渣照片</w:t>
            </w:r>
          </w:p>
          <w:p w14:paraId="32AED07F">
            <w:pPr>
              <w:pStyle w:val="2"/>
              <w:ind w:firstLine="2108" w:firstLineChars="1000"/>
              <w:rPr>
                <w:b/>
                <w:bCs/>
                <w:color w:val="000000" w:themeColor="text1"/>
                <w14:textFill>
                  <w14:solidFill>
                    <w14:schemeClr w14:val="tx1"/>
                  </w14:solidFill>
                </w14:textFill>
              </w:rPr>
            </w:pPr>
          </w:p>
          <w:p w14:paraId="2BF8A1E8">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5.4本项目干渣危险特性：</w:t>
            </w:r>
          </w:p>
          <w:p w14:paraId="24BD4F57">
            <w:pPr>
              <w:spacing w:line="360" w:lineRule="auto"/>
              <w:ind w:firstLine="480" w:firstLineChars="200"/>
              <w:rPr>
                <w:rFonts w:eastAsiaTheme="minorEastAsia"/>
                <w:b/>
                <w:bCs/>
                <w:color w:val="000000" w:themeColor="text1"/>
                <w:sz w:val="24"/>
                <w:u w:val="single"/>
                <w14:textFill>
                  <w14:solidFill>
                    <w14:schemeClr w14:val="tx1"/>
                  </w14:solidFill>
                </w14:textFill>
              </w:rPr>
            </w:pPr>
            <w:r>
              <w:rPr>
                <w:rFonts w:eastAsiaTheme="minorEastAsia"/>
                <w:color w:val="000000" w:themeColor="text1"/>
                <w:sz w:val="24"/>
                <w14:textFill>
                  <w14:solidFill>
                    <w14:schemeClr w14:val="tx1"/>
                  </w14:solidFill>
                </w14:textFill>
              </w:rPr>
              <w:t>本项目干渣不在《国家危险废物名录》(2021年版）名录中，永津环保公司通过现场调研、资料收集、初筛样品的测试分析并结合《危险废物鉴别标准》(GB 5085.1~GB5085.7）规定要求，</w:t>
            </w:r>
            <w:r>
              <w:rPr>
                <w:rFonts w:eastAsiaTheme="minorEastAsia"/>
                <w:b/>
                <w:bCs/>
                <w:color w:val="000000" w:themeColor="text1"/>
                <w:sz w:val="24"/>
                <w:u w:val="single"/>
                <w14:textFill>
                  <w14:solidFill>
                    <w14:schemeClr w14:val="tx1"/>
                  </w14:solidFill>
                </w14:textFill>
              </w:rPr>
              <w:t>排除了干渣的反应性、易燃性、急性毒性危险特性</w:t>
            </w:r>
            <w:r>
              <w:rPr>
                <w:rFonts w:eastAsiaTheme="minorEastAsia"/>
                <w:color w:val="000000" w:themeColor="text1"/>
                <w:sz w:val="24"/>
                <w14:textFill>
                  <w14:solidFill>
                    <w14:schemeClr w14:val="tx1"/>
                  </w14:solidFill>
                </w14:textFill>
              </w:rPr>
              <w:t>，另经相关单位鉴定并和专家论证，确定本企业</w:t>
            </w:r>
            <w:r>
              <w:rPr>
                <w:rFonts w:eastAsiaTheme="minorEastAsia"/>
                <w:b/>
                <w:bCs/>
                <w:color w:val="000000" w:themeColor="text1"/>
                <w:sz w:val="24"/>
                <w14:textFill>
                  <w14:solidFill>
                    <w14:schemeClr w14:val="tx1"/>
                  </w14:solidFill>
                </w14:textFill>
              </w:rPr>
              <w:t>干</w:t>
            </w:r>
            <w:r>
              <w:rPr>
                <w:rFonts w:eastAsiaTheme="minorEastAsia"/>
                <w:b/>
                <w:bCs/>
                <w:color w:val="000000" w:themeColor="text1"/>
                <w:sz w:val="24"/>
                <w:u w:val="single"/>
                <w14:textFill>
                  <w14:solidFill>
                    <w14:schemeClr w14:val="tx1"/>
                  </w14:solidFill>
                </w14:textFill>
              </w:rPr>
              <w:t>渣不具有腐蚀性、浸出毒性、毒性物质含量危险特性。</w:t>
            </w:r>
          </w:p>
          <w:p w14:paraId="5912180F">
            <w:pPr>
              <w:pStyle w:val="2"/>
              <w:spacing w:after="0" w:line="360" w:lineRule="auto"/>
              <w:ind w:left="0" w:leftChars="0" w:firstLine="482"/>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5.5本项目干渣危险特性主要鉴别过程：</w:t>
            </w:r>
          </w:p>
          <w:p w14:paraId="0DE746AF">
            <w:pPr>
              <w:spacing w:line="360" w:lineRule="auto"/>
              <w:ind w:firstLine="480" w:firstLineChars="200"/>
              <w:rPr>
                <w:rFonts w:eastAsiaTheme="minorEastAsia"/>
                <w:b/>
                <w:bCs/>
                <w:color w:val="000000" w:themeColor="text1"/>
                <w:sz w:val="24"/>
                <w:u w:val="single"/>
                <w14:textFill>
                  <w14:solidFill>
                    <w14:schemeClr w14:val="tx1"/>
                  </w14:solidFill>
                </w14:textFill>
              </w:rPr>
            </w:pPr>
            <w:r>
              <w:rPr>
                <w:rFonts w:eastAsiaTheme="minorEastAsia"/>
                <w:color w:val="000000" w:themeColor="text1"/>
                <w:sz w:val="24"/>
                <w14:textFill>
                  <w14:solidFill>
                    <w14:schemeClr w14:val="tx1"/>
                  </w14:solidFill>
                </w14:textFill>
              </w:rPr>
              <w:t>2021年5月，永津环保公司委托青岛斯坦德衡立环境技术研究院有限公司按照国家《危险废物鉴别标准通则》（GB5085.7-2019）对永津环保公司油基岩屑厌氧热回收处理后产出的干渣进行了危险特性鉴别，该公司依据《危险废物鉴别技术规范》(HJ298-2019）和《危险废物鉴别标准》(GB5085.1~GB5085.7）对永津环保公司油基岩屑资源综合利用项目厌氧热回收后产生的干渣进行危险特性鉴别。在对干渣进行固体废物属性判定和《国家危险废物名录》(2021年版）相符性分析，确定干渣不在危废名录中的前提下，永津环保公司通过现场调研、资料收集、初筛样品的测试分析并结合《危险废物鉴别标准》(GB5085.1~GB5085.7）规定要求，</w:t>
            </w:r>
            <w:r>
              <w:rPr>
                <w:rFonts w:eastAsiaTheme="minorEastAsia"/>
                <w:b/>
                <w:bCs/>
                <w:color w:val="000000" w:themeColor="text1"/>
                <w:sz w:val="24"/>
                <w:u w:val="single"/>
                <w14:textFill>
                  <w14:solidFill>
                    <w14:schemeClr w14:val="tx1"/>
                  </w14:solidFill>
                </w14:textFill>
              </w:rPr>
              <w:t>排除了干渣的反应性、易燃性、急性毒性危险特性</w:t>
            </w:r>
            <w:r>
              <w:rPr>
                <w:rFonts w:eastAsiaTheme="minorEastAsia"/>
                <w:color w:val="000000" w:themeColor="text1"/>
                <w:sz w:val="24"/>
                <w14:textFill>
                  <w14:solidFill>
                    <w14:schemeClr w14:val="tx1"/>
                  </w14:solidFill>
                </w14:textFill>
              </w:rPr>
              <w:t>，并在此基础上形成了干渣危险特性鉴别方案，2022年4月19日进行了方案的专家论证。根据完善后的鉴别方案，青岛斯坦德衡立环境技术研究院有限公司按照《危险废物鉴别技术规范》(HJ298-2019）于2022年4月22日至2022年5月21日采集了100份干渣样品并进行检测。根据检测结果并结合《危险废物鉴别标准》(GB5085.1~GB5085.7)规定要求，确定</w:t>
            </w:r>
            <w:r>
              <w:rPr>
                <w:rFonts w:eastAsiaTheme="minorEastAsia"/>
                <w:b/>
                <w:bCs/>
                <w:color w:val="000000" w:themeColor="text1"/>
                <w:sz w:val="24"/>
                <w:u w:val="single"/>
                <w14:textFill>
                  <w14:solidFill>
                    <w14:schemeClr w14:val="tx1"/>
                  </w14:solidFill>
                </w14:textFill>
              </w:rPr>
              <w:t>干渣不具有腐蚀性、浸出毒性、毒性物质含量危险特性。</w:t>
            </w:r>
          </w:p>
          <w:p w14:paraId="00334B7B">
            <w:pPr>
              <w:pStyle w:val="2"/>
              <w:spacing w:after="0" w:line="360" w:lineRule="auto"/>
              <w:ind w:left="0" w:leftChars="0" w:firstLine="482"/>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本项目干渣危险特性主要鉴别结论：</w:t>
            </w:r>
          </w:p>
          <w:p w14:paraId="51CA0696">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依据《危险废物鉴别技术规范》(HJ298-2019)和《危险废物鉴别标准》(GB5085.1~GB5085.7)对永津环保公司油基岩资源综合利用项目干渣进行危险特性鉴别，通过现场调研、资料收集、样品测试与分析，形成以下结论</w:t>
            </w:r>
            <w:r>
              <w:rPr>
                <w:rFonts w:hint="eastAsia" w:eastAsiaTheme="minorEastAsia"/>
                <w:color w:val="000000" w:themeColor="text1"/>
                <w:sz w:val="24"/>
                <w14:textFill>
                  <w14:solidFill>
                    <w14:schemeClr w14:val="tx1"/>
                  </w14:solidFill>
                </w14:textFill>
              </w:rPr>
              <w:t>：</w:t>
            </w:r>
          </w:p>
          <w:p w14:paraId="1BB37481">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(1)根据腐蚀性检测结果</w:t>
            </w:r>
            <w:r>
              <w:rPr>
                <w:rFonts w:hint="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本次鉴别的干渣样品浸出液的pH范围在9.91~11.91之间，不在GB5085.1-2007标准中pH&gt;12.5或者pH2.0范围内，据此判定</w:t>
            </w:r>
            <w:r>
              <w:rPr>
                <w:rFonts w:eastAsiaTheme="minorEastAsia"/>
                <w:b/>
                <w:bCs/>
                <w:color w:val="000000" w:themeColor="text1"/>
                <w:sz w:val="24"/>
                <w:u w:val="single"/>
                <w14:textFill>
                  <w14:solidFill>
                    <w14:schemeClr w14:val="tx1"/>
                  </w14:solidFill>
                </w14:textFill>
              </w:rPr>
              <w:t>干渣不具有腐蚀性危险特性</w:t>
            </w:r>
            <w:r>
              <w:rPr>
                <w:rFonts w:eastAsiaTheme="minorEastAsia"/>
                <w:color w:val="000000" w:themeColor="text1"/>
                <w:sz w:val="24"/>
                <w14:textFill>
                  <w14:solidFill>
                    <w14:schemeClr w14:val="tx1"/>
                  </w14:solidFill>
                </w14:textFill>
              </w:rPr>
              <w:t>。</w:t>
            </w:r>
          </w:p>
          <w:p w14:paraId="5621F5E8">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依据《化学品分类和标签规范第18部分:急性毒性》(GB30000.18-2013)对干渣的急性毒性进行计算评估。根据计算结果，在不考虑毒性物质协同的情况下.下渣中以各有害物质最大含量计算得到的ATE值为1.76x10mgkg，不在《危险废物鉴别标准急性毒性初筛》(GB5085.2-2007)标准限值范围内(LD5O200mg/kg)故可以</w:t>
            </w:r>
            <w:r>
              <w:rPr>
                <w:rFonts w:eastAsiaTheme="minorEastAsia"/>
                <w:b/>
                <w:bCs/>
                <w:color w:val="000000" w:themeColor="text1"/>
                <w:sz w:val="24"/>
                <w:u w:val="single"/>
                <w14:textFill>
                  <w14:solidFill>
                    <w14:schemeClr w14:val="tx1"/>
                  </w14:solidFill>
                </w14:textFill>
              </w:rPr>
              <w:t>排除干渣的急性毒性危险特性</w:t>
            </w:r>
            <w:r>
              <w:rPr>
                <w:rFonts w:eastAsiaTheme="minorEastAsia"/>
                <w:color w:val="000000" w:themeColor="text1"/>
                <w:sz w:val="24"/>
                <w14:textFill>
                  <w14:solidFill>
                    <w14:schemeClr w14:val="tx1"/>
                  </w14:solidFill>
                </w14:textFill>
              </w:rPr>
              <w:t>。</w:t>
            </w:r>
          </w:p>
          <w:p w14:paraId="64F47944">
            <w:pPr>
              <w:pStyle w:val="2"/>
              <w:spacing w:after="0" w:line="360" w:lineRule="auto"/>
              <w:ind w:left="0" w:leftChars="0" w:firstLine="480"/>
              <w:rPr>
                <w:rFonts w:eastAsiaTheme="minorEastAsia"/>
                <w:b/>
                <w:bCs/>
                <w:color w:val="000000" w:themeColor="text1"/>
                <w:sz w:val="24"/>
                <w:u w:val="single"/>
                <w14:textFill>
                  <w14:solidFill>
                    <w14:schemeClr w14:val="tx1"/>
                  </w14:solidFill>
                </w14:textFill>
              </w:rPr>
            </w:pPr>
            <w:r>
              <w:rPr>
                <w:rFonts w:eastAsiaTheme="minorEastAsia"/>
                <w:color w:val="000000" w:themeColor="text1"/>
                <w:sz w:val="24"/>
                <w14:textFill>
                  <w14:solidFill>
                    <w14:schemeClr w14:val="tx1"/>
                  </w14:solidFill>
                </w14:textFill>
              </w:rPr>
              <w:t>(3)根据浸出毒性检测结果，本次鉴别的干渣样品未超过《危险废物鉴别标准浸出毒性鉴别》 (GB 5085.3-2007) 的标准限值要求，据此判定</w:t>
            </w:r>
            <w:r>
              <w:rPr>
                <w:rFonts w:eastAsiaTheme="minorEastAsia"/>
                <w:b/>
                <w:bCs/>
                <w:color w:val="000000" w:themeColor="text1"/>
                <w:sz w:val="24"/>
                <w:u w:val="single"/>
                <w14:textFill>
                  <w14:solidFill>
                    <w14:schemeClr w14:val="tx1"/>
                  </w14:solidFill>
                </w14:textFill>
              </w:rPr>
              <w:t>干渣不具有浸出毒性危险特性。</w:t>
            </w:r>
          </w:p>
          <w:p w14:paraId="7EBAF680">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(4)根据原辅料及生产工艺分析，本次鉴别的干渣是油基岩屑高温处理后的产物，其主要成分为二氧化硅、氧化铝、硫酸钡、碳酸钙等无机物，不含有易燃性的物质及化学成分，结合初筛样品的易燃性检测结果，干渣初筛样品不具有经点燃后能剧烈而持续地燃烧并产生危害的可能性，因此可以</w:t>
            </w:r>
            <w:r>
              <w:rPr>
                <w:rFonts w:eastAsiaTheme="minorEastAsia"/>
                <w:b/>
                <w:bCs/>
                <w:color w:val="000000" w:themeColor="text1"/>
                <w:sz w:val="24"/>
                <w:u w:val="single"/>
                <w14:textFill>
                  <w14:solidFill>
                    <w14:schemeClr w14:val="tx1"/>
                  </w14:solidFill>
                </w14:textFill>
              </w:rPr>
              <w:t>排除干渣的易燃性危险特性。</w:t>
            </w:r>
          </w:p>
          <w:p w14:paraId="185CCE05">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(5)根据原辅料及生产工艺分析，本次鉴别的干渣是油基岩屑高温处理后的产物，其主要成分为</w:t>
            </w:r>
            <w:r>
              <w:rPr>
                <w:rFonts w:eastAsiaTheme="minorEastAsia"/>
                <w:b/>
                <w:bCs/>
                <w:color w:val="000000" w:themeColor="text1"/>
                <w:sz w:val="24"/>
                <w14:textFill>
                  <w14:solidFill>
                    <w14:schemeClr w14:val="tx1"/>
                  </w14:solidFill>
                </w14:textFill>
              </w:rPr>
              <w:t>二氧化硅、氧化铝、硫酸钡、碳酸钙等无机物</w:t>
            </w:r>
            <w:r>
              <w:rPr>
                <w:rFonts w:eastAsiaTheme="minorEastAsia"/>
                <w:color w:val="000000" w:themeColor="text1"/>
                <w:sz w:val="24"/>
                <w14:textFill>
                  <w14:solidFill>
                    <w14:schemeClr w14:val="tx1"/>
                  </w14:solidFill>
                </w14:textFill>
              </w:rPr>
              <w:t>，不存在《危险废物鉴别标准反应性鉴别》(GB5085.5-2007)4.1中爆炸性质，且不属于废弃氧化剂或有机过氧化物：干渣本身来源于天然气开采钻井过程中产生的油水混合物、油基岩屑等无机物，因此也不存在4.2.1和4.2.2中遇水反应的性质。根据初筛样品的遇酸反应性的检测结果，干渣初筛样品遇酸未检出氰化氢气体，遇酸释放出硫化氢气体的范围为0.49mgkg~1.19gkg，在酸性条件下最多能释放出的硫化氢和氰化氢气体均低于《危险废物鉴别标准反应性鉴别》(GB5085.5-2007)标准中的浓度限值(每千克含氰化物废物分解产生&gt;250mg氰化气体，或者每千克含硫化物废物分解产生2500mg硫化氢气体)。综上，待鉴别的干渣不符合上述反应性鉴别标准中的任何条件，因此可以</w:t>
            </w:r>
            <w:r>
              <w:rPr>
                <w:rFonts w:eastAsiaTheme="minorEastAsia"/>
                <w:b/>
                <w:bCs/>
                <w:color w:val="000000" w:themeColor="text1"/>
                <w:sz w:val="24"/>
                <w:u w:val="single"/>
                <w14:textFill>
                  <w14:solidFill>
                    <w14:schemeClr w14:val="tx1"/>
                  </w14:solidFill>
                </w14:textFill>
              </w:rPr>
              <w:t>排除干渣的反应性危险特性。</w:t>
            </w:r>
          </w:p>
          <w:p w14:paraId="433FE501">
            <w:pPr>
              <w:pStyle w:val="2"/>
              <w:spacing w:after="0" w:line="360" w:lineRule="auto"/>
              <w:ind w:left="0" w:leftChars="0" w:firstLine="480"/>
              <w:rPr>
                <w:rFonts w:eastAsiaTheme="minorEastAsia"/>
                <w:b/>
                <w:bCs/>
                <w:color w:val="000000" w:themeColor="text1"/>
                <w:sz w:val="24"/>
                <w:u w:val="single"/>
                <w14:textFill>
                  <w14:solidFill>
                    <w14:schemeClr w14:val="tx1"/>
                  </w14:solidFill>
                </w14:textFill>
              </w:rPr>
            </w:pPr>
            <w:r>
              <w:rPr>
                <w:rFonts w:eastAsiaTheme="minorEastAsia"/>
                <w:color w:val="000000" w:themeColor="text1"/>
                <w:sz w:val="24"/>
                <w14:textFill>
                  <w14:solidFill>
                    <w14:schemeClr w14:val="tx1"/>
                  </w14:solidFill>
                </w14:textFill>
              </w:rPr>
              <w:t>(6)根据毒性物质含量检测结果，本次鉴别的干渣样品中各毒性物质含量均未超过《危险废物鉴别标准毒性物质含量鉴别》(GB5085.6-2007)附录A~附录E毒性物质含量限值，各附录毒性物质累加毒性含量均未超过各附录标准限值，按照《危险废物鉴别标准毒性物质含量鉴别》(GB5085.6-2007)4.6的公式计算的所有毒性物质累计毒性未超过标准限值“1”，据此判定</w:t>
            </w:r>
            <w:r>
              <w:rPr>
                <w:rFonts w:eastAsiaTheme="minorEastAsia"/>
                <w:b/>
                <w:bCs/>
                <w:color w:val="000000" w:themeColor="text1"/>
                <w:sz w:val="24"/>
                <w:u w:val="single"/>
                <w14:textFill>
                  <w14:solidFill>
                    <w14:schemeClr w14:val="tx1"/>
                  </w14:solidFill>
                </w14:textFill>
              </w:rPr>
              <w:t>干渣不具有毒性物质含量危险特性。</w:t>
            </w:r>
          </w:p>
          <w:p w14:paraId="09309726">
            <w:pPr>
              <w:spacing w:line="360" w:lineRule="auto"/>
              <w:ind w:firstLine="482" w:firstLineChars="200"/>
              <w:rPr>
                <w:rFonts w:eastAsiaTheme="minorEastAsia"/>
                <w:b/>
                <w:bCs/>
                <w:color w:val="000000" w:themeColor="text1"/>
                <w:sz w:val="24"/>
                <w:u w:val="single"/>
                <w14:textFill>
                  <w14:solidFill>
                    <w14:schemeClr w14:val="tx1"/>
                  </w14:solidFill>
                </w14:textFill>
              </w:rPr>
            </w:pPr>
            <w:r>
              <w:rPr>
                <w:rFonts w:eastAsiaTheme="minorEastAsia"/>
                <w:b/>
                <w:bCs/>
                <w:color w:val="000000" w:themeColor="text1"/>
                <w:sz w:val="24"/>
                <w14:textFill>
                  <w14:solidFill>
                    <w14:schemeClr w14:val="tx1"/>
                  </w14:solidFill>
                </w14:textFill>
              </w:rPr>
              <w:t>因此在油基岩屑资源综合利用项目生产工艺、原辅材料种类不发生改变，且设备运行及生产工况正常、回收油满足《油基岩屑厌氧热回收燃料油》(Q/SCYJ.2-2020）产品质量标准以及《炉用燃料油标准》(GB25989-2010&gt;馏分型F-D1产品质量标准的情况下，四川永津环保技术有限公司油基岩屑资源综合利用项目厌氧热回收后产生的</w:t>
            </w:r>
            <w:r>
              <w:rPr>
                <w:rFonts w:eastAsiaTheme="minorEastAsia"/>
                <w:b/>
                <w:bCs/>
                <w:color w:val="000000" w:themeColor="text1"/>
                <w:sz w:val="24"/>
                <w:u w:val="single"/>
                <w14:textFill>
                  <w14:solidFill>
                    <w14:schemeClr w14:val="tx1"/>
                  </w14:solidFill>
                </w14:textFill>
              </w:rPr>
              <w:t>干渣不具有危险特性，不属于危险废物，可以按照一般固体废物进行管理。</w:t>
            </w:r>
          </w:p>
          <w:p w14:paraId="26668E3E">
            <w:pPr>
              <w:pStyle w:val="2"/>
              <w:spacing w:after="0" w:line="360" w:lineRule="auto"/>
              <w:ind w:left="0" w:leftChars="0" w:firstLine="482"/>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5.6干渣管控：</w:t>
            </w:r>
          </w:p>
          <w:p w14:paraId="12A83852">
            <w:pPr>
              <w:spacing w:line="360" w:lineRule="auto"/>
              <w:ind w:firstLine="480" w:firstLineChars="200"/>
              <w:rPr>
                <w:rFonts w:eastAsiaTheme="minorEastAsia"/>
                <w:b/>
                <w:bCs/>
                <w:color w:val="000000" w:themeColor="text1"/>
                <w:sz w:val="24"/>
                <w:u w:val="single"/>
                <w14:textFill>
                  <w14:solidFill>
                    <w14:schemeClr w14:val="tx1"/>
                  </w14:solidFill>
                </w14:textFill>
              </w:rPr>
            </w:pPr>
            <w:r>
              <w:rPr>
                <w:rFonts w:eastAsiaTheme="minorEastAsia"/>
                <w:color w:val="000000" w:themeColor="text1"/>
                <w:sz w:val="24"/>
                <w14:textFill>
                  <w14:solidFill>
                    <w14:schemeClr w14:val="tx1"/>
                  </w14:solidFill>
                </w14:textFill>
              </w:rPr>
              <w:t>企业在生产过程当原料油基岩屑配伍情况发生变化时，需对产出的干渣进行钡(浸出毒性)、铅(毒性物质含量) 、石油溶剂(毒性物质含量) 及 pH 值等的检测，若有超标，则该批次干渣需要进行从严管理。如果干渣特征污染因子等较本次鉴别发生较大变化，再者危险废物鉴别标准调整，对鉴别结论可能产生影响时，应按国家及地方相关要求重新开展干渣的危险特性鉴别工作。</w:t>
            </w:r>
            <w:r>
              <w:rPr>
                <w:rFonts w:eastAsiaTheme="minorEastAsia"/>
                <w:b/>
                <w:bCs/>
                <w:color w:val="000000" w:themeColor="text1"/>
                <w:sz w:val="24"/>
                <w:u w:val="single"/>
                <w14:textFill>
                  <w14:solidFill>
                    <w14:schemeClr w14:val="tx1"/>
                  </w14:solidFill>
                </w14:textFill>
              </w:rPr>
              <w:t>在此期间四川永津环保技术有限公司承诺在干渣理化性质及危险特性未</w:t>
            </w:r>
            <w:r>
              <w:rPr>
                <w:rFonts w:hint="eastAsia" w:eastAsiaTheme="minorEastAsia"/>
                <w:b/>
                <w:bCs/>
                <w:color w:val="000000" w:themeColor="text1"/>
                <w:sz w:val="24"/>
                <w:u w:val="single"/>
                <w:lang w:eastAsia="zh-CN"/>
                <w14:textFill>
                  <w14:solidFill>
                    <w14:schemeClr w14:val="tx1"/>
                  </w14:solidFill>
                </w14:textFill>
              </w:rPr>
              <w:t>重新</w:t>
            </w:r>
            <w:r>
              <w:rPr>
                <w:rFonts w:eastAsiaTheme="minorEastAsia"/>
                <w:b/>
                <w:bCs/>
                <w:color w:val="000000" w:themeColor="text1"/>
                <w:sz w:val="24"/>
                <w:u w:val="single"/>
                <w14:textFill>
                  <w14:solidFill>
                    <w14:schemeClr w14:val="tx1"/>
                  </w14:solidFill>
                </w14:textFill>
              </w:rPr>
              <w:t>确定的前提下，本项目蒸压</w:t>
            </w:r>
            <w:r>
              <w:rPr>
                <w:rFonts w:eastAsiaTheme="minorEastAsia"/>
                <w:b/>
                <w:bCs/>
                <w:color w:val="000000" w:themeColor="text1"/>
                <w:spacing w:val="2"/>
                <w:sz w:val="24"/>
                <w:u w:val="single"/>
                <w14:textFill>
                  <w14:solidFill>
                    <w14:schemeClr w14:val="tx1"/>
                  </w14:solidFill>
                </w14:textFill>
              </w:rPr>
              <w:t>灰砂砖生产线</w:t>
            </w:r>
            <w:r>
              <w:rPr>
                <w:rFonts w:eastAsiaTheme="minorEastAsia"/>
                <w:b/>
                <w:bCs/>
                <w:color w:val="000000" w:themeColor="text1"/>
                <w:sz w:val="24"/>
                <w:u w:val="single"/>
                <w14:textFill>
                  <w14:solidFill>
                    <w14:schemeClr w14:val="tx1"/>
                  </w14:solidFill>
                </w14:textFill>
              </w:rPr>
              <w:t>暂停生产；同时本环评要求建设单位做好干渣运输，使用，检测等相关台账，具体如下：</w:t>
            </w:r>
          </w:p>
          <w:p w14:paraId="74CA4EEA">
            <w:pPr>
              <w:pStyle w:val="2"/>
              <w:numPr>
                <w:ilvl w:val="0"/>
                <w:numId w:val="1"/>
              </w:numPr>
              <w:spacing w:after="0" w:line="360" w:lineRule="auto"/>
              <w:ind w:left="0" w:leftChars="0" w:firstLine="482"/>
              <w:rPr>
                <w:b/>
                <w:bCs/>
                <w:color w:val="000000" w:themeColor="text1"/>
                <w:sz w:val="24"/>
                <w:u w:val="single"/>
                <w:shd w:val="clear" w:color="auto" w:fill="FFFFFF"/>
                <w14:textFill>
                  <w14:solidFill>
                    <w14:schemeClr w14:val="tx1"/>
                  </w14:solidFill>
                </w14:textFill>
              </w:rPr>
            </w:pPr>
            <w:r>
              <w:rPr>
                <w:b/>
                <w:bCs/>
                <w:color w:val="000000" w:themeColor="text1"/>
                <w:sz w:val="24"/>
                <w:u w:val="single"/>
                <w:shd w:val="clear" w:color="auto" w:fill="FFFFFF"/>
                <w14:textFill>
                  <w14:solidFill>
                    <w14:schemeClr w14:val="tx1"/>
                  </w14:solidFill>
                </w14:textFill>
              </w:rPr>
              <w:t>进厂</w:t>
            </w:r>
            <w:r>
              <w:rPr>
                <w:rFonts w:eastAsiaTheme="minorEastAsia"/>
                <w:b/>
                <w:bCs/>
                <w:color w:val="000000" w:themeColor="text1"/>
                <w:sz w:val="24"/>
                <w:u w:val="single"/>
                <w14:textFill>
                  <w14:solidFill>
                    <w14:schemeClr w14:val="tx1"/>
                  </w14:solidFill>
                </w14:textFill>
              </w:rPr>
              <w:t>干渣每批次须做好相应成分检测报告，</w:t>
            </w:r>
            <w:r>
              <w:rPr>
                <w:b/>
                <w:bCs/>
                <w:color w:val="000000" w:themeColor="text1"/>
                <w:sz w:val="24"/>
                <w:u w:val="single"/>
                <w:shd w:val="clear" w:color="auto" w:fill="FFFFFF"/>
                <w14:textFill>
                  <w14:solidFill>
                    <w14:schemeClr w14:val="tx1"/>
                  </w14:solidFill>
                </w14:textFill>
              </w:rPr>
              <w:t>不满足前述要求原料禁止入厂使用；</w:t>
            </w:r>
          </w:p>
          <w:p w14:paraId="41C8F987">
            <w:pPr>
              <w:pStyle w:val="2"/>
              <w:numPr>
                <w:ilvl w:val="0"/>
                <w:numId w:val="1"/>
              </w:numPr>
              <w:spacing w:after="0" w:line="360" w:lineRule="auto"/>
              <w:ind w:left="0" w:leftChars="0" w:firstLine="482"/>
              <w:rPr>
                <w:b/>
                <w:bCs/>
                <w:color w:val="000000" w:themeColor="text1"/>
                <w:sz w:val="24"/>
                <w:u w:val="single"/>
                <w:shd w:val="clear" w:color="auto" w:fill="FFFFFF"/>
                <w14:textFill>
                  <w14:solidFill>
                    <w14:schemeClr w14:val="tx1"/>
                  </w14:solidFill>
                </w14:textFill>
              </w:rPr>
            </w:pPr>
            <w:r>
              <w:rPr>
                <w:b/>
                <w:bCs/>
                <w:color w:val="000000" w:themeColor="text1"/>
                <w:sz w:val="24"/>
                <w:u w:val="single"/>
                <w:shd w:val="clear" w:color="auto" w:fill="FFFFFF"/>
                <w14:textFill>
                  <w14:solidFill>
                    <w14:schemeClr w14:val="tx1"/>
                  </w14:solidFill>
                </w14:textFill>
              </w:rPr>
              <w:t>每批次</w:t>
            </w:r>
            <w:r>
              <w:rPr>
                <w:rFonts w:eastAsiaTheme="minorEastAsia"/>
                <w:b/>
                <w:bCs/>
                <w:color w:val="000000" w:themeColor="text1"/>
                <w:sz w:val="24"/>
                <w:u w:val="single"/>
                <w14:textFill>
                  <w14:solidFill>
                    <w14:schemeClr w14:val="tx1"/>
                  </w14:solidFill>
                </w14:textFill>
              </w:rPr>
              <w:t>干渣在运输进厂</w:t>
            </w:r>
            <w:r>
              <w:rPr>
                <w:b/>
                <w:bCs/>
                <w:color w:val="000000" w:themeColor="text1"/>
                <w:sz w:val="24"/>
                <w:u w:val="single"/>
                <w:shd w:val="clear" w:color="auto" w:fill="FFFFFF"/>
                <w14:textFill>
                  <w14:solidFill>
                    <w14:schemeClr w14:val="tx1"/>
                  </w14:solidFill>
                </w14:textFill>
              </w:rPr>
              <w:t>时需要明确干渣的理化性质和无毒性，确保处理的干渣为一般固体废物，相关负责人进</w:t>
            </w:r>
            <w:r>
              <w:rPr>
                <w:rFonts w:hint="eastAsia"/>
                <w:b/>
                <w:bCs/>
                <w:color w:val="000000" w:themeColor="text1"/>
                <w:sz w:val="24"/>
                <w:u w:val="single"/>
                <w:shd w:val="clear" w:color="auto" w:fill="FFFFFF"/>
                <w:lang w:eastAsia="zh-CN"/>
                <w14:textFill>
                  <w14:solidFill>
                    <w14:schemeClr w14:val="tx1"/>
                  </w14:solidFill>
                </w14:textFill>
              </w:rPr>
              <w:t>行</w:t>
            </w:r>
            <w:r>
              <w:rPr>
                <w:b/>
                <w:bCs/>
                <w:color w:val="000000" w:themeColor="text1"/>
                <w:sz w:val="24"/>
                <w:u w:val="single"/>
                <w:shd w:val="clear" w:color="auto" w:fill="FFFFFF"/>
                <w14:textFill>
                  <w14:solidFill>
                    <w14:schemeClr w14:val="tx1"/>
                  </w14:solidFill>
                </w14:textFill>
              </w:rPr>
              <w:t>签字确认；</w:t>
            </w:r>
          </w:p>
          <w:p w14:paraId="1CA840CE">
            <w:pPr>
              <w:pStyle w:val="2"/>
              <w:numPr>
                <w:ilvl w:val="0"/>
                <w:numId w:val="1"/>
              </w:numPr>
              <w:spacing w:after="0" w:line="360" w:lineRule="auto"/>
              <w:ind w:left="0" w:leftChars="0" w:firstLine="482"/>
              <w:rPr>
                <w:b/>
                <w:bCs/>
                <w:color w:val="000000" w:themeColor="text1"/>
                <w:sz w:val="24"/>
                <w:u w:val="single"/>
                <w:shd w:val="clear" w:color="auto" w:fill="FFFFFF"/>
                <w14:textFill>
                  <w14:solidFill>
                    <w14:schemeClr w14:val="tx1"/>
                  </w14:solidFill>
                </w14:textFill>
              </w:rPr>
            </w:pPr>
            <w:r>
              <w:rPr>
                <w:b/>
                <w:bCs/>
                <w:color w:val="000000" w:themeColor="text1"/>
                <w:sz w:val="24"/>
                <w:u w:val="single"/>
                <w:shd w:val="clear" w:color="auto" w:fill="FFFFFF"/>
                <w14:textFill>
                  <w14:solidFill>
                    <w14:schemeClr w14:val="tx1"/>
                  </w14:solidFill>
                </w14:textFill>
              </w:rPr>
              <w:t>按照上述要求制定干渣接收台账，记录内容包括:含水率、来源、产生工艺、理化性质和毒性等；</w:t>
            </w:r>
          </w:p>
          <w:p w14:paraId="472FBCF5">
            <w:pPr>
              <w:pStyle w:val="2"/>
              <w:spacing w:after="0" w:line="360" w:lineRule="auto"/>
              <w:ind w:left="0" w:leftChars="0" w:firstLine="482"/>
              <w:rPr>
                <w:rFonts w:eastAsiaTheme="minorEastAsia"/>
                <w:b/>
                <w:bCs/>
                <w:color w:val="000000" w:themeColor="text1"/>
                <w:sz w:val="24"/>
                <w:u w:val="single"/>
                <w14:textFill>
                  <w14:solidFill>
                    <w14:schemeClr w14:val="tx1"/>
                  </w14:solidFill>
                </w14:textFill>
              </w:rPr>
            </w:pPr>
            <w:r>
              <w:rPr>
                <w:rFonts w:hint="eastAsia" w:ascii="宋体" w:hAnsi="宋体" w:cs="宋体"/>
                <w:b/>
                <w:bCs/>
                <w:color w:val="000000" w:themeColor="text1"/>
                <w:sz w:val="24"/>
                <w:u w:val="single"/>
                <w14:textFill>
                  <w14:solidFill>
                    <w14:schemeClr w14:val="tx1"/>
                  </w14:solidFill>
                </w14:textFill>
              </w:rPr>
              <w:t>④</w:t>
            </w:r>
            <w:r>
              <w:rPr>
                <w:rFonts w:eastAsiaTheme="minorEastAsia"/>
                <w:b/>
                <w:bCs/>
                <w:color w:val="000000" w:themeColor="text1"/>
                <w:sz w:val="24"/>
                <w:u w:val="single"/>
                <w14:textFill>
                  <w14:solidFill>
                    <w14:schemeClr w14:val="tx1"/>
                  </w14:solidFill>
                </w14:textFill>
              </w:rPr>
              <w:t>干渣不在厂区暂存，车间采用负压风机进行抽风，进厂原料及出厂成品须及时做好转运记录及进出物料台账。</w:t>
            </w:r>
          </w:p>
          <w:p w14:paraId="233FA34D">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5.7干渣制砖可行性分析：</w:t>
            </w:r>
          </w:p>
          <w:p w14:paraId="3DBC719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依据《固体废物鉴别标准通则》（GB34330 2017）中5.2利用固体废物生产的产物同时满足下述条件的，不作为固体废物管理，按照相应的产品管理(按照5.1条进行利用或处置的除外)：</w:t>
            </w:r>
          </w:p>
          <w:p w14:paraId="1110169E">
            <w:pPr>
              <w:spacing w:line="360" w:lineRule="auto"/>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a) 符合国家、地方制定或行业通行的被替代原料生产的产品质量标准:</w:t>
            </w:r>
          </w:p>
          <w:p w14:paraId="0F4ECA83">
            <w:pPr>
              <w:spacing w:line="360" w:lineRule="auto"/>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b)符合相关国家污染物排放(控制)标准或技术规范要求，包括该产物生产过程中排放到环境中的有害物质限值和该产物中有害物质的含量限值:</w:t>
            </w:r>
          </w:p>
          <w:p w14:paraId="0B29ECDE">
            <w:pPr>
              <w:spacing w:line="360" w:lineRule="auto"/>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w:t>
            </w:r>
          </w:p>
          <w:p w14:paraId="25FEDEDE">
            <w:pPr>
              <w:spacing w:line="360" w:lineRule="auto"/>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c) 有稳定、合理的市场需求。</w:t>
            </w:r>
          </w:p>
          <w:p w14:paraId="5A243057">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干渣制砖实例：</w:t>
            </w:r>
          </w:p>
          <w:p w14:paraId="59E79EF0">
            <w:pPr>
              <w:adjustRightInd w:val="0"/>
              <w:snapToGrid w:val="0"/>
              <w:spacing w:line="360" w:lineRule="auto"/>
              <w:ind w:firstLine="488" w:firstLineChars="200"/>
              <w:contextualSpacing/>
              <w:rPr>
                <w:rFonts w:eastAsiaTheme="minorEastAsia"/>
                <w:color w:val="000000" w:themeColor="text1"/>
                <w:spacing w:val="2"/>
                <w:sz w:val="24"/>
                <w14:textFill>
                  <w14:solidFill>
                    <w14:schemeClr w14:val="tx1"/>
                  </w14:solidFill>
                </w14:textFill>
              </w:rPr>
            </w:pPr>
            <w:r>
              <w:rPr>
                <w:rFonts w:eastAsiaTheme="minorEastAsia"/>
                <w:color w:val="000000" w:themeColor="text1"/>
                <w:spacing w:val="2"/>
                <w:sz w:val="24"/>
                <w14:textFill>
                  <w14:solidFill>
                    <w14:schemeClr w14:val="tx1"/>
                  </w14:solidFill>
                </w14:textFill>
              </w:rPr>
              <w:t>永津环保公司委托专业生产蒸压灰砂砖设备的山东时越智能机械有限公司利用永津环保公司干渣试制出了一批蒸压灰砂砖，使用的原料为永津环保公司90%干渣和10%水泥。经重庆市华测检测技术有限公司检测，利用永津环保公司干渣作为主要原料生产出来的蒸压灰砂砖，其平均抗压强度达到26.9MPa，完全可达到蒸压灰砂砖优等品强度（&gt;25MPa）的指标，砖的放射性核素限量、抗冻性、吸水率、线性干燥收缩率和软化系数等其余各项指标也完全满足蒸压灰砂砖GB11945-1999国家标准。</w:t>
            </w:r>
          </w:p>
          <w:p w14:paraId="29E70F48">
            <w:pPr>
              <w:snapToGrid w:val="0"/>
              <w:spacing w:line="360" w:lineRule="auto"/>
              <w:ind w:firstLine="480" w:firstLineChars="200"/>
              <w:contextualSpacing/>
              <w:rPr>
                <w:rFonts w:eastAsiaTheme="minorEastAsia"/>
                <w:b/>
                <w:bCs/>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  </w:t>
            </w:r>
            <w:r>
              <w:rPr>
                <w:rFonts w:eastAsiaTheme="minorEastAsia"/>
                <w:b/>
                <w:bCs/>
                <w:color w:val="000000" w:themeColor="text1"/>
                <w:sz w:val="24"/>
                <w14:textFill>
                  <w14:solidFill>
                    <w14:schemeClr w14:val="tx1"/>
                  </w14:solidFill>
                </w14:textFill>
              </w:rPr>
              <w:t xml:space="preserve"> 干渣制砖的质检报告：</w:t>
            </w:r>
          </w:p>
          <w:p w14:paraId="36AF989F">
            <w:pPr>
              <w:pStyle w:val="2"/>
              <w:rPr>
                <w:color w:val="000000" w:themeColor="text1"/>
                <w14:textFill>
                  <w14:solidFill>
                    <w14:schemeClr w14:val="tx1"/>
                  </w14:solidFill>
                </w14:textFill>
              </w:rPr>
            </w:pPr>
          </w:p>
          <w:p w14:paraId="22AC6CA4">
            <w:pPr>
              <w:pStyle w:val="2"/>
              <w:rPr>
                <w:color w:val="000000" w:themeColor="text1"/>
                <w14:textFill>
                  <w14:solidFill>
                    <w14:schemeClr w14:val="tx1"/>
                  </w14:solidFill>
                </w14:textFill>
              </w:rPr>
            </w:pPr>
          </w:p>
          <w:p w14:paraId="7CF30B9C">
            <w:pPr>
              <w:pStyle w:val="2"/>
              <w:rPr>
                <w:color w:val="000000" w:themeColor="text1"/>
                <w14:textFill>
                  <w14:solidFill>
                    <w14:schemeClr w14:val="tx1"/>
                  </w14:solidFill>
                </w14:textFill>
              </w:rPr>
            </w:pPr>
          </w:p>
          <w:p w14:paraId="04BAFEDF">
            <w:pPr>
              <w:pStyle w:val="2"/>
              <w:rPr>
                <w:color w:val="000000" w:themeColor="text1"/>
                <w14:textFill>
                  <w14:solidFill>
                    <w14:schemeClr w14:val="tx1"/>
                  </w14:solidFill>
                </w14:textFill>
              </w:rPr>
            </w:pPr>
          </w:p>
          <w:p w14:paraId="3F4C5227">
            <w:pPr>
              <w:pStyle w:val="2"/>
              <w:rPr>
                <w:color w:val="000000" w:themeColor="text1"/>
                <w14:textFill>
                  <w14:solidFill>
                    <w14:schemeClr w14:val="tx1"/>
                  </w14:solidFill>
                </w14:textFill>
              </w:rPr>
            </w:pPr>
          </w:p>
          <w:p w14:paraId="16529A20">
            <w:pPr>
              <w:pStyle w:val="2"/>
              <w:rPr>
                <w:color w:val="000000" w:themeColor="text1"/>
                <w14:textFill>
                  <w14:solidFill>
                    <w14:schemeClr w14:val="tx1"/>
                  </w14:solidFill>
                </w14:textFill>
              </w:rPr>
            </w:pPr>
          </w:p>
          <w:p w14:paraId="210095C2">
            <w:pPr>
              <w:pStyle w:val="2"/>
              <w:ind w:firstLine="2530" w:firstLineChars="1200"/>
              <w:rPr>
                <w:b/>
                <w:bCs/>
                <w:color w:val="000000" w:themeColor="text1"/>
                <w14:textFill>
                  <w14:solidFill>
                    <w14:schemeClr w14:val="tx1"/>
                  </w14:solidFill>
                </w14:textFill>
              </w:rPr>
            </w:pPr>
            <w:r>
              <w:rPr>
                <w:b/>
                <w:bCs/>
                <w:color w:val="000000" w:themeColor="text1"/>
                <w14:textFill>
                  <w14:solidFill>
                    <w14:schemeClr w14:val="tx1"/>
                  </w14:solidFill>
                </w14:textFill>
              </w:rPr>
              <w:t>表2-6项目干渣制砖报告</w:t>
            </w:r>
          </w:p>
          <w:p w14:paraId="1AC49696">
            <w:pPr>
              <w:widowControl/>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drawing>
                <wp:inline distT="0" distB="0" distL="0" distR="0">
                  <wp:extent cx="5424170" cy="3867785"/>
                  <wp:effectExtent l="0" t="0" r="5080" b="0"/>
                  <wp:docPr id="922243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43237"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30748" cy="3872336"/>
                          </a:xfrm>
                          <a:prstGeom prst="rect">
                            <a:avLst/>
                          </a:prstGeom>
                          <a:noFill/>
                          <a:ln>
                            <a:noFill/>
                          </a:ln>
                        </pic:spPr>
                      </pic:pic>
                    </a:graphicData>
                  </a:graphic>
                </wp:inline>
              </w:drawing>
            </w:r>
          </w:p>
          <w:p w14:paraId="37158A2E">
            <w:pPr>
              <w:pStyle w:val="2"/>
              <w:spacing w:after="0" w:line="360" w:lineRule="auto"/>
              <w:ind w:left="0" w:leftChars="0" w:firstLine="482"/>
              <w:rPr>
                <w:b/>
                <w:bCs/>
                <w:color w:val="000000" w:themeColor="text1"/>
                <w:sz w:val="24"/>
                <w:u w:val="single"/>
                <w:shd w:val="clear" w:color="auto" w:fill="FFFFFF"/>
                <w14:textFill>
                  <w14:solidFill>
                    <w14:schemeClr w14:val="tx1"/>
                  </w14:solidFill>
                </w14:textFill>
              </w:rPr>
            </w:pPr>
            <w:r>
              <w:rPr>
                <w:rFonts w:eastAsiaTheme="minorEastAsia"/>
                <w:b/>
                <w:bCs/>
                <w:color w:val="000000" w:themeColor="text1"/>
                <w:sz w:val="24"/>
                <w14:textFill>
                  <w14:solidFill>
                    <w14:schemeClr w14:val="tx1"/>
                  </w14:solidFill>
                </w14:textFill>
              </w:rPr>
              <w:t>本项目干渣制砖满足</w:t>
            </w:r>
            <w:r>
              <w:rPr>
                <w:rFonts w:eastAsiaTheme="minorEastAsia"/>
                <w:b/>
                <w:bCs/>
                <w:color w:val="000000" w:themeColor="text1"/>
                <w:spacing w:val="2"/>
                <w:sz w:val="24"/>
                <w14:textFill>
                  <w14:solidFill>
                    <w14:schemeClr w14:val="tx1"/>
                  </w14:solidFill>
                </w14:textFill>
              </w:rPr>
              <w:t>蒸压灰砂砖GB11945-1999国家标准，项目制砖过程产生的污染物经相应治理措施处理后满足相应排放标准，项目所在区域</w:t>
            </w:r>
            <w:r>
              <w:rPr>
                <w:b/>
                <w:bCs/>
                <w:color w:val="000000" w:themeColor="text1"/>
                <w:sz w:val="24"/>
                <w:shd w:val="clear" w:color="auto" w:fill="FFFFFF"/>
                <w14:textFill>
                  <w14:solidFill>
                    <w14:schemeClr w14:val="tx1"/>
                  </w14:solidFill>
                </w14:textFill>
              </w:rPr>
              <w:t>经</w:t>
            </w:r>
            <w:r>
              <w:rPr>
                <w:rFonts w:eastAsiaTheme="minorEastAsia"/>
                <w:b/>
                <w:bCs/>
                <w:color w:val="000000" w:themeColor="text1"/>
                <w:spacing w:val="2"/>
                <w:sz w:val="24"/>
                <w14:textFill>
                  <w14:solidFill>
                    <w14:schemeClr w14:val="tx1"/>
                  </w14:solidFill>
                </w14:textFill>
              </w:rPr>
              <w:t>永津环保公司</w:t>
            </w:r>
            <w:r>
              <w:rPr>
                <w:b/>
                <w:bCs/>
                <w:color w:val="000000" w:themeColor="text1"/>
                <w:sz w:val="24"/>
                <w:shd w:val="clear" w:color="auto" w:fill="FFFFFF"/>
                <w14:textFill>
                  <w14:solidFill>
                    <w14:schemeClr w14:val="tx1"/>
                  </w14:solidFill>
                </w14:textFill>
              </w:rPr>
              <w:t>调研有广阔的</w:t>
            </w:r>
            <w:r>
              <w:rPr>
                <w:b/>
                <w:bCs/>
                <w:color w:val="000000" w:themeColor="text1"/>
                <w:spacing w:val="2"/>
                <w:sz w:val="24"/>
                <w14:textFill>
                  <w14:solidFill>
                    <w14:schemeClr w14:val="tx1"/>
                  </w14:solidFill>
                </w14:textFill>
              </w:rPr>
              <w:t>灰砂砖</w:t>
            </w:r>
            <w:r>
              <w:rPr>
                <w:b/>
                <w:bCs/>
                <w:color w:val="000000" w:themeColor="text1"/>
                <w:sz w:val="24"/>
                <w:shd w:val="clear" w:color="auto" w:fill="FFFFFF"/>
                <w14:textFill>
                  <w14:solidFill>
                    <w14:schemeClr w14:val="tx1"/>
                  </w14:solidFill>
                </w14:textFill>
              </w:rPr>
              <w:t>市场前景，</w:t>
            </w:r>
            <w:r>
              <w:rPr>
                <w:b/>
                <w:bCs/>
                <w:color w:val="000000" w:themeColor="text1"/>
                <w:sz w:val="24"/>
                <w:u w:val="single"/>
                <w:shd w:val="clear" w:color="auto" w:fill="FFFFFF"/>
                <w14:textFill>
                  <w14:solidFill>
                    <w14:schemeClr w14:val="tx1"/>
                  </w14:solidFill>
                </w14:textFill>
              </w:rPr>
              <w:t>故本项目利用</w:t>
            </w:r>
            <w:r>
              <w:rPr>
                <w:rFonts w:eastAsiaTheme="minorEastAsia"/>
                <w:b/>
                <w:bCs/>
                <w:color w:val="000000" w:themeColor="text1"/>
                <w:sz w:val="24"/>
                <w:u w:val="single"/>
                <w14:textFill>
                  <w14:solidFill>
                    <w14:schemeClr w14:val="tx1"/>
                  </w14:solidFill>
                </w14:textFill>
              </w:rPr>
              <w:t>厌氧热回收后产生的干渣</w:t>
            </w:r>
            <w:r>
              <w:rPr>
                <w:b/>
                <w:bCs/>
                <w:color w:val="000000" w:themeColor="text1"/>
                <w:sz w:val="24"/>
                <w:u w:val="single"/>
                <w:shd w:val="clear" w:color="auto" w:fill="FFFFFF"/>
                <w14:textFill>
                  <w14:solidFill>
                    <w14:schemeClr w14:val="tx1"/>
                  </w14:solidFill>
                </w14:textFill>
              </w:rPr>
              <w:t>制砖可行。</w:t>
            </w:r>
          </w:p>
          <w:p w14:paraId="36F9CC7D">
            <w:pPr>
              <w:pStyle w:val="62"/>
              <w:adjustRightInd/>
              <w:ind w:firstLine="0"/>
              <w:jc w:val="left"/>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6</w:t>
            </w:r>
            <w:r>
              <w:rPr>
                <w:rFonts w:ascii="Times New Roman" w:hAnsi="Times New Roman" w:eastAsiaTheme="minorEastAsia"/>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物料平衡</w:t>
            </w:r>
          </w:p>
          <w:p w14:paraId="19773F70">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项目运营期物料平衡见下表：</w:t>
            </w:r>
          </w:p>
          <w:p w14:paraId="50A4C5A1">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表2-7 项目物料平衡表  </w:t>
            </w:r>
            <w:r>
              <w:rPr>
                <w:color w:val="000000" w:themeColor="text1"/>
                <w14:textFill>
                  <w14:solidFill>
                    <w14:schemeClr w14:val="tx1"/>
                  </w14:solidFill>
                </w14:textFill>
              </w:rPr>
              <w:t>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656"/>
              <w:gridCol w:w="1816"/>
              <w:gridCol w:w="1656"/>
              <w:gridCol w:w="1814"/>
            </w:tblGrid>
            <w:tr w14:paraId="4A98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6C1541F7">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生产线</w:t>
                  </w:r>
                </w:p>
              </w:tc>
              <w:tc>
                <w:tcPr>
                  <w:tcW w:w="2019" w:type="pct"/>
                  <w:gridSpan w:val="2"/>
                  <w:vAlign w:val="center"/>
                </w:tcPr>
                <w:p w14:paraId="6AF44FD1">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投入</w:t>
                  </w:r>
                </w:p>
              </w:tc>
              <w:tc>
                <w:tcPr>
                  <w:tcW w:w="2019" w:type="pct"/>
                  <w:gridSpan w:val="2"/>
                  <w:vAlign w:val="center"/>
                </w:tcPr>
                <w:p w14:paraId="3A689CBC">
                  <w:pPr>
                    <w:pStyle w:val="64"/>
                    <w:snapToGrid w:val="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产出</w:t>
                  </w:r>
                </w:p>
              </w:tc>
            </w:tr>
            <w:tr w14:paraId="1D47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63" w:type="pct"/>
                  <w:vMerge w:val="restart"/>
                  <w:vAlign w:val="center"/>
                </w:tcPr>
                <w:p w14:paraId="6F09392B">
                  <w:pPr>
                    <w:spacing w:line="360" w:lineRule="exact"/>
                    <w:jc w:val="center"/>
                    <w:rPr>
                      <w:color w:val="000000" w:themeColor="text1"/>
                      <w:szCs w:val="21"/>
                      <w14:textFill>
                        <w14:solidFill>
                          <w14:schemeClr w14:val="tx1"/>
                        </w14:solidFill>
                      </w14:textFill>
                    </w:rPr>
                  </w:pPr>
                  <w:r>
                    <w:rPr>
                      <w:rFonts w:eastAsiaTheme="minorEastAsia"/>
                      <w:b/>
                      <w:bCs/>
                      <w:color w:val="000000" w:themeColor="text1"/>
                      <w:spacing w:val="-5"/>
                      <w:w w:val="101"/>
                      <w:szCs w:val="21"/>
                      <w14:textFill>
                        <w14:solidFill>
                          <w14:schemeClr w14:val="tx1"/>
                        </w14:solidFill>
                      </w14:textFill>
                    </w:rPr>
                    <w:t>蒸压砖生产线</w:t>
                  </w:r>
                </w:p>
              </w:tc>
              <w:tc>
                <w:tcPr>
                  <w:tcW w:w="963" w:type="pct"/>
                  <w:vAlign w:val="center"/>
                </w:tcPr>
                <w:p w14:paraId="35ED938D">
                  <w:pPr>
                    <w:spacing w:line="360" w:lineRule="exact"/>
                    <w:jc w:val="center"/>
                    <w:rPr>
                      <w:color w:val="000000" w:themeColor="text1"/>
                      <w:szCs w:val="21"/>
                      <w14:textFill>
                        <w14:solidFill>
                          <w14:schemeClr w14:val="tx1"/>
                        </w14:solidFill>
                      </w14:textFill>
                    </w:rPr>
                  </w:pPr>
                  <w:r>
                    <w:rPr>
                      <w:rFonts w:eastAsiaTheme="minorEastAsia"/>
                      <w:color w:val="000000" w:themeColor="text1"/>
                      <w:spacing w:val="-5"/>
                      <w:w w:val="101"/>
                      <w:szCs w:val="21"/>
                      <w14:textFill>
                        <w14:solidFill>
                          <w14:schemeClr w14:val="tx1"/>
                        </w14:solidFill>
                      </w14:textFill>
                    </w:rPr>
                    <w:t>干渣</w:t>
                  </w:r>
                </w:p>
              </w:tc>
              <w:tc>
                <w:tcPr>
                  <w:tcW w:w="1056" w:type="pct"/>
                  <w:vAlign w:val="center"/>
                </w:tcPr>
                <w:p w14:paraId="11C67EF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83100</w:t>
                  </w:r>
                </w:p>
              </w:tc>
              <w:tc>
                <w:tcPr>
                  <w:tcW w:w="963" w:type="pct"/>
                  <w:vMerge w:val="restart"/>
                  <w:vAlign w:val="center"/>
                </w:tcPr>
                <w:p w14:paraId="622592B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轻质建筑材料</w:t>
                  </w:r>
                  <w:r>
                    <w:rPr>
                      <w:rFonts w:ascii="Times New Roman" w:hAnsi="Times New Roman" w:eastAsiaTheme="minorEastAsia"/>
                      <w:b/>
                      <w:bCs/>
                      <w:color w:val="000000" w:themeColor="text1"/>
                      <w:spacing w:val="-5"/>
                      <w:w w:val="101"/>
                      <w14:textFill>
                        <w14:solidFill>
                          <w14:schemeClr w14:val="tx1"/>
                        </w14:solidFill>
                      </w14:textFill>
                    </w:rPr>
                    <w:t>蒸压砖</w:t>
                  </w:r>
                </w:p>
              </w:tc>
              <w:tc>
                <w:tcPr>
                  <w:tcW w:w="1056" w:type="pct"/>
                  <w:vMerge w:val="restart"/>
                  <w:vAlign w:val="center"/>
                </w:tcPr>
                <w:p w14:paraId="74256BE4">
                  <w:pPr>
                    <w:widowControl/>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89700</w:t>
                  </w:r>
                </w:p>
              </w:tc>
            </w:tr>
            <w:tr w14:paraId="3F6F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63" w:type="pct"/>
                  <w:vMerge w:val="continue"/>
                  <w:vAlign w:val="center"/>
                </w:tcPr>
                <w:p w14:paraId="14ABDA0C">
                  <w:pPr>
                    <w:spacing w:line="360" w:lineRule="exact"/>
                    <w:jc w:val="center"/>
                    <w:rPr>
                      <w:color w:val="000000" w:themeColor="text1"/>
                      <w:szCs w:val="21"/>
                      <w14:textFill>
                        <w14:solidFill>
                          <w14:schemeClr w14:val="tx1"/>
                        </w14:solidFill>
                      </w14:textFill>
                    </w:rPr>
                  </w:pPr>
                </w:p>
              </w:tc>
              <w:tc>
                <w:tcPr>
                  <w:tcW w:w="963" w:type="pct"/>
                  <w:vAlign w:val="center"/>
                </w:tcPr>
                <w:p w14:paraId="7EBE516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1056" w:type="pct"/>
                  <w:vAlign w:val="center"/>
                </w:tcPr>
                <w:p w14:paraId="036733F5">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9230</w:t>
                  </w:r>
                </w:p>
              </w:tc>
              <w:tc>
                <w:tcPr>
                  <w:tcW w:w="963" w:type="pct"/>
                  <w:vMerge w:val="continue"/>
                  <w:vAlign w:val="center"/>
                </w:tcPr>
                <w:p w14:paraId="01A48ED3">
                  <w:pPr>
                    <w:pStyle w:val="64"/>
                    <w:snapToGrid w:val="0"/>
                    <w:rPr>
                      <w:rFonts w:ascii="Times New Roman" w:hAnsi="Times New Roman"/>
                      <w:color w:val="000000" w:themeColor="text1"/>
                      <w14:textFill>
                        <w14:solidFill>
                          <w14:schemeClr w14:val="tx1"/>
                        </w14:solidFill>
                      </w14:textFill>
                    </w:rPr>
                  </w:pPr>
                </w:p>
              </w:tc>
              <w:tc>
                <w:tcPr>
                  <w:tcW w:w="1056" w:type="pct"/>
                  <w:vMerge w:val="continue"/>
                  <w:vAlign w:val="center"/>
                </w:tcPr>
                <w:p w14:paraId="2E016063">
                  <w:pPr>
                    <w:pStyle w:val="64"/>
                    <w:snapToGrid w:val="0"/>
                    <w:rPr>
                      <w:rFonts w:ascii="Times New Roman" w:hAnsi="Times New Roman"/>
                      <w:color w:val="000000" w:themeColor="text1"/>
                      <w14:textFill>
                        <w14:solidFill>
                          <w14:schemeClr w14:val="tx1"/>
                        </w14:solidFill>
                      </w14:textFill>
                    </w:rPr>
                  </w:pPr>
                </w:p>
              </w:tc>
            </w:tr>
            <w:tr w14:paraId="5D40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63" w:type="pct"/>
                  <w:vMerge w:val="restart"/>
                  <w:vAlign w:val="center"/>
                </w:tcPr>
                <w:p w14:paraId="554204E4">
                  <w:pPr>
                    <w:spacing w:line="360" w:lineRule="exact"/>
                    <w:jc w:val="center"/>
                    <w:rPr>
                      <w:color w:val="000000" w:themeColor="text1"/>
                      <w:szCs w:val="21"/>
                      <w14:textFill>
                        <w14:solidFill>
                          <w14:schemeClr w14:val="tx1"/>
                        </w14:solidFill>
                      </w14:textFill>
                    </w:rPr>
                  </w:pPr>
                  <w:r>
                    <w:rPr>
                      <w:rFonts w:eastAsiaTheme="minorEastAsia"/>
                      <w:b/>
                      <w:bCs/>
                      <w:color w:val="000000" w:themeColor="text1"/>
                      <w:spacing w:val="-5"/>
                      <w:w w:val="101"/>
                      <w:szCs w:val="21"/>
                      <w14:textFill>
                        <w14:solidFill>
                          <w14:schemeClr w14:val="tx1"/>
                        </w14:solidFill>
                      </w14:textFill>
                    </w:rPr>
                    <w:t>蒸养砖生产线</w:t>
                  </w:r>
                </w:p>
              </w:tc>
              <w:tc>
                <w:tcPr>
                  <w:tcW w:w="963" w:type="pct"/>
                  <w:vAlign w:val="center"/>
                </w:tcPr>
                <w:p w14:paraId="3943C59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建筑垃圾</w:t>
                  </w:r>
                </w:p>
              </w:tc>
              <w:tc>
                <w:tcPr>
                  <w:tcW w:w="1056" w:type="pct"/>
                  <w:vAlign w:val="center"/>
                </w:tcPr>
                <w:p w14:paraId="3644220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13500</w:t>
                  </w:r>
                </w:p>
              </w:tc>
              <w:tc>
                <w:tcPr>
                  <w:tcW w:w="963" w:type="pct"/>
                  <w:vMerge w:val="restart"/>
                  <w:vAlign w:val="center"/>
                </w:tcPr>
                <w:p w14:paraId="2D756BAD">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轻质建筑材料</w:t>
                  </w:r>
                  <w:r>
                    <w:rPr>
                      <w:rFonts w:ascii="Times New Roman" w:hAnsi="Times New Roman" w:eastAsiaTheme="minorEastAsia"/>
                      <w:b/>
                      <w:bCs/>
                      <w:color w:val="000000" w:themeColor="text1"/>
                      <w:spacing w:val="-5"/>
                      <w:w w:val="101"/>
                      <w14:textFill>
                        <w14:solidFill>
                          <w14:schemeClr w14:val="tx1"/>
                        </w14:solidFill>
                      </w14:textFill>
                    </w:rPr>
                    <w:t>蒸养砖</w:t>
                  </w:r>
                </w:p>
              </w:tc>
              <w:tc>
                <w:tcPr>
                  <w:tcW w:w="1056" w:type="pct"/>
                  <w:vMerge w:val="restart"/>
                  <w:vAlign w:val="center"/>
                </w:tcPr>
                <w:p w14:paraId="22EDC13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29600</w:t>
                  </w:r>
                </w:p>
              </w:tc>
            </w:tr>
            <w:tr w14:paraId="043A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14:paraId="7684429C">
                  <w:pPr>
                    <w:spacing w:line="360" w:lineRule="exact"/>
                    <w:jc w:val="center"/>
                    <w:rPr>
                      <w:color w:val="000000" w:themeColor="text1"/>
                      <w:szCs w:val="21"/>
                      <w14:textFill>
                        <w14:solidFill>
                          <w14:schemeClr w14:val="tx1"/>
                        </w14:solidFill>
                      </w14:textFill>
                    </w:rPr>
                  </w:pPr>
                </w:p>
              </w:tc>
              <w:tc>
                <w:tcPr>
                  <w:tcW w:w="963" w:type="pct"/>
                  <w:vAlign w:val="center"/>
                </w:tcPr>
                <w:p w14:paraId="74FC1DA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1056" w:type="pct"/>
                  <w:vAlign w:val="center"/>
                </w:tcPr>
                <w:p w14:paraId="1039483D">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4500</w:t>
                  </w:r>
                </w:p>
              </w:tc>
              <w:tc>
                <w:tcPr>
                  <w:tcW w:w="963" w:type="pct"/>
                  <w:vMerge w:val="continue"/>
                  <w:vAlign w:val="center"/>
                </w:tcPr>
                <w:p w14:paraId="6FBDB330">
                  <w:pPr>
                    <w:pStyle w:val="64"/>
                    <w:snapToGrid w:val="0"/>
                    <w:rPr>
                      <w:rFonts w:ascii="Times New Roman" w:hAnsi="Times New Roman"/>
                      <w:color w:val="000000" w:themeColor="text1"/>
                      <w14:textFill>
                        <w14:solidFill>
                          <w14:schemeClr w14:val="tx1"/>
                        </w14:solidFill>
                      </w14:textFill>
                    </w:rPr>
                  </w:pPr>
                </w:p>
              </w:tc>
              <w:tc>
                <w:tcPr>
                  <w:tcW w:w="1056" w:type="pct"/>
                  <w:vMerge w:val="continue"/>
                  <w:vAlign w:val="center"/>
                </w:tcPr>
                <w:p w14:paraId="41AC7379">
                  <w:pPr>
                    <w:pStyle w:val="64"/>
                    <w:snapToGrid w:val="0"/>
                    <w:rPr>
                      <w:rFonts w:ascii="Times New Roman" w:hAnsi="Times New Roman"/>
                      <w:color w:val="000000" w:themeColor="text1"/>
                      <w14:textFill>
                        <w14:solidFill>
                          <w14:schemeClr w14:val="tx1"/>
                        </w14:solidFill>
                      </w14:textFill>
                    </w:rPr>
                  </w:pPr>
                </w:p>
              </w:tc>
            </w:tr>
            <w:tr w14:paraId="2B3A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14:paraId="642CC678">
                  <w:pPr>
                    <w:spacing w:line="360" w:lineRule="exact"/>
                    <w:jc w:val="center"/>
                    <w:rPr>
                      <w:color w:val="000000" w:themeColor="text1"/>
                      <w:szCs w:val="21"/>
                      <w14:textFill>
                        <w14:solidFill>
                          <w14:schemeClr w14:val="tx1"/>
                        </w14:solidFill>
                      </w14:textFill>
                    </w:rPr>
                  </w:pPr>
                </w:p>
              </w:tc>
              <w:tc>
                <w:tcPr>
                  <w:tcW w:w="963" w:type="pct"/>
                  <w:vAlign w:val="center"/>
                </w:tcPr>
                <w:p w14:paraId="700D6D2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粉煤灰</w:t>
                  </w:r>
                </w:p>
              </w:tc>
              <w:tc>
                <w:tcPr>
                  <w:tcW w:w="1056" w:type="pct"/>
                  <w:vAlign w:val="center"/>
                </w:tcPr>
                <w:p w14:paraId="34813E4E">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2250</w:t>
                  </w:r>
                </w:p>
              </w:tc>
              <w:tc>
                <w:tcPr>
                  <w:tcW w:w="963" w:type="pct"/>
                  <w:vMerge w:val="continue"/>
                  <w:vAlign w:val="center"/>
                </w:tcPr>
                <w:p w14:paraId="66F43C1F">
                  <w:pPr>
                    <w:pStyle w:val="64"/>
                    <w:snapToGrid w:val="0"/>
                    <w:rPr>
                      <w:rFonts w:ascii="Times New Roman" w:hAnsi="Times New Roman"/>
                      <w:color w:val="000000" w:themeColor="text1"/>
                      <w14:textFill>
                        <w14:solidFill>
                          <w14:schemeClr w14:val="tx1"/>
                        </w14:solidFill>
                      </w14:textFill>
                    </w:rPr>
                  </w:pPr>
                </w:p>
              </w:tc>
              <w:tc>
                <w:tcPr>
                  <w:tcW w:w="1056" w:type="pct"/>
                  <w:vMerge w:val="continue"/>
                  <w:vAlign w:val="center"/>
                </w:tcPr>
                <w:p w14:paraId="10B438C4">
                  <w:pPr>
                    <w:pStyle w:val="64"/>
                    <w:snapToGrid w:val="0"/>
                    <w:rPr>
                      <w:rFonts w:ascii="Times New Roman" w:hAnsi="Times New Roman"/>
                      <w:color w:val="000000" w:themeColor="text1"/>
                      <w14:textFill>
                        <w14:solidFill>
                          <w14:schemeClr w14:val="tx1"/>
                        </w14:solidFill>
                      </w14:textFill>
                    </w:rPr>
                  </w:pPr>
                </w:p>
              </w:tc>
            </w:tr>
            <w:tr w14:paraId="4870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14:paraId="0A1756BF">
                  <w:pPr>
                    <w:spacing w:line="360" w:lineRule="exact"/>
                    <w:jc w:val="center"/>
                    <w:rPr>
                      <w:color w:val="000000" w:themeColor="text1"/>
                      <w:szCs w:val="21"/>
                      <w14:textFill>
                        <w14:solidFill>
                          <w14:schemeClr w14:val="tx1"/>
                        </w14:solidFill>
                      </w14:textFill>
                    </w:rPr>
                  </w:pPr>
                </w:p>
              </w:tc>
              <w:tc>
                <w:tcPr>
                  <w:tcW w:w="963" w:type="pct"/>
                  <w:vAlign w:val="center"/>
                </w:tcPr>
                <w:p w14:paraId="77E5587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石灰块</w:t>
                  </w:r>
                </w:p>
              </w:tc>
              <w:tc>
                <w:tcPr>
                  <w:tcW w:w="1056" w:type="pct"/>
                  <w:vAlign w:val="center"/>
                </w:tcPr>
                <w:p w14:paraId="3F1FC0B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2250</w:t>
                  </w:r>
                </w:p>
              </w:tc>
              <w:tc>
                <w:tcPr>
                  <w:tcW w:w="963" w:type="pct"/>
                  <w:vMerge w:val="continue"/>
                  <w:vAlign w:val="center"/>
                </w:tcPr>
                <w:p w14:paraId="60AC6FA8">
                  <w:pPr>
                    <w:pStyle w:val="64"/>
                    <w:snapToGrid w:val="0"/>
                    <w:rPr>
                      <w:rFonts w:ascii="Times New Roman" w:hAnsi="Times New Roman"/>
                      <w:color w:val="000000" w:themeColor="text1"/>
                      <w14:textFill>
                        <w14:solidFill>
                          <w14:schemeClr w14:val="tx1"/>
                        </w14:solidFill>
                      </w14:textFill>
                    </w:rPr>
                  </w:pPr>
                </w:p>
              </w:tc>
              <w:tc>
                <w:tcPr>
                  <w:tcW w:w="1056" w:type="pct"/>
                  <w:vMerge w:val="continue"/>
                  <w:vAlign w:val="center"/>
                </w:tcPr>
                <w:p w14:paraId="4785D038">
                  <w:pPr>
                    <w:pStyle w:val="64"/>
                    <w:snapToGrid w:val="0"/>
                    <w:rPr>
                      <w:rFonts w:ascii="Times New Roman" w:hAnsi="Times New Roman"/>
                      <w:color w:val="000000" w:themeColor="text1"/>
                      <w14:textFill>
                        <w14:solidFill>
                          <w14:schemeClr w14:val="tx1"/>
                        </w14:solidFill>
                      </w14:textFill>
                    </w:rPr>
                  </w:pPr>
                </w:p>
              </w:tc>
            </w:tr>
            <w:tr w14:paraId="4F38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vAlign w:val="center"/>
                </w:tcPr>
                <w:p w14:paraId="202F596F">
                  <w:pPr>
                    <w:spacing w:line="360" w:lineRule="exact"/>
                    <w:jc w:val="center"/>
                    <w:rPr>
                      <w:color w:val="000000" w:themeColor="text1"/>
                      <w:szCs w:val="21"/>
                      <w14:textFill>
                        <w14:solidFill>
                          <w14:schemeClr w14:val="tx1"/>
                        </w14:solidFill>
                      </w14:textFill>
                    </w:rPr>
                  </w:pPr>
                </w:p>
              </w:tc>
              <w:tc>
                <w:tcPr>
                  <w:tcW w:w="963" w:type="pct"/>
                  <w:vAlign w:val="center"/>
                </w:tcPr>
                <w:p w14:paraId="01ECF8A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碎石</w:t>
                  </w:r>
                </w:p>
              </w:tc>
              <w:tc>
                <w:tcPr>
                  <w:tcW w:w="1056" w:type="pct"/>
                  <w:vAlign w:val="center"/>
                </w:tcPr>
                <w:p w14:paraId="65D4343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4500</w:t>
                  </w:r>
                </w:p>
              </w:tc>
              <w:tc>
                <w:tcPr>
                  <w:tcW w:w="963" w:type="pct"/>
                  <w:vMerge w:val="continue"/>
                  <w:vAlign w:val="center"/>
                </w:tcPr>
                <w:p w14:paraId="0F5A6140">
                  <w:pPr>
                    <w:pStyle w:val="64"/>
                    <w:snapToGrid w:val="0"/>
                    <w:rPr>
                      <w:rFonts w:ascii="Times New Roman" w:hAnsi="Times New Roman"/>
                      <w:color w:val="000000" w:themeColor="text1"/>
                      <w14:textFill>
                        <w14:solidFill>
                          <w14:schemeClr w14:val="tx1"/>
                        </w14:solidFill>
                      </w14:textFill>
                    </w:rPr>
                  </w:pPr>
                </w:p>
              </w:tc>
              <w:tc>
                <w:tcPr>
                  <w:tcW w:w="1056" w:type="pct"/>
                  <w:vMerge w:val="continue"/>
                  <w:vAlign w:val="center"/>
                </w:tcPr>
                <w:p w14:paraId="17E8D75A">
                  <w:pPr>
                    <w:pStyle w:val="64"/>
                    <w:snapToGrid w:val="0"/>
                    <w:rPr>
                      <w:rFonts w:ascii="Times New Roman" w:hAnsi="Times New Roman"/>
                      <w:color w:val="000000" w:themeColor="text1"/>
                      <w14:textFill>
                        <w14:solidFill>
                          <w14:schemeClr w14:val="tx1"/>
                        </w14:solidFill>
                      </w14:textFill>
                    </w:rPr>
                  </w:pPr>
                </w:p>
              </w:tc>
            </w:tr>
            <w:tr w14:paraId="21EB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63" w:type="pct"/>
                  <w:vAlign w:val="center"/>
                </w:tcPr>
                <w:p w14:paraId="781C75C1">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963" w:type="pct"/>
                  <w:vAlign w:val="center"/>
                </w:tcPr>
                <w:p w14:paraId="605E1CB1">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056" w:type="pct"/>
                  <w:vAlign w:val="center"/>
                </w:tcPr>
                <w:p w14:paraId="1F5D59A7">
                  <w:pPr>
                    <w:widowControl/>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t>119330</w:t>
                  </w:r>
                </w:p>
              </w:tc>
              <w:tc>
                <w:tcPr>
                  <w:tcW w:w="963" w:type="pct"/>
                  <w:vAlign w:val="center"/>
                </w:tcPr>
                <w:p w14:paraId="4794436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排入大气粉尘</w:t>
                  </w:r>
                </w:p>
              </w:tc>
              <w:tc>
                <w:tcPr>
                  <w:tcW w:w="1056" w:type="pct"/>
                  <w:vAlign w:val="center"/>
                </w:tcPr>
                <w:p w14:paraId="1B54CEF8">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0.2403</w:t>
                  </w:r>
                </w:p>
              </w:tc>
            </w:tr>
            <w:tr w14:paraId="1541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63" w:type="pct"/>
                  <w:vAlign w:val="center"/>
                </w:tcPr>
                <w:p w14:paraId="1BEF3D0F">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963" w:type="pct"/>
                  <w:vAlign w:val="center"/>
                </w:tcPr>
                <w:p w14:paraId="64A3353A">
                  <w:pPr>
                    <w:pStyle w:val="64"/>
                    <w:snapToGrid w:val="0"/>
                    <w:rPr>
                      <w:rFonts w:ascii="Times New Roman" w:hAnsi="Times New Roman"/>
                      <w:color w:val="000000" w:themeColor="text1"/>
                      <w14:textFill>
                        <w14:solidFill>
                          <w14:schemeClr w14:val="tx1"/>
                        </w14:solidFill>
                      </w14:textFill>
                    </w:rPr>
                  </w:pPr>
                </w:p>
              </w:tc>
              <w:tc>
                <w:tcPr>
                  <w:tcW w:w="1056" w:type="pct"/>
                  <w:vAlign w:val="center"/>
                </w:tcPr>
                <w:p w14:paraId="60320C13">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963" w:type="pct"/>
                  <w:vAlign w:val="center"/>
                </w:tcPr>
                <w:p w14:paraId="30D94D0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废砖</w:t>
                  </w:r>
                </w:p>
              </w:tc>
              <w:tc>
                <w:tcPr>
                  <w:tcW w:w="1056" w:type="pct"/>
                  <w:vAlign w:val="center"/>
                </w:tcPr>
                <w:p w14:paraId="2187CA48">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29.76</w:t>
                  </w:r>
                </w:p>
              </w:tc>
            </w:tr>
            <w:tr w14:paraId="4D95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3" w:type="pct"/>
                  <w:vAlign w:val="center"/>
                </w:tcPr>
                <w:p w14:paraId="647E4620">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合计</w:t>
                  </w:r>
                </w:p>
              </w:tc>
              <w:tc>
                <w:tcPr>
                  <w:tcW w:w="963" w:type="pct"/>
                  <w:vAlign w:val="center"/>
                </w:tcPr>
                <w:p w14:paraId="16F27BB3">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056" w:type="pct"/>
                  <w:vAlign w:val="center"/>
                </w:tcPr>
                <w:p w14:paraId="01086926">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119330</w:t>
                  </w:r>
                </w:p>
              </w:tc>
              <w:tc>
                <w:tcPr>
                  <w:tcW w:w="963" w:type="pct"/>
                  <w:vAlign w:val="center"/>
                </w:tcPr>
                <w:p w14:paraId="39EC2E7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合计</w:t>
                  </w:r>
                </w:p>
              </w:tc>
              <w:tc>
                <w:tcPr>
                  <w:tcW w:w="1056" w:type="pct"/>
                  <w:vAlign w:val="center"/>
                </w:tcPr>
                <w:p w14:paraId="4DC44709">
                  <w:pPr>
                    <w:pStyle w:val="64"/>
                    <w:snapToGrid w:val="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119330</w:t>
                  </w:r>
                </w:p>
              </w:tc>
            </w:tr>
          </w:tbl>
          <w:p w14:paraId="5F6A6BDE">
            <w:pPr>
              <w:pStyle w:val="62"/>
              <w:spacing w:before="120" w:beforeLines="50"/>
              <w:ind w:firstLine="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7、劳动定员</w:t>
            </w:r>
          </w:p>
          <w:p w14:paraId="2F1EECDF">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项目员工共28人，采用8小时工作制，夜间不生产，年生产300天。</w:t>
            </w:r>
          </w:p>
          <w:p w14:paraId="467BAAC1">
            <w:pPr>
              <w:pStyle w:val="62"/>
              <w:ind w:firstLine="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8、公用工程及辅助设施</w:t>
            </w:r>
          </w:p>
          <w:p w14:paraId="4E415CF2">
            <w:pPr>
              <w:pStyle w:val="62"/>
              <w:adjustRightInd/>
              <w:ind w:firstLine="482"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8.1供水</w:t>
            </w:r>
          </w:p>
          <w:p w14:paraId="73D46648">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本项目供水由市政给水管网直接供给，主要包括生活用水、产品用水、喷雾降尘用水、切割机冲洗用水等。</w:t>
            </w:r>
          </w:p>
          <w:p w14:paraId="2F2B7E8A">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办公生活用水：项目建成后劳动定员28人，厂区内不设宿舍与食堂。结合《四川省用水定额》</w:t>
            </w:r>
            <w:r>
              <w:rPr>
                <w:rFonts w:ascii="Times New Roman" w:hAnsi="Times New Roman"/>
                <w:color w:val="000000" w:themeColor="text1"/>
                <w:shd w:val="clear" w:color="auto" w:fill="FFFFFF"/>
                <w14:textFill>
                  <w14:solidFill>
                    <w14:schemeClr w14:val="tx1"/>
                  </w14:solidFill>
                </w14:textFill>
              </w:rPr>
              <w:t>（川府函〔2021〕8号）</w:t>
            </w:r>
            <w:r>
              <w:rPr>
                <w:rFonts w:ascii="Times New Roman" w:hAnsi="Times New Roman"/>
                <w:bCs w:val="0"/>
                <w:color w:val="000000" w:themeColor="text1"/>
                <w14:textFill>
                  <w14:solidFill>
                    <w14:schemeClr w14:val="tx1"/>
                  </w14:solidFill>
                </w14:textFill>
              </w:rPr>
              <w:t>及项目实际情况，项目每人每天用水量按50L计，年工作300天，则项目生活用水量为1.4m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w:t>
            </w:r>
            <w:bookmarkStart w:id="9" w:name="OLE_LINK3"/>
            <w:bookmarkStart w:id="10" w:name="OLE_LINK4"/>
            <w:r>
              <w:rPr>
                <w:rFonts w:ascii="Times New Roman" w:hAnsi="Times New Roman"/>
                <w:bCs w:val="0"/>
                <w:color w:val="000000" w:themeColor="text1"/>
                <w14:textFill>
                  <w14:solidFill>
                    <w14:schemeClr w14:val="tx1"/>
                  </w14:solidFill>
                </w14:textFill>
              </w:rPr>
              <w:t>，年用水量为420m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bookmarkEnd w:id="9"/>
            <w:bookmarkEnd w:id="10"/>
            <w:r>
              <w:rPr>
                <w:rFonts w:ascii="Times New Roman" w:hAnsi="Times New Roman"/>
                <w:bCs w:val="0"/>
                <w:color w:val="000000" w:themeColor="text1"/>
                <w14:textFill>
                  <w14:solidFill>
                    <w14:schemeClr w14:val="tx1"/>
                  </w14:solidFill>
                </w14:textFill>
              </w:rPr>
              <w:t>。</w:t>
            </w:r>
          </w:p>
          <w:p w14:paraId="113729C7">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产品用水：参考</w:t>
            </w:r>
            <w:r>
              <w:rPr>
                <w:rFonts w:ascii="Times New Roman" w:hAnsi="Times New Roman"/>
                <w:color w:val="000000" w:themeColor="text1"/>
                <w14:textFill>
                  <w14:solidFill>
                    <w14:schemeClr w14:val="tx1"/>
                  </w14:solidFill>
                </w14:textFill>
              </w:rPr>
              <w:t>四川鸿乔再生资源利用有限公司的“鸿乔再生资源利用项目”及</w:t>
            </w:r>
            <w:r>
              <w:rPr>
                <w:rFonts w:ascii="Times New Roman" w:hAnsi="Times New Roman"/>
                <w:bCs w:val="0"/>
                <w:color w:val="000000" w:themeColor="text1"/>
                <w14:textFill>
                  <w14:solidFill>
                    <w14:schemeClr w14:val="tx1"/>
                  </w14:solidFill>
                </w14:textFill>
              </w:rPr>
              <w:t>同类型项目，项目产品用水约0.1879m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 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产品，项目年产轻质建材8万m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，因此项目生产用水量为15031.72m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/a，50.11 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w:t>
            </w:r>
          </w:p>
          <w:p w14:paraId="72140CA9">
            <w:pPr>
              <w:pStyle w:val="62"/>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蒸汽锅炉废水：根据建设单位提供蒸汽锅炉用水量为5m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/d，年用水量为1500m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p>
          <w:p w14:paraId="7AD85C4C">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切割冲洗用水：项目建筑材料在养护完成后通过切割机分割成特定的尺寸，切割边角料采用水冲洗方式进入沉淀池，根据建设单位提供，切割边角料冲洗用水量约为3m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/d，年用水量为900m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p>
          <w:p w14:paraId="2811CBD9">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配料机冲洗用水：每天需对配料机进行冲洗1次，每次冲洗用水量以1.5m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计，因此，配料冲洗用水量约为1.5m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/d，450m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p>
          <w:p w14:paraId="215BB3BE">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道路降尘用水：项目设雾炮机</w:t>
            </w:r>
            <w:r>
              <w:rPr>
                <w:rFonts w:hint="eastAsia" w:ascii="Times New Roman" w:hAnsi="Times New Roman"/>
                <w:bCs w:val="0"/>
                <w:color w:val="000000" w:themeColor="text1"/>
                <w:lang w:eastAsia="zh-CN"/>
                <w14:textFill>
                  <w14:solidFill>
                    <w14:schemeClr w14:val="tx1"/>
                  </w14:solidFill>
                </w14:textFill>
              </w:rPr>
              <w:t>对</w:t>
            </w:r>
            <w:r>
              <w:rPr>
                <w:rFonts w:ascii="Times New Roman" w:hAnsi="Times New Roman"/>
                <w:bCs w:val="0"/>
                <w:color w:val="000000" w:themeColor="text1"/>
                <w14:textFill>
                  <w14:solidFill>
                    <w14:schemeClr w14:val="tx1"/>
                  </w14:solidFill>
                </w14:textFill>
              </w:rPr>
              <w:t>道路进行降尘处理，用水量为1m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/d，年用水量为300m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p>
          <w:p w14:paraId="078AEE47">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车间冲洗用水：根据建设单位提供冲洗水约为2m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/d，年用水量为600m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p>
          <w:p w14:paraId="689A8AAC">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车辆进出厂冲洗用水：根据建设单位提供冲洗水约为2m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/d，年用水量为600m</w:t>
            </w:r>
            <w:r>
              <w:rPr>
                <w:rFonts w:ascii="Times New Roman" w:hAnsi="Times New Roman"/>
                <w:bCs w:val="0"/>
                <w:color w:val="000000" w:themeColor="text1"/>
                <w:vertAlign w:val="superscript"/>
                <w14:textFill>
                  <w14:solidFill>
                    <w14:schemeClr w14:val="tx1"/>
                  </w14:solidFill>
                </w14:textFill>
              </w:rPr>
              <w:t>3</w:t>
            </w:r>
            <w:r>
              <w:rPr>
                <w:rFonts w:ascii="Times New Roman" w:hAnsi="Times New Roman"/>
                <w:bCs w:val="0"/>
                <w:color w:val="000000" w:themeColor="text1"/>
                <w14:textFill>
                  <w14:solidFill>
                    <w14:schemeClr w14:val="tx1"/>
                  </w14:solidFill>
                </w14:textFill>
              </w:rPr>
              <w:t>/a。</w:t>
            </w:r>
          </w:p>
          <w:p w14:paraId="40DEA2D5">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未预见用水按上述总用水量的10%计，则为6.6m³/d，即</w:t>
            </w:r>
            <w:r>
              <w:rPr>
                <w:rFonts w:ascii="Times New Roman" w:hAnsi="Times New Roman"/>
                <w:color w:val="000000" w:themeColor="text1"/>
                <w:sz w:val="22"/>
                <w:szCs w:val="22"/>
                <w14:textFill>
                  <w14:solidFill>
                    <w14:schemeClr w14:val="tx1"/>
                  </w14:solidFill>
                </w14:textFill>
              </w:rPr>
              <w:t xml:space="preserve">1980.17 </w:t>
            </w:r>
            <w:r>
              <w:rPr>
                <w:rFonts w:ascii="Times New Roman" w:hAnsi="Times New Roman"/>
                <w:bCs w:val="0"/>
                <w:color w:val="000000" w:themeColor="text1"/>
                <w14:textFill>
                  <w14:solidFill>
                    <w14:schemeClr w14:val="tx1"/>
                  </w14:solidFill>
                </w14:textFill>
              </w:rPr>
              <w:t>m³/a。</w:t>
            </w:r>
          </w:p>
          <w:p w14:paraId="381394AF">
            <w:pPr>
              <w:pStyle w:val="62"/>
              <w:adjustRightInd/>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本项目用水量见下表。</w:t>
            </w:r>
          </w:p>
          <w:p w14:paraId="17436516">
            <w:pPr>
              <w:pStyle w:val="61"/>
              <w:spacing w:line="360" w:lineRule="auto"/>
              <w:ind w:firstLine="422"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表2-8 项目用水量估算表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453"/>
              <w:gridCol w:w="990"/>
              <w:gridCol w:w="849"/>
              <w:gridCol w:w="1123"/>
              <w:gridCol w:w="1111"/>
              <w:gridCol w:w="1266"/>
              <w:gridCol w:w="1287"/>
            </w:tblGrid>
            <w:tr w14:paraId="6FB6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19F1200C">
                  <w:pPr>
                    <w:pStyle w:val="80"/>
                    <w:rPr>
                      <w:rFonts w:ascii="Times New Roman" w:hAnsi="Times New Roman"/>
                      <w:color w:val="000000" w:themeColor="text1"/>
                      <w14:textFill>
                        <w14:solidFill>
                          <w14:schemeClr w14:val="tx1"/>
                        </w14:solidFill>
                      </w14:textFill>
                    </w:rPr>
                  </w:pPr>
                  <w:bookmarkStart w:id="11" w:name="RANGE!B31"/>
                  <w:bookmarkStart w:id="12" w:name="_Hlk81039081"/>
                  <w:r>
                    <w:rPr>
                      <w:rFonts w:ascii="Times New Roman" w:hAnsi="Times New Roman"/>
                      <w:color w:val="000000" w:themeColor="text1"/>
                      <w14:textFill>
                        <w14:solidFill>
                          <w14:schemeClr w14:val="tx1"/>
                        </w14:solidFill>
                      </w14:textFill>
                    </w:rPr>
                    <w:t>序号</w:t>
                  </w:r>
                  <w:bookmarkEnd w:id="11"/>
                </w:p>
              </w:tc>
              <w:tc>
                <w:tcPr>
                  <w:tcW w:w="845" w:type="pct"/>
                  <w:vAlign w:val="center"/>
                </w:tcPr>
                <w:p w14:paraId="08FD2652">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用水项目</w:t>
                  </w:r>
                </w:p>
              </w:tc>
              <w:tc>
                <w:tcPr>
                  <w:tcW w:w="576" w:type="pct"/>
                  <w:vAlign w:val="center"/>
                </w:tcPr>
                <w:p w14:paraId="31177CFD">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用水定额</w:t>
                  </w:r>
                </w:p>
              </w:tc>
              <w:tc>
                <w:tcPr>
                  <w:tcW w:w="494" w:type="pct"/>
                  <w:vAlign w:val="center"/>
                </w:tcPr>
                <w:p w14:paraId="450787C9">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数量</w:t>
                  </w:r>
                </w:p>
              </w:tc>
              <w:tc>
                <w:tcPr>
                  <w:tcW w:w="653" w:type="pct"/>
                  <w:vAlign w:val="center"/>
                </w:tcPr>
                <w:p w14:paraId="34322732">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最大用水量（m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w:t>
                  </w:r>
                </w:p>
              </w:tc>
              <w:tc>
                <w:tcPr>
                  <w:tcW w:w="646" w:type="pct"/>
                  <w:vAlign w:val="center"/>
                </w:tcPr>
                <w:p w14:paraId="7614CFC9">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年用水量（m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/a）</w:t>
                  </w:r>
                </w:p>
              </w:tc>
              <w:tc>
                <w:tcPr>
                  <w:tcW w:w="736" w:type="pct"/>
                </w:tcPr>
                <w:p w14:paraId="40386874">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废水量（m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w:t>
                  </w:r>
                </w:p>
              </w:tc>
              <w:tc>
                <w:tcPr>
                  <w:tcW w:w="748" w:type="pct"/>
                  <w:vAlign w:val="center"/>
                </w:tcPr>
                <w:p w14:paraId="3929AE6C">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备注</w:t>
                  </w:r>
                </w:p>
              </w:tc>
            </w:tr>
            <w:bookmarkEnd w:id="12"/>
            <w:tr w14:paraId="3453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2" w:type="pct"/>
                  <w:vAlign w:val="center"/>
                </w:tcPr>
                <w:p w14:paraId="7DF5FEB6">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845" w:type="pct"/>
                  <w:vAlign w:val="center"/>
                </w:tcPr>
                <w:p w14:paraId="6DE3E496">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员工生活用水</w:t>
                  </w:r>
                </w:p>
              </w:tc>
              <w:tc>
                <w:tcPr>
                  <w:tcW w:w="576" w:type="pct"/>
                  <w:vAlign w:val="center"/>
                </w:tcPr>
                <w:p w14:paraId="19B310C3">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50L/人·d</w:t>
                  </w:r>
                </w:p>
              </w:tc>
              <w:tc>
                <w:tcPr>
                  <w:tcW w:w="494" w:type="pct"/>
                  <w:vAlign w:val="center"/>
                </w:tcPr>
                <w:p w14:paraId="27E2BD81">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28人</w:t>
                  </w:r>
                </w:p>
              </w:tc>
              <w:tc>
                <w:tcPr>
                  <w:tcW w:w="653" w:type="pct"/>
                  <w:vAlign w:val="center"/>
                </w:tcPr>
                <w:p w14:paraId="17CDC7AE">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w:t>
                  </w:r>
                </w:p>
              </w:tc>
              <w:tc>
                <w:tcPr>
                  <w:tcW w:w="646" w:type="pct"/>
                  <w:vAlign w:val="center"/>
                </w:tcPr>
                <w:p w14:paraId="089405FB">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420</w:t>
                  </w:r>
                </w:p>
              </w:tc>
              <w:tc>
                <w:tcPr>
                  <w:tcW w:w="736" w:type="pct"/>
                  <w:vAlign w:val="center"/>
                </w:tcPr>
                <w:p w14:paraId="7209A952">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1.19</w:t>
                  </w:r>
                </w:p>
              </w:tc>
              <w:tc>
                <w:tcPr>
                  <w:tcW w:w="748" w:type="pct"/>
                  <w:vAlign w:val="center"/>
                </w:tcPr>
                <w:p w14:paraId="43E90581">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依托预处理池处理</w:t>
                  </w:r>
                </w:p>
              </w:tc>
            </w:tr>
            <w:tr w14:paraId="6B08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0DACC0C8">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845" w:type="pct"/>
                  <w:vAlign w:val="center"/>
                </w:tcPr>
                <w:p w14:paraId="3DBD70C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产品用水</w:t>
                  </w:r>
                </w:p>
              </w:tc>
              <w:tc>
                <w:tcPr>
                  <w:tcW w:w="576" w:type="pct"/>
                  <w:vAlign w:val="center"/>
                </w:tcPr>
                <w:p w14:paraId="551DE337">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0.22m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/t产品</w:t>
                  </w:r>
                </w:p>
              </w:tc>
              <w:tc>
                <w:tcPr>
                  <w:tcW w:w="494" w:type="pct"/>
                  <w:vAlign w:val="center"/>
                </w:tcPr>
                <w:p w14:paraId="435D376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68326t</w:t>
                  </w:r>
                </w:p>
              </w:tc>
              <w:tc>
                <w:tcPr>
                  <w:tcW w:w="653" w:type="pct"/>
                  <w:vAlign w:val="center"/>
                </w:tcPr>
                <w:p w14:paraId="08CC6B54">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50.11</w:t>
                  </w:r>
                </w:p>
              </w:tc>
              <w:tc>
                <w:tcPr>
                  <w:tcW w:w="646" w:type="pct"/>
                  <w:vAlign w:val="center"/>
                </w:tcPr>
                <w:p w14:paraId="7B2CAF1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15031.72</w:t>
                  </w:r>
                </w:p>
              </w:tc>
              <w:tc>
                <w:tcPr>
                  <w:tcW w:w="736" w:type="pct"/>
                </w:tcPr>
                <w:p w14:paraId="77DD739A">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进入产品蒸发损耗</w:t>
                  </w:r>
                </w:p>
              </w:tc>
              <w:tc>
                <w:tcPr>
                  <w:tcW w:w="748" w:type="pct"/>
                  <w:vAlign w:val="center"/>
                </w:tcPr>
                <w:p w14:paraId="21BCBED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进入产品</w:t>
                  </w:r>
                </w:p>
              </w:tc>
            </w:tr>
            <w:tr w14:paraId="715E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473C6CC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845" w:type="pct"/>
                  <w:vAlign w:val="center"/>
                </w:tcPr>
                <w:p w14:paraId="09CB9100">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蒸汽锅炉</w:t>
                  </w:r>
                </w:p>
              </w:tc>
              <w:tc>
                <w:tcPr>
                  <w:tcW w:w="576" w:type="pct"/>
                  <w:vAlign w:val="center"/>
                </w:tcPr>
                <w:p w14:paraId="084F5727">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94" w:type="pct"/>
                  <w:vAlign w:val="center"/>
                </w:tcPr>
                <w:p w14:paraId="61D350D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653" w:type="pct"/>
                  <w:vAlign w:val="center"/>
                </w:tcPr>
                <w:p w14:paraId="3A713C15">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646" w:type="pct"/>
                  <w:vAlign w:val="center"/>
                </w:tcPr>
                <w:p w14:paraId="0FDCF32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1500</w:t>
                  </w:r>
                </w:p>
              </w:tc>
              <w:tc>
                <w:tcPr>
                  <w:tcW w:w="736" w:type="pct"/>
                </w:tcPr>
                <w:p w14:paraId="6598C3E3">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回用于生产</w:t>
                  </w:r>
                </w:p>
              </w:tc>
              <w:tc>
                <w:tcPr>
                  <w:tcW w:w="748" w:type="pct"/>
                  <w:vAlign w:val="center"/>
                </w:tcPr>
                <w:p w14:paraId="27FA4D9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6511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0FFD6516">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845" w:type="pct"/>
                  <w:vAlign w:val="center"/>
                </w:tcPr>
                <w:p w14:paraId="59EFF941">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道路降尘用水</w:t>
                  </w:r>
                </w:p>
              </w:tc>
              <w:tc>
                <w:tcPr>
                  <w:tcW w:w="576" w:type="pct"/>
                  <w:vAlign w:val="center"/>
                </w:tcPr>
                <w:p w14:paraId="34AB9DD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94" w:type="pct"/>
                  <w:vAlign w:val="center"/>
                </w:tcPr>
                <w:p w14:paraId="3DF479C6">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653" w:type="pct"/>
                  <w:vAlign w:val="center"/>
                </w:tcPr>
                <w:p w14:paraId="69E57DFE">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646" w:type="pct"/>
                  <w:vAlign w:val="center"/>
                </w:tcPr>
                <w:p w14:paraId="07C13BDE">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300</w:t>
                  </w:r>
                </w:p>
              </w:tc>
              <w:tc>
                <w:tcPr>
                  <w:tcW w:w="736" w:type="pct"/>
                </w:tcPr>
                <w:p w14:paraId="48335951">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蒸发损耗</w:t>
                  </w:r>
                </w:p>
              </w:tc>
              <w:tc>
                <w:tcPr>
                  <w:tcW w:w="748" w:type="pct"/>
                </w:tcPr>
                <w:p w14:paraId="206739CB">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1BDC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7ECCAA82">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845" w:type="pct"/>
                  <w:vAlign w:val="center"/>
                </w:tcPr>
                <w:p w14:paraId="036FDCB8">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车间冲洗用水</w:t>
                  </w:r>
                </w:p>
              </w:tc>
              <w:tc>
                <w:tcPr>
                  <w:tcW w:w="576" w:type="pct"/>
                  <w:vAlign w:val="center"/>
                </w:tcPr>
                <w:p w14:paraId="16EF2CA8">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94" w:type="pct"/>
                  <w:vAlign w:val="center"/>
                </w:tcPr>
                <w:p w14:paraId="5ADAB2CE">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653" w:type="pct"/>
                  <w:vAlign w:val="center"/>
                </w:tcPr>
                <w:p w14:paraId="6D44497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646" w:type="pct"/>
                  <w:vAlign w:val="center"/>
                </w:tcPr>
                <w:p w14:paraId="3C1C2BA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600</w:t>
                  </w:r>
                </w:p>
              </w:tc>
              <w:tc>
                <w:tcPr>
                  <w:tcW w:w="736" w:type="pct"/>
                </w:tcPr>
                <w:p w14:paraId="7521EEB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蒸发损耗</w:t>
                  </w:r>
                </w:p>
              </w:tc>
              <w:tc>
                <w:tcPr>
                  <w:tcW w:w="748" w:type="pct"/>
                </w:tcPr>
                <w:p w14:paraId="0A3A0CA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0DD2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55DDA90E">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845" w:type="pct"/>
                  <w:vAlign w:val="center"/>
                </w:tcPr>
                <w:p w14:paraId="58A6D514">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切割冲洗用水</w:t>
                  </w:r>
                </w:p>
              </w:tc>
              <w:tc>
                <w:tcPr>
                  <w:tcW w:w="576" w:type="pct"/>
                  <w:vAlign w:val="center"/>
                </w:tcPr>
                <w:p w14:paraId="43669798">
                  <w:pPr>
                    <w:pStyle w:val="79"/>
                    <w:rPr>
                      <w:rFonts w:ascii="Times New Roman" w:hAnsi="Times New Roman"/>
                      <w:color w:val="000000" w:themeColor="text1"/>
                      <w14:textFill>
                        <w14:solidFill>
                          <w14:schemeClr w14:val="tx1"/>
                        </w14:solidFill>
                      </w14:textFill>
                    </w:rPr>
                  </w:pPr>
                </w:p>
              </w:tc>
              <w:tc>
                <w:tcPr>
                  <w:tcW w:w="494" w:type="pct"/>
                  <w:vAlign w:val="center"/>
                </w:tcPr>
                <w:p w14:paraId="02D5B51C">
                  <w:pPr>
                    <w:pStyle w:val="79"/>
                    <w:rPr>
                      <w:rFonts w:ascii="Times New Roman" w:hAnsi="Times New Roman"/>
                      <w:color w:val="000000" w:themeColor="text1"/>
                      <w14:textFill>
                        <w14:solidFill>
                          <w14:schemeClr w14:val="tx1"/>
                        </w14:solidFill>
                      </w14:textFill>
                    </w:rPr>
                  </w:pPr>
                </w:p>
              </w:tc>
              <w:tc>
                <w:tcPr>
                  <w:tcW w:w="653" w:type="pct"/>
                  <w:vAlign w:val="center"/>
                </w:tcPr>
                <w:p w14:paraId="6F871A4C">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646" w:type="pct"/>
                  <w:vAlign w:val="center"/>
                </w:tcPr>
                <w:p w14:paraId="0984B64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900</w:t>
                  </w:r>
                </w:p>
              </w:tc>
              <w:tc>
                <w:tcPr>
                  <w:tcW w:w="736" w:type="pct"/>
                  <w:vAlign w:val="center"/>
                </w:tcPr>
                <w:p w14:paraId="678FEE0C">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回用于生产</w:t>
                  </w:r>
                </w:p>
              </w:tc>
              <w:tc>
                <w:tcPr>
                  <w:tcW w:w="748" w:type="pct"/>
                </w:tcPr>
                <w:p w14:paraId="0CEBF313">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5211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174B5C78">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w:t>
                  </w:r>
                </w:p>
              </w:tc>
              <w:tc>
                <w:tcPr>
                  <w:tcW w:w="845" w:type="pct"/>
                  <w:vAlign w:val="center"/>
                </w:tcPr>
                <w:p w14:paraId="6383BDD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配料机冲洗用水</w:t>
                  </w:r>
                </w:p>
              </w:tc>
              <w:tc>
                <w:tcPr>
                  <w:tcW w:w="576" w:type="pct"/>
                  <w:vAlign w:val="center"/>
                </w:tcPr>
                <w:p w14:paraId="142E2E7B">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1.5/次</w:t>
                  </w:r>
                </w:p>
              </w:tc>
              <w:tc>
                <w:tcPr>
                  <w:tcW w:w="494" w:type="pct"/>
                  <w:vAlign w:val="center"/>
                </w:tcPr>
                <w:p w14:paraId="012A9363">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653" w:type="pct"/>
                  <w:vAlign w:val="center"/>
                </w:tcPr>
                <w:p w14:paraId="1C6D5D05">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w:t>
                  </w:r>
                </w:p>
              </w:tc>
              <w:tc>
                <w:tcPr>
                  <w:tcW w:w="646" w:type="pct"/>
                  <w:vAlign w:val="center"/>
                </w:tcPr>
                <w:p w14:paraId="07942C8C">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450</w:t>
                  </w:r>
                </w:p>
              </w:tc>
              <w:tc>
                <w:tcPr>
                  <w:tcW w:w="736" w:type="pct"/>
                </w:tcPr>
                <w:p w14:paraId="22D3E9FB">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回用于生产</w:t>
                  </w:r>
                </w:p>
              </w:tc>
              <w:tc>
                <w:tcPr>
                  <w:tcW w:w="748" w:type="pct"/>
                </w:tcPr>
                <w:p w14:paraId="1C67A2F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364A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17DAFFE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w:t>
                  </w:r>
                </w:p>
              </w:tc>
              <w:tc>
                <w:tcPr>
                  <w:tcW w:w="845" w:type="pct"/>
                  <w:vAlign w:val="center"/>
                </w:tcPr>
                <w:p w14:paraId="4230D43F">
                  <w:pPr>
                    <w:pStyle w:val="79"/>
                    <w:rPr>
                      <w:rFonts w:ascii="Times New Roman" w:hAnsi="Times New Roman"/>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车辆进出厂</w:t>
                  </w:r>
                  <w:r>
                    <w:rPr>
                      <w:rFonts w:ascii="Times New Roman" w:hAnsi="Times New Roman"/>
                      <w:color w:val="000000" w:themeColor="text1"/>
                      <w14:textFill>
                        <w14:solidFill>
                          <w14:schemeClr w14:val="tx1"/>
                        </w14:solidFill>
                      </w14:textFill>
                    </w:rPr>
                    <w:t>冲洗用水</w:t>
                  </w:r>
                </w:p>
              </w:tc>
              <w:tc>
                <w:tcPr>
                  <w:tcW w:w="576" w:type="pct"/>
                  <w:vAlign w:val="center"/>
                </w:tcPr>
                <w:p w14:paraId="4A514D42">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494" w:type="pct"/>
                  <w:vAlign w:val="center"/>
                </w:tcPr>
                <w:p w14:paraId="05CD2AA1">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653" w:type="pct"/>
                  <w:vAlign w:val="center"/>
                </w:tcPr>
                <w:p w14:paraId="2AA77C8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646" w:type="pct"/>
                  <w:vAlign w:val="center"/>
                </w:tcPr>
                <w:p w14:paraId="35FBD75E">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600</w:t>
                  </w:r>
                </w:p>
              </w:tc>
              <w:tc>
                <w:tcPr>
                  <w:tcW w:w="736" w:type="pct"/>
                </w:tcPr>
                <w:p w14:paraId="7BD40A3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蒸发、损耗</w:t>
                  </w:r>
                </w:p>
              </w:tc>
              <w:tc>
                <w:tcPr>
                  <w:tcW w:w="748" w:type="pct"/>
                  <w:vAlign w:val="center"/>
                </w:tcPr>
                <w:p w14:paraId="3703AD8A">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隔油沉淀后洒水降尘</w:t>
                  </w:r>
                </w:p>
              </w:tc>
            </w:tr>
            <w:tr w14:paraId="2205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 w:type="pct"/>
                  <w:vAlign w:val="center"/>
                </w:tcPr>
                <w:p w14:paraId="747234D3">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p>
              </w:tc>
              <w:tc>
                <w:tcPr>
                  <w:tcW w:w="845" w:type="pct"/>
                  <w:vAlign w:val="center"/>
                </w:tcPr>
                <w:p w14:paraId="65A05B1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未预见用水</w:t>
                  </w:r>
                </w:p>
              </w:tc>
              <w:tc>
                <w:tcPr>
                  <w:tcW w:w="1070" w:type="pct"/>
                  <w:gridSpan w:val="2"/>
                  <w:vAlign w:val="center"/>
                </w:tcPr>
                <w:p w14:paraId="1DA9DDDA">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按以上用水总量</w:t>
                  </w:r>
                  <w:r>
                    <w:rPr>
                      <w:rFonts w:ascii="Times New Roman" w:hAnsi="Times New Roman"/>
                      <w:color w:val="000000" w:themeColor="text1"/>
                      <w14:textFill>
                        <w14:solidFill>
                          <w14:schemeClr w14:val="tx1"/>
                        </w14:solidFill>
                      </w14:textFill>
                    </w:rPr>
                    <w:cr/>
                  </w:r>
                  <w:r>
                    <w:rPr>
                      <w:rFonts w:ascii="Times New Roman" w:hAnsi="Times New Roman"/>
                      <w:color w:val="000000" w:themeColor="text1"/>
                      <w14:textFill>
                        <w14:solidFill>
                          <w14:schemeClr w14:val="tx1"/>
                        </w14:solidFill>
                      </w14:textFill>
                    </w:rPr>
                    <w:t>10%计</w:t>
                  </w:r>
                </w:p>
              </w:tc>
              <w:tc>
                <w:tcPr>
                  <w:tcW w:w="653" w:type="pct"/>
                  <w:vAlign w:val="center"/>
                </w:tcPr>
                <w:p w14:paraId="7DA19D35">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6.60</w:t>
                  </w:r>
                </w:p>
              </w:tc>
              <w:tc>
                <w:tcPr>
                  <w:tcW w:w="646" w:type="pct"/>
                  <w:vAlign w:val="center"/>
                </w:tcPr>
                <w:p w14:paraId="5C7DE6CF">
                  <w:pPr>
                    <w:widowControl/>
                    <w:jc w:val="center"/>
                    <w:rPr>
                      <w:color w:val="000000" w:themeColor="text1"/>
                      <w:kern w:val="0"/>
                      <w:sz w:val="22"/>
                      <w:szCs w:val="22"/>
                      <w14:textFill>
                        <w14:solidFill>
                          <w14:schemeClr w14:val="tx1"/>
                        </w14:solidFill>
                      </w14:textFill>
                    </w:rPr>
                  </w:pPr>
                  <w:r>
                    <w:rPr>
                      <w:color w:val="000000" w:themeColor="text1"/>
                      <w:sz w:val="22"/>
                      <w:szCs w:val="22"/>
                      <w14:textFill>
                        <w14:solidFill>
                          <w14:schemeClr w14:val="tx1"/>
                        </w14:solidFill>
                      </w14:textFill>
                    </w:rPr>
                    <w:t xml:space="preserve">1980.17 </w:t>
                  </w:r>
                </w:p>
              </w:tc>
              <w:tc>
                <w:tcPr>
                  <w:tcW w:w="736" w:type="pct"/>
                </w:tcPr>
                <w:p w14:paraId="0323AB3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蒸发、损耗</w:t>
                  </w:r>
                </w:p>
              </w:tc>
              <w:tc>
                <w:tcPr>
                  <w:tcW w:w="748" w:type="pct"/>
                  <w:vAlign w:val="center"/>
                </w:tcPr>
                <w:p w14:paraId="2A516CB2">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2514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7" w:type="pct"/>
                  <w:gridSpan w:val="2"/>
                  <w:vAlign w:val="center"/>
                </w:tcPr>
                <w:p w14:paraId="47CD5C35">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合计</w:t>
                  </w:r>
                </w:p>
              </w:tc>
              <w:tc>
                <w:tcPr>
                  <w:tcW w:w="1070" w:type="pct"/>
                  <w:gridSpan w:val="2"/>
                  <w:vAlign w:val="center"/>
                </w:tcPr>
                <w:p w14:paraId="6C848C0F">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653" w:type="pct"/>
                  <w:vAlign w:val="center"/>
                </w:tcPr>
                <w:p w14:paraId="127A1B0D">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72.61</w:t>
                  </w:r>
                </w:p>
              </w:tc>
              <w:tc>
                <w:tcPr>
                  <w:tcW w:w="646" w:type="pct"/>
                  <w:vAlign w:val="center"/>
                </w:tcPr>
                <w:p w14:paraId="20AFE4F9">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21781.89  </w:t>
                  </w:r>
                </w:p>
              </w:tc>
              <w:tc>
                <w:tcPr>
                  <w:tcW w:w="736" w:type="pct"/>
                </w:tcPr>
                <w:p w14:paraId="05A434E0">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1.19</w:t>
                  </w:r>
                </w:p>
              </w:tc>
              <w:tc>
                <w:tcPr>
                  <w:tcW w:w="748" w:type="pct"/>
                  <w:vAlign w:val="center"/>
                </w:tcPr>
                <w:p w14:paraId="64D00B9E">
                  <w:pPr>
                    <w:pStyle w:val="79"/>
                    <w:rPr>
                      <w:rFonts w:ascii="Times New Roman" w:hAnsi="Times New Roman"/>
                      <w:color w:val="000000" w:themeColor="text1"/>
                      <w14:textFill>
                        <w14:solidFill>
                          <w14:schemeClr w14:val="tx1"/>
                        </w14:solidFill>
                      </w14:textFill>
                    </w:rPr>
                  </w:pPr>
                </w:p>
              </w:tc>
            </w:tr>
          </w:tbl>
          <w:p w14:paraId="18EE1486">
            <w:pPr>
              <w:pStyle w:val="62"/>
              <w:adjustRightInd/>
              <w:spacing w:line="480" w:lineRule="exact"/>
              <w:ind w:firstLine="480" w:firstLineChars="200"/>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t>本项目水平衡图如下：</w:t>
            </w:r>
          </w:p>
          <w:p w14:paraId="7EB89C96">
            <w:pPr>
              <w:pStyle w:val="62"/>
              <w:adjustRightInd/>
              <w:spacing w:line="240" w:lineRule="auto"/>
              <w:ind w:firstLine="0"/>
              <w:jc w:val="center"/>
              <w:rPr>
                <w:rFonts w:ascii="Times New Roman" w:hAnsi="Times New Roman"/>
                <w:bCs w:val="0"/>
                <w:color w:val="000000" w:themeColor="text1"/>
                <w14:textFill>
                  <w14:solidFill>
                    <w14:schemeClr w14:val="tx1"/>
                  </w14:solidFill>
                </w14:textFill>
              </w:rPr>
            </w:pPr>
            <w:r>
              <w:rPr>
                <w:rFonts w:ascii="Times New Roman" w:hAnsi="Times New Roman"/>
                <w:bCs w:val="0"/>
                <w:color w:val="000000" w:themeColor="text1"/>
                <w14:textFill>
                  <w14:solidFill>
                    <w14:schemeClr w14:val="tx1"/>
                  </w14:solidFill>
                </w14:textFill>
              </w:rPr>
              <w:drawing>
                <wp:inline distT="0" distB="0" distL="0" distR="0">
                  <wp:extent cx="5087620" cy="2934335"/>
                  <wp:effectExtent l="19050" t="19050" r="17780" b="18415"/>
                  <wp:docPr id="25909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839"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96066" cy="2939284"/>
                          </a:xfrm>
                          <a:prstGeom prst="rect">
                            <a:avLst/>
                          </a:prstGeom>
                          <a:noFill/>
                          <a:ln w="12700">
                            <a:solidFill>
                              <a:schemeClr val="tx1"/>
                            </a:solidFill>
                          </a:ln>
                        </pic:spPr>
                      </pic:pic>
                    </a:graphicData>
                  </a:graphic>
                </wp:inline>
              </w:drawing>
            </w:r>
          </w:p>
          <w:p w14:paraId="2F27BAAD">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图2-3项目运营期水平衡图   单位：</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14:paraId="22222DB0">
            <w:pPr>
              <w:pStyle w:val="62"/>
              <w:adjustRightInd/>
              <w:ind w:firstLine="482" w:firstLineChars="20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8.2排水</w:t>
            </w:r>
          </w:p>
          <w:p w14:paraId="660AD022">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本项目排水采用雨、污分流制</w:t>
            </w:r>
          </w:p>
          <w:p w14:paraId="17651547">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雨水：在项目厂界周围修建导流沟，使项目厂界外的雨水经导流沟排走。</w:t>
            </w:r>
          </w:p>
          <w:p w14:paraId="1C78D2CD">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污水：生活污水依托砖厂现有的预处理池处理，定期施用于周围农田耕地用作农肥。生产废水经沉淀池沉淀后回用于生产工序，最终进入产品中，不外排。</w:t>
            </w:r>
          </w:p>
          <w:p w14:paraId="176B3B65">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（3）供电</w:t>
            </w:r>
          </w:p>
          <w:p w14:paraId="40E47FC4">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本项目由区域电网提供，可满足本项目用电负荷。</w:t>
            </w:r>
          </w:p>
          <w:p w14:paraId="1ACFD2B5">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（4）供气</w:t>
            </w:r>
          </w:p>
          <w:p w14:paraId="1719E13A">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本项目天然气由燃气管网供给，通过新建燃气管道接入生产车间，可满足本项目燃气需求。</w:t>
            </w:r>
          </w:p>
          <w:p w14:paraId="27407EDA">
            <w:pPr>
              <w:pStyle w:val="62"/>
              <w:ind w:firstLine="361" w:firstLineChars="15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8.3.本项目依托设施可行性分析</w:t>
            </w:r>
          </w:p>
          <w:p w14:paraId="235BCA97">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本项目租用大英县火井建材有限公司虎林砖厂的闲置空地进行建设，依托现有部分设施，其依托关系及可行性见下表：</w:t>
            </w:r>
          </w:p>
          <w:p w14:paraId="1DF8BBD2">
            <w:pPr>
              <w:pStyle w:val="81"/>
              <w:spacing w:line="360" w:lineRule="auto"/>
              <w:ind w:firstLine="200"/>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表2-9项目依托工程可行性分析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071"/>
              <w:gridCol w:w="2830"/>
              <w:gridCol w:w="3784"/>
            </w:tblGrid>
            <w:tr w14:paraId="1246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54" w:type="pct"/>
                  <w:gridSpan w:val="2"/>
                  <w:vAlign w:val="center"/>
                </w:tcPr>
                <w:p w14:paraId="0113ADB3">
                  <w:pPr>
                    <w:pStyle w:val="79"/>
                    <w:ind w:firstLine="198"/>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工程分类</w:t>
                  </w:r>
                </w:p>
              </w:tc>
              <w:tc>
                <w:tcPr>
                  <w:tcW w:w="1646" w:type="pct"/>
                  <w:vAlign w:val="center"/>
                </w:tcPr>
                <w:p w14:paraId="395108AC">
                  <w:pPr>
                    <w:pStyle w:val="79"/>
                    <w:ind w:firstLine="198"/>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依托现有工程</w:t>
                  </w:r>
                </w:p>
              </w:tc>
              <w:tc>
                <w:tcPr>
                  <w:tcW w:w="2201" w:type="pct"/>
                  <w:vAlign w:val="center"/>
                </w:tcPr>
                <w:p w14:paraId="4B175108">
                  <w:pPr>
                    <w:pStyle w:val="79"/>
                    <w:ind w:firstLine="198"/>
                    <w:jc w:val="both"/>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依托可行性分析</w:t>
                  </w:r>
                </w:p>
              </w:tc>
            </w:tr>
            <w:tr w14:paraId="4BA4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531" w:type="pct"/>
                  <w:vMerge w:val="restart"/>
                  <w:vAlign w:val="center"/>
                </w:tcPr>
                <w:p w14:paraId="4C73135A">
                  <w:pPr>
                    <w:pStyle w:val="79"/>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公用工程</w:t>
                  </w:r>
                </w:p>
              </w:tc>
              <w:tc>
                <w:tcPr>
                  <w:tcW w:w="622" w:type="pct"/>
                  <w:vAlign w:val="center"/>
                </w:tcPr>
                <w:p w14:paraId="6D5D4C69">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供水</w:t>
                  </w:r>
                </w:p>
              </w:tc>
              <w:tc>
                <w:tcPr>
                  <w:tcW w:w="1646" w:type="pct"/>
                  <w:vAlign w:val="center"/>
                </w:tcPr>
                <w:p w14:paraId="7C60089E">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由厂区自来水供给</w:t>
                  </w:r>
                </w:p>
              </w:tc>
              <w:tc>
                <w:tcPr>
                  <w:tcW w:w="2201" w:type="pct"/>
                  <w:vAlign w:val="center"/>
                </w:tcPr>
                <w:p w14:paraId="0332F946">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满足本项目用水依托需要</w:t>
                  </w:r>
                </w:p>
              </w:tc>
            </w:tr>
            <w:tr w14:paraId="607B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531" w:type="pct"/>
                  <w:vMerge w:val="continue"/>
                  <w:vAlign w:val="center"/>
                </w:tcPr>
                <w:p w14:paraId="7F450DBD">
                  <w:pPr>
                    <w:pStyle w:val="79"/>
                    <w:ind w:firstLine="198"/>
                    <w:jc w:val="both"/>
                    <w:rPr>
                      <w:rFonts w:ascii="Times New Roman" w:hAnsi="Times New Roman"/>
                      <w:color w:val="000000" w:themeColor="text1"/>
                      <w14:textFill>
                        <w14:solidFill>
                          <w14:schemeClr w14:val="tx1"/>
                        </w14:solidFill>
                      </w14:textFill>
                    </w:rPr>
                  </w:pPr>
                </w:p>
              </w:tc>
              <w:tc>
                <w:tcPr>
                  <w:tcW w:w="622" w:type="pct"/>
                  <w:vAlign w:val="center"/>
                </w:tcPr>
                <w:p w14:paraId="1BBBC8CC">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供电</w:t>
                  </w:r>
                </w:p>
              </w:tc>
              <w:tc>
                <w:tcPr>
                  <w:tcW w:w="1646" w:type="pct"/>
                  <w:vAlign w:val="center"/>
                </w:tcPr>
                <w:p w14:paraId="1B9DD4FF">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由当地电网供给</w:t>
                  </w:r>
                </w:p>
              </w:tc>
              <w:tc>
                <w:tcPr>
                  <w:tcW w:w="2201" w:type="pct"/>
                  <w:vAlign w:val="center"/>
                </w:tcPr>
                <w:p w14:paraId="4DC2D4D2">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满足本项目用电依托需要</w:t>
                  </w:r>
                </w:p>
              </w:tc>
            </w:tr>
            <w:tr w14:paraId="5310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531" w:type="pct"/>
                  <w:vMerge w:val="continue"/>
                  <w:vAlign w:val="center"/>
                </w:tcPr>
                <w:p w14:paraId="5698B7C3">
                  <w:pPr>
                    <w:pStyle w:val="79"/>
                    <w:ind w:firstLine="198"/>
                    <w:jc w:val="both"/>
                    <w:rPr>
                      <w:rFonts w:ascii="Times New Roman" w:hAnsi="Times New Roman"/>
                      <w:color w:val="000000" w:themeColor="text1"/>
                      <w14:textFill>
                        <w14:solidFill>
                          <w14:schemeClr w14:val="tx1"/>
                        </w14:solidFill>
                      </w14:textFill>
                    </w:rPr>
                  </w:pPr>
                </w:p>
              </w:tc>
              <w:tc>
                <w:tcPr>
                  <w:tcW w:w="622" w:type="pct"/>
                  <w:vAlign w:val="center"/>
                </w:tcPr>
                <w:p w14:paraId="64F0108C">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用气</w:t>
                  </w:r>
                </w:p>
              </w:tc>
              <w:tc>
                <w:tcPr>
                  <w:tcW w:w="1646" w:type="pct"/>
                  <w:vAlign w:val="center"/>
                </w:tcPr>
                <w:p w14:paraId="0F1E4816">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新建天然气管网供给</w:t>
                  </w:r>
                </w:p>
              </w:tc>
              <w:tc>
                <w:tcPr>
                  <w:tcW w:w="2201" w:type="pct"/>
                  <w:vAlign w:val="center"/>
                </w:tcPr>
                <w:p w14:paraId="71C1769E">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满足本项目用气依托需要</w:t>
                  </w:r>
                </w:p>
              </w:tc>
            </w:tr>
            <w:tr w14:paraId="090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1" w:type="pct"/>
                  <w:vAlign w:val="center"/>
                </w:tcPr>
                <w:p w14:paraId="6C0BB8BF">
                  <w:pPr>
                    <w:pStyle w:val="79"/>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环保工程</w:t>
                  </w:r>
                </w:p>
              </w:tc>
              <w:tc>
                <w:tcPr>
                  <w:tcW w:w="622" w:type="pct"/>
                  <w:vAlign w:val="center"/>
                </w:tcPr>
                <w:p w14:paraId="48996108">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生活污水</w:t>
                  </w:r>
                </w:p>
              </w:tc>
              <w:tc>
                <w:tcPr>
                  <w:tcW w:w="1646" w:type="pct"/>
                  <w:vAlign w:val="center"/>
                </w:tcPr>
                <w:p w14:paraId="414C7644">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废水由砖厂预处理池（10m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）处理后施用于周边农田耕地</w:t>
                  </w:r>
                </w:p>
              </w:tc>
              <w:tc>
                <w:tcPr>
                  <w:tcW w:w="2201" w:type="pct"/>
                  <w:vAlign w:val="center"/>
                </w:tcPr>
                <w:p w14:paraId="298E9126">
                  <w:pPr>
                    <w:pStyle w:val="79"/>
                    <w:ind w:firstLine="198"/>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本项目生活污水量为1.19m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/d满足本项目依托需要</w:t>
                  </w:r>
                </w:p>
              </w:tc>
            </w:tr>
          </w:tbl>
          <w:p w14:paraId="79F685E2">
            <w:pPr>
              <w:pStyle w:val="62"/>
              <w:spacing w:before="120" w:beforeLines="50"/>
              <w:ind w:firstLine="0"/>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9、厂区平面布置</w:t>
            </w:r>
          </w:p>
          <w:p w14:paraId="070BAED2">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根据厂区“分区合理、工艺流畅、物流短捷、突出环保与安全”的原则，结合场地的用地条件及生产工艺，综合考虑环保、消防、绿化、劳动卫生等要求，对平面布置进行了统筹安排。具体项目平面布置图详见附图7。</w:t>
            </w:r>
          </w:p>
          <w:p w14:paraId="078CFDA6">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用地范围内仅设置生产车间、成品堆放区等。生产车间设置为封闭车间，原料堆放于车间内。运营期产生的大气污染物为粉尘，主要产尘点均设置于封闭式生产车间内，粉尘排放满足厂界及厂区周边居民敏感目标处的大气环境质量控制要求。同时，经过厂房隔声、基础减震、高噪音设备下沉安装、距离衰减等措施，本项目主要产噪设备产生的噪声也可以满足厂界达标排放及居民敏感目标处的声环境质量控制要求。</w:t>
            </w:r>
          </w:p>
          <w:p w14:paraId="44C35F0C">
            <w:pPr>
              <w:pStyle w:val="62"/>
              <w:adjustRightInd/>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本次项目合理利用了土地，使项目产生的各污染物都能得到有效的控制，满足达标排放的要求，因此本次项目平面布置较为合理。</w:t>
            </w:r>
          </w:p>
          <w:p w14:paraId="226102D8">
            <w:pPr>
              <w:pStyle w:val="62"/>
              <w:adjustRightInd/>
              <w:ind w:firstLine="480" w:firstLineChars="200"/>
              <w:rPr>
                <w:rFonts w:ascii="Times New Roman" w:hAnsi="Times New Roman"/>
                <w:color w:val="000000" w:themeColor="text1"/>
                <w14:textFill>
                  <w14:solidFill>
                    <w14:schemeClr w14:val="tx1"/>
                  </w14:solidFill>
                </w14:textFill>
              </w:rPr>
            </w:pPr>
          </w:p>
          <w:p w14:paraId="5E796D11">
            <w:pPr>
              <w:pStyle w:val="62"/>
              <w:adjustRightInd/>
              <w:ind w:firstLine="480" w:firstLineChars="200"/>
              <w:rPr>
                <w:rFonts w:ascii="Times New Roman" w:hAnsi="Times New Roman"/>
                <w:color w:val="000000" w:themeColor="text1"/>
                <w14:textFill>
                  <w14:solidFill>
                    <w14:schemeClr w14:val="tx1"/>
                  </w14:solidFill>
                </w14:textFill>
              </w:rPr>
            </w:pPr>
          </w:p>
          <w:p w14:paraId="6EC69B60">
            <w:pPr>
              <w:pStyle w:val="62"/>
              <w:adjustRightInd/>
              <w:ind w:firstLine="480" w:firstLineChars="200"/>
              <w:rPr>
                <w:rFonts w:ascii="Times New Roman" w:hAnsi="Times New Roman"/>
                <w:color w:val="000000" w:themeColor="text1"/>
                <w14:textFill>
                  <w14:solidFill>
                    <w14:schemeClr w14:val="tx1"/>
                  </w14:solidFill>
                </w14:textFill>
              </w:rPr>
            </w:pPr>
          </w:p>
          <w:p w14:paraId="288252DE">
            <w:pPr>
              <w:pStyle w:val="62"/>
              <w:adjustRightInd/>
              <w:ind w:firstLine="480" w:firstLineChars="200"/>
              <w:rPr>
                <w:rFonts w:ascii="Times New Roman" w:hAnsi="Times New Roman"/>
                <w:color w:val="000000" w:themeColor="text1"/>
                <w14:textFill>
                  <w14:solidFill>
                    <w14:schemeClr w14:val="tx1"/>
                  </w14:solidFill>
                </w14:textFill>
              </w:rPr>
            </w:pPr>
          </w:p>
          <w:p w14:paraId="1B34149F">
            <w:pPr>
              <w:pStyle w:val="62"/>
              <w:adjustRightInd/>
              <w:ind w:firstLine="480" w:firstLineChars="200"/>
              <w:rPr>
                <w:rFonts w:ascii="Times New Roman" w:hAnsi="Times New Roman"/>
                <w:color w:val="000000" w:themeColor="text1"/>
                <w14:textFill>
                  <w14:solidFill>
                    <w14:schemeClr w14:val="tx1"/>
                  </w14:solidFill>
                </w14:textFill>
              </w:rPr>
            </w:pPr>
          </w:p>
          <w:p w14:paraId="01915D96">
            <w:pPr>
              <w:pStyle w:val="62"/>
              <w:adjustRightInd/>
              <w:ind w:firstLine="480" w:firstLineChars="200"/>
              <w:rPr>
                <w:rFonts w:ascii="Times New Roman" w:hAnsi="Times New Roman"/>
                <w:color w:val="000000" w:themeColor="text1"/>
                <w14:textFill>
                  <w14:solidFill>
                    <w14:schemeClr w14:val="tx1"/>
                  </w14:solidFill>
                </w14:textFill>
              </w:rPr>
            </w:pPr>
          </w:p>
          <w:p w14:paraId="7B0C42EB">
            <w:pPr>
              <w:pStyle w:val="62"/>
              <w:adjustRightInd/>
              <w:ind w:firstLine="480" w:firstLineChars="200"/>
              <w:rPr>
                <w:rFonts w:ascii="Times New Roman" w:hAnsi="Times New Roman"/>
                <w:color w:val="000000" w:themeColor="text1"/>
                <w14:textFill>
                  <w14:solidFill>
                    <w14:schemeClr w14:val="tx1"/>
                  </w14:solidFill>
                </w14:textFill>
              </w:rPr>
            </w:pPr>
          </w:p>
          <w:p w14:paraId="2DF328A2">
            <w:pPr>
              <w:pStyle w:val="62"/>
              <w:adjustRightInd/>
              <w:ind w:firstLine="480" w:firstLineChars="200"/>
              <w:rPr>
                <w:rFonts w:ascii="Times New Roman" w:hAnsi="Times New Roman"/>
                <w:color w:val="000000" w:themeColor="text1"/>
                <w14:textFill>
                  <w14:solidFill>
                    <w14:schemeClr w14:val="tx1"/>
                  </w14:solidFill>
                </w14:textFill>
              </w:rPr>
            </w:pPr>
          </w:p>
          <w:p w14:paraId="42847604">
            <w:pPr>
              <w:pStyle w:val="62"/>
              <w:adjustRightInd/>
              <w:ind w:firstLine="480" w:firstLineChars="200"/>
              <w:rPr>
                <w:rFonts w:ascii="Times New Roman" w:hAnsi="Times New Roman"/>
                <w:color w:val="000000" w:themeColor="text1"/>
                <w14:textFill>
                  <w14:solidFill>
                    <w14:schemeClr w14:val="tx1"/>
                  </w14:solidFill>
                </w14:textFill>
              </w:rPr>
            </w:pPr>
          </w:p>
          <w:p w14:paraId="2EC37FC7">
            <w:pPr>
              <w:pStyle w:val="62"/>
              <w:adjustRightInd/>
              <w:ind w:firstLine="480" w:firstLineChars="200"/>
              <w:rPr>
                <w:rFonts w:ascii="Times New Roman" w:hAnsi="Times New Roman"/>
                <w:color w:val="000000" w:themeColor="text1"/>
                <w14:textFill>
                  <w14:solidFill>
                    <w14:schemeClr w14:val="tx1"/>
                  </w14:solidFill>
                </w14:textFill>
              </w:rPr>
            </w:pPr>
          </w:p>
          <w:p w14:paraId="69135899">
            <w:pPr>
              <w:pStyle w:val="62"/>
              <w:adjustRightInd/>
              <w:ind w:firstLine="480" w:firstLineChars="200"/>
              <w:rPr>
                <w:rFonts w:ascii="Times New Roman" w:hAnsi="Times New Roman"/>
                <w:color w:val="000000" w:themeColor="text1"/>
                <w14:textFill>
                  <w14:solidFill>
                    <w14:schemeClr w14:val="tx1"/>
                  </w14:solidFill>
                </w14:textFill>
              </w:rPr>
            </w:pPr>
          </w:p>
          <w:p w14:paraId="75949E3D">
            <w:pPr>
              <w:pStyle w:val="62"/>
              <w:adjustRightInd/>
              <w:ind w:firstLine="480" w:firstLineChars="200"/>
              <w:rPr>
                <w:rFonts w:ascii="Times New Roman" w:hAnsi="Times New Roman"/>
                <w:color w:val="000000" w:themeColor="text1"/>
                <w14:textFill>
                  <w14:solidFill>
                    <w14:schemeClr w14:val="tx1"/>
                  </w14:solidFill>
                </w14:textFill>
              </w:rPr>
            </w:pPr>
          </w:p>
          <w:p w14:paraId="063FFF70">
            <w:pPr>
              <w:pStyle w:val="62"/>
              <w:adjustRightInd/>
              <w:ind w:firstLine="480" w:firstLineChars="200"/>
              <w:rPr>
                <w:rFonts w:ascii="Times New Roman" w:hAnsi="Times New Roman"/>
                <w:color w:val="000000" w:themeColor="text1"/>
                <w14:textFill>
                  <w14:solidFill>
                    <w14:schemeClr w14:val="tx1"/>
                  </w14:solidFill>
                </w14:textFill>
              </w:rPr>
            </w:pPr>
          </w:p>
          <w:p w14:paraId="67846DED">
            <w:pPr>
              <w:pStyle w:val="62"/>
              <w:adjustRightInd/>
              <w:ind w:firstLine="480" w:firstLineChars="200"/>
              <w:rPr>
                <w:rFonts w:ascii="Times New Roman" w:hAnsi="Times New Roman"/>
                <w:color w:val="000000" w:themeColor="text1"/>
                <w14:textFill>
                  <w14:solidFill>
                    <w14:schemeClr w14:val="tx1"/>
                  </w14:solidFill>
                </w14:textFill>
              </w:rPr>
            </w:pPr>
          </w:p>
          <w:p w14:paraId="79EFD3E1">
            <w:pPr>
              <w:pStyle w:val="62"/>
              <w:adjustRightInd/>
              <w:ind w:firstLine="480" w:firstLineChars="200"/>
              <w:rPr>
                <w:rFonts w:ascii="Times New Roman" w:hAnsi="Times New Roman"/>
                <w:color w:val="000000" w:themeColor="text1"/>
                <w14:textFill>
                  <w14:solidFill>
                    <w14:schemeClr w14:val="tx1"/>
                  </w14:solidFill>
                </w14:textFill>
              </w:rPr>
            </w:pPr>
          </w:p>
          <w:p w14:paraId="48A349CE">
            <w:pPr>
              <w:pStyle w:val="62"/>
              <w:adjustRightInd/>
              <w:ind w:firstLine="480" w:firstLineChars="200"/>
              <w:rPr>
                <w:rFonts w:ascii="Times New Roman" w:hAnsi="Times New Roman"/>
                <w:color w:val="000000" w:themeColor="text1"/>
                <w14:textFill>
                  <w14:solidFill>
                    <w14:schemeClr w14:val="tx1"/>
                  </w14:solidFill>
                </w14:textFill>
              </w:rPr>
            </w:pPr>
          </w:p>
          <w:p w14:paraId="02490586">
            <w:pPr>
              <w:pStyle w:val="62"/>
              <w:adjustRightInd/>
              <w:ind w:firstLine="480" w:firstLineChars="200"/>
              <w:rPr>
                <w:rFonts w:ascii="Times New Roman" w:hAnsi="Times New Roman"/>
                <w:color w:val="000000" w:themeColor="text1"/>
                <w14:textFill>
                  <w14:solidFill>
                    <w14:schemeClr w14:val="tx1"/>
                  </w14:solidFill>
                </w14:textFill>
              </w:rPr>
            </w:pPr>
          </w:p>
          <w:p w14:paraId="64778A97">
            <w:pPr>
              <w:pStyle w:val="62"/>
              <w:adjustRightInd/>
              <w:ind w:firstLine="480" w:firstLineChars="200"/>
              <w:rPr>
                <w:rFonts w:ascii="Times New Roman" w:hAnsi="Times New Roman"/>
                <w:color w:val="000000" w:themeColor="text1"/>
                <w14:textFill>
                  <w14:solidFill>
                    <w14:schemeClr w14:val="tx1"/>
                  </w14:solidFill>
                </w14:textFill>
              </w:rPr>
            </w:pPr>
          </w:p>
          <w:p w14:paraId="3A676975">
            <w:pPr>
              <w:pStyle w:val="62"/>
              <w:adjustRightInd/>
              <w:ind w:firstLine="480" w:firstLineChars="200"/>
              <w:rPr>
                <w:rFonts w:ascii="Times New Roman" w:hAnsi="Times New Roman"/>
                <w:color w:val="000000" w:themeColor="text1"/>
                <w14:textFill>
                  <w14:solidFill>
                    <w14:schemeClr w14:val="tx1"/>
                  </w14:solidFill>
                </w14:textFill>
              </w:rPr>
            </w:pPr>
          </w:p>
          <w:p w14:paraId="53724351">
            <w:pPr>
              <w:pStyle w:val="62"/>
              <w:adjustRightInd/>
              <w:ind w:firstLine="480" w:firstLineChars="200"/>
              <w:rPr>
                <w:rFonts w:ascii="Times New Roman" w:hAnsi="Times New Roman"/>
                <w:color w:val="000000" w:themeColor="text1"/>
                <w14:textFill>
                  <w14:solidFill>
                    <w14:schemeClr w14:val="tx1"/>
                  </w14:solidFill>
                </w14:textFill>
              </w:rPr>
            </w:pPr>
          </w:p>
          <w:p w14:paraId="350F9430">
            <w:pPr>
              <w:pStyle w:val="62"/>
              <w:adjustRightInd/>
              <w:ind w:firstLine="0"/>
              <w:rPr>
                <w:rFonts w:ascii="Times New Roman" w:hAnsi="Times New Roman"/>
                <w:color w:val="000000" w:themeColor="text1"/>
                <w14:textFill>
                  <w14:solidFill>
                    <w14:schemeClr w14:val="tx1"/>
                  </w14:solidFill>
                </w14:textFill>
              </w:rPr>
            </w:pPr>
          </w:p>
          <w:p w14:paraId="58E13FD6">
            <w:pPr>
              <w:pStyle w:val="62"/>
              <w:adjustRightInd/>
              <w:ind w:firstLine="480" w:firstLineChars="200"/>
              <w:rPr>
                <w:rFonts w:ascii="Times New Roman" w:hAnsi="Times New Roman"/>
                <w:color w:val="000000" w:themeColor="text1"/>
                <w14:textFill>
                  <w14:solidFill>
                    <w14:schemeClr w14:val="tx1"/>
                  </w14:solidFill>
                </w14:textFill>
              </w:rPr>
            </w:pPr>
          </w:p>
          <w:p w14:paraId="56BC13D4">
            <w:pPr>
              <w:pStyle w:val="62"/>
              <w:adjustRightInd/>
              <w:ind w:firstLine="0"/>
              <w:rPr>
                <w:rFonts w:ascii="Times New Roman" w:hAnsi="Times New Roman"/>
                <w:bCs w:val="0"/>
                <w:color w:val="000000" w:themeColor="text1"/>
                <w:szCs w:val="21"/>
                <w14:textFill>
                  <w14:solidFill>
                    <w14:schemeClr w14:val="tx1"/>
                  </w14:solidFill>
                </w14:textFill>
              </w:rPr>
            </w:pPr>
          </w:p>
        </w:tc>
      </w:tr>
    </w:tbl>
    <w:p w14:paraId="48E02692">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4"/>
      </w:tblGrid>
      <w:tr w14:paraId="3056A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8824" w:type="dxa"/>
            <w:vAlign w:val="center"/>
          </w:tcPr>
          <w:p w14:paraId="57E658EB">
            <w:pPr>
              <w:pStyle w:val="75"/>
              <w:kinsoku w:val="0"/>
              <w:overflowPunct w:val="0"/>
              <w:spacing w:before="120" w:beforeLines="50" w:line="360" w:lineRule="auto"/>
              <w:jc w:val="center"/>
              <w:rPr>
                <w:rFonts w:ascii="Times New Roman" w:hAnsi="Times New Roman" w:eastAsiaTheme="minorEastAsia"/>
                <w:b/>
                <w:bCs/>
                <w:color w:val="000000" w:themeColor="text1"/>
                <w:sz w:val="24"/>
                <w:szCs w:val="24"/>
                <w:lang w:eastAsia="zh-CN"/>
                <w14:textFill>
                  <w14:solidFill>
                    <w14:schemeClr w14:val="tx1"/>
                  </w14:solidFill>
                </w14:textFill>
              </w:rPr>
            </w:pPr>
            <w:r>
              <w:rPr>
                <w:rFonts w:ascii="Times New Roman" w:hAnsi="Times New Roman"/>
                <w:b/>
                <w:bCs/>
                <w:color w:val="000000" w:themeColor="text1"/>
                <w:sz w:val="24"/>
                <w:szCs w:val="24"/>
                <w:lang w:eastAsia="zh-CN"/>
                <w14:textFill>
                  <w14:solidFill>
                    <w14:schemeClr w14:val="tx1"/>
                  </w14:solidFill>
                </w14:textFill>
              </w:rPr>
              <w:t>工艺流程和</w:t>
            </w:r>
            <w:r>
              <w:rPr>
                <w:rFonts w:hint="eastAsia" w:ascii="Times New Roman" w:hAnsi="Times New Roman"/>
                <w:b/>
                <w:bCs/>
                <w:color w:val="000000" w:themeColor="text1"/>
                <w:sz w:val="24"/>
                <w:szCs w:val="24"/>
                <w:lang w:eastAsia="zh-CN"/>
                <w14:textFill>
                  <w14:solidFill>
                    <w14:schemeClr w14:val="tx1"/>
                  </w14:solidFill>
                </w14:textFill>
              </w:rPr>
              <w:t>生</w:t>
            </w:r>
            <w:r>
              <w:rPr>
                <w:rFonts w:ascii="Times New Roman" w:hAnsi="Times New Roman"/>
                <w:b/>
                <w:bCs/>
                <w:color w:val="000000" w:themeColor="text1"/>
                <w:sz w:val="24"/>
                <w:szCs w:val="24"/>
                <w:lang w:eastAsia="zh-CN"/>
                <w14:textFill>
                  <w14:solidFill>
                    <w14:schemeClr w14:val="tx1"/>
                  </w14:solidFill>
                </w14:textFill>
              </w:rPr>
              <w:t>产排污环节</w:t>
            </w:r>
          </w:p>
        </w:tc>
      </w:tr>
      <w:tr w14:paraId="27881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10" w:hRule="atLeast"/>
          <w:jc w:val="center"/>
        </w:trPr>
        <w:tc>
          <w:tcPr>
            <w:tcW w:w="8824" w:type="dxa"/>
          </w:tcPr>
          <w:p w14:paraId="6A5E248D">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b/>
                <w:color w:val="000000" w:themeColor="text1"/>
                <w14:textFill>
                  <w14:solidFill>
                    <w14:schemeClr w14:val="tx1"/>
                  </w14:solidFill>
                </w14:textFill>
              </w:rPr>
              <w:t>、</w:t>
            </w:r>
            <w:r>
              <w:rPr>
                <w:b/>
                <w:bCs/>
                <w:color w:val="000000" w:themeColor="text1"/>
                <w:sz w:val="24"/>
                <w14:textFill>
                  <w14:solidFill>
                    <w14:schemeClr w14:val="tx1"/>
                  </w14:solidFill>
                </w14:textFill>
              </w:rPr>
              <w:t>施工期工程分析</w:t>
            </w:r>
          </w:p>
          <w:p w14:paraId="34469DBF">
            <w:pPr>
              <w:tabs>
                <w:tab w:val="left" w:pos="3780"/>
              </w:tabs>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本项目租用大英县火井建材有限公司虎林砖厂的闲置空地进行简易式管架结构厂房的生产建设，施工期</w:t>
            </w:r>
            <w:r>
              <w:rPr>
                <w:bCs/>
                <w:color w:val="000000" w:themeColor="text1"/>
                <w:sz w:val="24"/>
                <w14:textFill>
                  <w14:solidFill>
                    <w14:schemeClr w14:val="tx1"/>
                  </w14:solidFill>
                </w14:textFill>
              </w:rPr>
              <w:t>主要为厂房搭建及设备安装、调试设。本项目在施工期的污染源较为简单，对环境影响小。</w:t>
            </w:r>
          </w:p>
          <w:p w14:paraId="65B0B709">
            <w:pPr>
              <w:tabs>
                <w:tab w:val="left" w:pos="3780"/>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施工期工艺流程及产污环节如下图所示。</w:t>
            </w:r>
          </w:p>
          <w:p w14:paraId="12BCC095">
            <w:pPr>
              <w:spacing w:line="360" w:lineRule="auto"/>
              <w:ind w:firstLine="422" w:firstLineChars="200"/>
              <w:rPr>
                <w:color w:val="000000" w:themeColor="text1"/>
                <w14:textFill>
                  <w14:solidFill>
                    <w14:schemeClr w14:val="tx1"/>
                  </w14:solidFill>
                </w14:textFill>
              </w:rPr>
            </w:pPr>
            <w:r>
              <w:rPr>
                <w:b/>
                <w:color w:val="000000" w:themeColor="text1"/>
                <w14:textFill>
                  <w14:solidFill>
                    <w14:schemeClr w14:val="tx1"/>
                  </w14:solidFill>
                </w14:textFill>
              </w:rPr>
              <w:object>
                <v:shape id="_x0000_i1025" o:spt="75" type="#_x0000_t75" style="height:99.75pt;width:361.5pt;" o:ole="t" filled="f" o:preferrelative="t" stroked="f" coordsize="21600,21600">
                  <v:path/>
                  <v:fill on="f" focussize="0,0"/>
                  <v:stroke on="f" joinstyle="miter"/>
                  <v:imagedata r:id="rId16" o:title=""/>
                  <o:lock v:ext="edit" aspectratio="f"/>
                  <w10:wrap type="none"/>
                  <w10:anchorlock/>
                </v:shape>
                <o:OLEObject Type="Embed" ProgID="Visio.Drawing.11" ShapeID="_x0000_i1025" DrawAspect="Content" ObjectID="_1468075725" r:id="rId15">
                  <o:LockedField>false</o:LockedField>
                </o:OLEObject>
              </w:object>
            </w:r>
          </w:p>
          <w:p w14:paraId="2556ADD9">
            <w:pPr>
              <w:adjustRightInd w:val="0"/>
              <w:snapToGrid w:val="0"/>
              <w:spacing w:line="360" w:lineRule="auto"/>
              <w:ind w:firstLine="1265" w:firstLineChars="600"/>
              <w:rPr>
                <w:bCs/>
                <w:color w:val="000000" w:themeColor="text1"/>
                <w:sz w:val="24"/>
                <w14:textFill>
                  <w14:solidFill>
                    <w14:schemeClr w14:val="tx1"/>
                  </w14:solidFill>
                </w14:textFill>
              </w:rPr>
            </w:pPr>
            <w:r>
              <w:rPr>
                <w:b/>
                <w:color w:val="000000" w:themeColor="text1"/>
                <w14:textFill>
                  <w14:solidFill>
                    <w14:schemeClr w14:val="tx1"/>
                  </w14:solidFill>
                </w14:textFill>
              </w:rPr>
              <w:t>图2-4 项目施工期工艺流程及产污环节图</w:t>
            </w:r>
          </w:p>
          <w:p w14:paraId="0A2E8CAF">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b/>
                <w:color w:val="000000" w:themeColor="text1"/>
                <w14:textFill>
                  <w14:solidFill>
                    <w14:schemeClr w14:val="tx1"/>
                  </w14:solidFill>
                </w14:textFill>
              </w:rPr>
              <w:t>、</w:t>
            </w:r>
            <w:r>
              <w:rPr>
                <w:b/>
                <w:bCs/>
                <w:color w:val="000000" w:themeColor="text1"/>
                <w:sz w:val="24"/>
                <w14:textFill>
                  <w14:solidFill>
                    <w14:schemeClr w14:val="tx1"/>
                  </w14:solidFill>
                </w14:textFill>
              </w:rPr>
              <w:t>运营期工艺流程</w:t>
            </w:r>
          </w:p>
          <w:p w14:paraId="3C1B0875">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2.1项目蒸压砖生产线生产工艺</w:t>
            </w:r>
          </w:p>
          <w:p w14:paraId="102B8C4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本项目利用水泥、</w:t>
            </w:r>
            <w:r>
              <w:rPr>
                <w:rFonts w:eastAsiaTheme="minorEastAsia"/>
                <w:b/>
                <w:bCs/>
                <w:color w:val="000000" w:themeColor="text1"/>
                <w:sz w:val="24"/>
                <w:u w:val="single"/>
                <w14:textFill>
                  <w14:solidFill>
                    <w14:schemeClr w14:val="tx1"/>
                  </w14:solidFill>
                </w14:textFill>
              </w:rPr>
              <w:t>厌氧热回收后产生的干渣</w:t>
            </w:r>
            <w:r>
              <w:rPr>
                <w:color w:val="000000" w:themeColor="text1"/>
                <w:sz w:val="24"/>
                <w14:textFill>
                  <w14:solidFill>
                    <w14:schemeClr w14:val="tx1"/>
                  </w14:solidFill>
                </w14:textFill>
              </w:rPr>
              <w:t>为原料生产轻质建筑材料，其生产工艺如下图所示：</w:t>
            </w:r>
          </w:p>
          <w:p w14:paraId="51D90DF2">
            <w:pPr>
              <w:widowControl/>
              <w:spacing w:line="360" w:lineRule="auto"/>
              <w:ind w:firstLine="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drawing>
                <wp:inline distT="0" distB="0" distL="0" distR="0">
                  <wp:extent cx="4939665" cy="6012180"/>
                  <wp:effectExtent l="0" t="0" r="0" b="7620"/>
                  <wp:docPr id="105106434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64346" name="图片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68333" cy="6047060"/>
                          </a:xfrm>
                          <a:prstGeom prst="rect">
                            <a:avLst/>
                          </a:prstGeom>
                          <a:noFill/>
                          <a:ln>
                            <a:noFill/>
                          </a:ln>
                        </pic:spPr>
                      </pic:pic>
                    </a:graphicData>
                  </a:graphic>
                </wp:inline>
              </w:drawing>
            </w:r>
          </w:p>
          <w:p w14:paraId="4E33DAAD">
            <w:pPr>
              <w:spacing w:line="360" w:lineRule="auto"/>
              <w:ind w:firstLine="1687" w:firstLineChars="800"/>
              <w:rPr>
                <w:bCs/>
                <w:color w:val="000000" w:themeColor="text1"/>
                <w:sz w:val="24"/>
                <w14:textFill>
                  <w14:solidFill>
                    <w14:schemeClr w14:val="tx1"/>
                  </w14:solidFill>
                </w14:textFill>
              </w:rPr>
            </w:pPr>
            <w:r>
              <w:rPr>
                <w:b/>
                <w:color w:val="000000" w:themeColor="text1"/>
                <w14:textFill>
                  <w14:solidFill>
                    <w14:schemeClr w14:val="tx1"/>
                  </w14:solidFill>
                </w14:textFill>
              </w:rPr>
              <w:t>图2-5项目营运期蒸压灰砂砖生产工艺流程及产污环节图</w:t>
            </w:r>
          </w:p>
          <w:p w14:paraId="5DB800DD">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项目蒸压砖生产线工艺流程简述：</w:t>
            </w:r>
          </w:p>
          <w:p w14:paraId="2B752326">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（1）原料粉仓</w:t>
            </w:r>
          </w:p>
          <w:p w14:paraId="77763F16">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14:textFill>
                  <w14:solidFill>
                    <w14:schemeClr w14:val="tx1"/>
                  </w14:solidFill>
                </w14:textFill>
              </w:rPr>
              <w:t>原料水泥、干渣采用专用罐车运至生产车间，经管道连接罐车与水泥筒仓、干渣筒仓后用气泵输送至水泥筒仓、干渣筒仓</w:t>
            </w:r>
            <w:r>
              <w:rPr>
                <w:color w:val="000000" w:themeColor="text1"/>
                <w:szCs w:val="24"/>
                <w14:textFill>
                  <w14:solidFill>
                    <w14:schemeClr w14:val="tx1"/>
                  </w14:solidFill>
                </w14:textFill>
              </w:rPr>
              <w:t>内备用。</w:t>
            </w:r>
          </w:p>
          <w:p w14:paraId="713FA9DC">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（2）配料搅拌</w:t>
            </w:r>
          </w:p>
          <w:p w14:paraId="0F033AF0">
            <w:pPr>
              <w:pStyle w:val="3"/>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干渣，水泥等原料按照一定的比例分别经计量器中计量后进入配料机。将所需要的水按照设定流量，用水泵输送至配料机配备的加水器，均匀的喷洒在配料机内进行搅拌。</w:t>
            </w:r>
          </w:p>
          <w:p w14:paraId="0871CD80">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（3）筛选</w:t>
            </w:r>
          </w:p>
          <w:p w14:paraId="327CF9A9">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将搅拌之后的含水胶状中间物料通过密闭输送机送入筛选机内，将陈化后物料进一步筛选。</w:t>
            </w:r>
          </w:p>
          <w:p w14:paraId="174CB621">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（4）粉碎</w:t>
            </w:r>
          </w:p>
          <w:p w14:paraId="0C16783B">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陈化后的含水胶状物料由密闭皮带输送至粉碎机进行粉碎，粉碎的料经密闭的皮带输送入砖机受料斗。</w:t>
            </w:r>
          </w:p>
          <w:p w14:paraId="26829B0F">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（5）压制成型</w:t>
            </w:r>
          </w:p>
          <w:p w14:paraId="76DB97CF">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混合料经过双向模拟静压机压制成型蒸压砖坯体，经自动码垛机堆放在蒸养小车上，进入静养区。</w:t>
            </w:r>
          </w:p>
          <w:p w14:paraId="5D5A9BC7">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（6）静养</w:t>
            </w:r>
          </w:p>
          <w:p w14:paraId="094BBADF">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静养的目的在于让砖坯中多余的水分可蒸发掉一部分，这样就可防止砖坯在升温过程中由于水分受热膨胀而造成的砖坯裂纹，其次静养可使砖坯强度有所增加，从而提高制品强度，一般静养时间为1-2小时。</w:t>
            </w:r>
          </w:p>
          <w:p w14:paraId="45353E38">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（7）蒸压养护</w:t>
            </w:r>
          </w:p>
          <w:p w14:paraId="54A25EF3">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蒸压釜为双开口式，编好组的坯体沿轨道进入蒸压釜内封口，然后通入蒸汽，坯体在釜内经过高温、高压蒸压后，达到一定的强度后即成为成品。蒸压过程中使用的蒸汽由厂区设置的天然气锅炉提供。</w:t>
            </w:r>
          </w:p>
          <w:p w14:paraId="4148EBAF">
            <w:pPr>
              <w:pStyle w:val="3"/>
              <w:spacing w:after="0" w:line="360" w:lineRule="auto"/>
              <w:ind w:left="0" w:leftChars="0"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（8）成品堆放</w:t>
            </w:r>
          </w:p>
          <w:p w14:paraId="382D030B">
            <w:pPr>
              <w:pStyle w:val="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出釜后的灰沙砖由起重机运至成品堆场，检验待销。</w:t>
            </w:r>
          </w:p>
          <w:p w14:paraId="11B535FA">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2.2项目蒸养砖生产线生产工艺及产污分析</w:t>
            </w:r>
          </w:p>
          <w:p w14:paraId="6FA7F2D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利用水泥、碎石、粉煤灰、石灰以及建筑垃圾为原料生产轻质建筑材料，为了减少粉尘产生，本次减少对原生产线进行提标改造，直接购买成品石灰粉，减少破碎粉尘的产生，其具体生产工艺及产污环节如下图所示：</w:t>
            </w:r>
          </w:p>
          <w:p w14:paraId="0DD4838B">
            <w:pPr>
              <w:pStyle w:val="2"/>
              <w:rPr>
                <w:color w:val="000000" w:themeColor="text1"/>
                <w14:textFill>
                  <w14:solidFill>
                    <w14:schemeClr w14:val="tx1"/>
                  </w14:solidFill>
                </w14:textFill>
              </w:rPr>
            </w:pPr>
          </w:p>
          <w:p w14:paraId="4F88C247">
            <w:pPr>
              <w:spacing w:line="360" w:lineRule="auto"/>
              <w:ind w:firstLine="422" w:firstLineChars="200"/>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drawing>
                <wp:inline distT="0" distB="0" distL="0" distR="0">
                  <wp:extent cx="4772660" cy="5317490"/>
                  <wp:effectExtent l="0" t="0" r="8890" b="0"/>
                  <wp:docPr id="21015454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45459"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81666" cy="5327796"/>
                          </a:xfrm>
                          <a:prstGeom prst="rect">
                            <a:avLst/>
                          </a:prstGeom>
                          <a:noFill/>
                          <a:ln>
                            <a:noFill/>
                          </a:ln>
                        </pic:spPr>
                      </pic:pic>
                    </a:graphicData>
                  </a:graphic>
                </wp:inline>
              </w:drawing>
            </w:r>
          </w:p>
          <w:p w14:paraId="2E85AF4C">
            <w:pPr>
              <w:adjustRightInd w:val="0"/>
              <w:snapToGrid w:val="0"/>
              <w:spacing w:line="360" w:lineRule="auto"/>
              <w:ind w:firstLine="1476" w:firstLineChars="700"/>
              <w:rPr>
                <w:bCs/>
                <w:color w:val="000000" w:themeColor="text1"/>
                <w:sz w:val="24"/>
                <w14:textFill>
                  <w14:solidFill>
                    <w14:schemeClr w14:val="tx1"/>
                  </w14:solidFill>
                </w14:textFill>
              </w:rPr>
            </w:pPr>
            <w:r>
              <w:rPr>
                <w:b/>
                <w:color w:val="000000" w:themeColor="text1"/>
                <w14:textFill>
                  <w14:solidFill>
                    <w14:schemeClr w14:val="tx1"/>
                  </w14:solidFill>
                </w14:textFill>
              </w:rPr>
              <w:t>图2-6 项目运营期蒸养砖生产工艺流程及产污环节图</w:t>
            </w:r>
          </w:p>
          <w:p w14:paraId="3EEF689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工艺流程简述：</w:t>
            </w:r>
          </w:p>
          <w:p w14:paraId="1FE91B53">
            <w:pPr>
              <w:pStyle w:val="78"/>
              <w:numPr>
                <w:ilvl w:val="0"/>
                <w:numId w:val="2"/>
              </w:numPr>
              <w:adjustRightInd w:val="0"/>
              <w:snapToGrid w:val="0"/>
              <w:spacing w:line="360" w:lineRule="auto"/>
              <w:ind w:left="0" w:firstLine="200" w:firstLineChars="0"/>
              <w:rPr>
                <w:color w:val="000000" w:themeColor="text1"/>
                <w:sz w:val="24"/>
                <w14:textFill>
                  <w14:solidFill>
                    <w14:schemeClr w14:val="tx1"/>
                  </w14:solidFill>
                </w14:textFill>
              </w:rPr>
            </w:pPr>
            <w:r>
              <w:rPr>
                <w:b/>
                <w:color w:val="000000" w:themeColor="text1"/>
                <w:sz w:val="24"/>
                <w14:textFill>
                  <w14:solidFill>
                    <w14:schemeClr w14:val="tx1"/>
                  </w14:solidFill>
                </w14:textFill>
              </w:rPr>
              <w:t>原料运输与储存</w:t>
            </w:r>
          </w:p>
          <w:p w14:paraId="09E3B96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碎石、石灰块经密闭货车运送至生产车间，建筑垃圾、碎石存于原料堆存区，石灰块单独堆存于堆存区。外购的粉煤灰、水泥均为符合生产需要规格的原材料，购进的水泥、粉煤灰用专用罐车运至生产车间，经管道连接罐车与水泥筒仓、粉煤灰筒仓后用气泵输送至水泥筒仓、粉煤灰筒仓。</w:t>
            </w:r>
            <w:r>
              <w:rPr>
                <w:color w:val="000000" w:themeColor="text1"/>
                <w:sz w:val="24"/>
                <w:u w:val="single"/>
                <w14:textFill>
                  <w14:solidFill>
                    <w14:schemeClr w14:val="tx1"/>
                  </w14:solidFill>
                </w14:textFill>
              </w:rPr>
              <w:t>该过程主要产生运输装卸粉尘、噪声</w:t>
            </w:r>
            <w:r>
              <w:rPr>
                <w:color w:val="000000" w:themeColor="text1"/>
                <w:sz w:val="24"/>
                <w14:textFill>
                  <w14:solidFill>
                    <w14:schemeClr w14:val="tx1"/>
                  </w14:solidFill>
                </w14:textFill>
              </w:rPr>
              <w:t>。</w:t>
            </w:r>
          </w:p>
          <w:p w14:paraId="60F5B7FF">
            <w:pPr>
              <w:pStyle w:val="2"/>
              <w:rPr>
                <w:color w:val="000000" w:themeColor="text1"/>
                <w14:textFill>
                  <w14:solidFill>
                    <w14:schemeClr w14:val="tx1"/>
                  </w14:solidFill>
                </w14:textFill>
              </w:rPr>
            </w:pPr>
          </w:p>
          <w:p w14:paraId="3292FBFB">
            <w:pPr>
              <w:pStyle w:val="78"/>
              <w:numPr>
                <w:ilvl w:val="0"/>
                <w:numId w:val="2"/>
              </w:numPr>
              <w:adjustRightInd w:val="0"/>
              <w:snapToGrid w:val="0"/>
              <w:spacing w:line="360" w:lineRule="auto"/>
              <w:ind w:left="0" w:firstLine="200" w:firstLineChars="0"/>
              <w:rPr>
                <w:b/>
                <w:color w:val="000000" w:themeColor="text1"/>
                <w:sz w:val="24"/>
                <w14:textFill>
                  <w14:solidFill>
                    <w14:schemeClr w14:val="tx1"/>
                  </w14:solidFill>
                </w14:textFill>
              </w:rPr>
            </w:pPr>
            <w:r>
              <w:rPr>
                <w:b/>
                <w:color w:val="000000" w:themeColor="text1"/>
                <w:sz w:val="24"/>
                <w14:textFill>
                  <w14:solidFill>
                    <w14:schemeClr w14:val="tx1"/>
                  </w14:solidFill>
                </w14:textFill>
              </w:rPr>
              <w:t>建筑垃圾与碎石湿式破碎</w:t>
            </w:r>
          </w:p>
          <w:p w14:paraId="2E459767">
            <w:pPr>
              <w:adjustRightInd w:val="0"/>
              <w:snapToGrid w:val="0"/>
              <w:spacing w:line="360" w:lineRule="auto"/>
              <w:ind w:firstLine="480" w:firstLineChars="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建筑垃圾与碎石在运至厂前已预先破碎至合适的大小，在厂内通过密闭的传输带进入球磨机制砂，该过程采用湿法作业。球磨机内装载各种规格的研磨体，当球磨机回转时，物料与研磨体混合，物料与研磨体相互挤压、摩擦的过程中，将物料磨碎。球磨制砂产生的砂浆进入制砂池待用，制砂池的砂浆通过泵进入配料机。</w:t>
            </w:r>
            <w:r>
              <w:rPr>
                <w:color w:val="000000" w:themeColor="text1"/>
                <w:sz w:val="24"/>
                <w:u w:val="single"/>
                <w14:textFill>
                  <w14:solidFill>
                    <w14:schemeClr w14:val="tx1"/>
                  </w14:solidFill>
                </w14:textFill>
              </w:rPr>
              <w:t>该过程主要产生噪声。</w:t>
            </w:r>
          </w:p>
          <w:p w14:paraId="531C51F3">
            <w:pPr>
              <w:adjustRightInd w:val="0"/>
              <w:snapToGrid w:val="0"/>
              <w:spacing w:line="360" w:lineRule="auto"/>
              <w:ind w:firstLine="241" w:firstLineChars="100"/>
              <w:rPr>
                <w:color w:val="000000" w:themeColor="text1"/>
                <w:sz w:val="24"/>
                <w14:textFill>
                  <w14:solidFill>
                    <w14:schemeClr w14:val="tx1"/>
                  </w14:solidFill>
                </w14:textFill>
              </w:rPr>
            </w:pPr>
            <w:r>
              <w:rPr>
                <w:b/>
                <w:color w:val="000000" w:themeColor="text1"/>
                <w:sz w:val="24"/>
                <w14:textFill>
                  <w14:solidFill>
                    <w14:schemeClr w14:val="tx1"/>
                  </w14:solidFill>
                </w14:textFill>
              </w:rPr>
              <w:t>（3）配料搅拌</w:t>
            </w:r>
          </w:p>
          <w:p w14:paraId="7401C5C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建筑垃圾碎石砂浆与水泥、粉煤灰、石灰等原料按照一定的比例分别经计量器中计量后进入配料机。将所需要的水按照设定流量，用水泵输送至配料机配备的加水器，均匀的喷洒在配料机内。</w:t>
            </w:r>
          </w:p>
          <w:p w14:paraId="61269C98">
            <w:pPr>
              <w:adjustRightInd w:val="0"/>
              <w:snapToGrid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进入配料机内的物料，在配料机内螺旋桨片的搅拌下，相互之间产生挤压、磨擦、剪切、对流作用从而进行剧烈的拌合，并向出料口推移，当物料到达搅拌机出料口时，各物料已相互混合均匀，并具有压实所需要的含水量。</w:t>
            </w:r>
            <w:r>
              <w:rPr>
                <w:color w:val="000000" w:themeColor="text1"/>
                <w:sz w:val="24"/>
                <w:u w:val="single"/>
                <w14:textFill>
                  <w14:solidFill>
                    <w14:schemeClr w14:val="tx1"/>
                  </w14:solidFill>
                </w14:textFill>
              </w:rPr>
              <w:t>该工序主要产生搅拌粉尘、噪声、</w:t>
            </w:r>
            <w:r>
              <w:rPr>
                <w:color w:val="000000" w:themeColor="text1"/>
                <w:kern w:val="0"/>
                <w:sz w:val="24"/>
                <w:u w:val="single"/>
                <w14:textFill>
                  <w14:solidFill>
                    <w14:schemeClr w14:val="tx1"/>
                  </w14:solidFill>
                </w14:textFill>
              </w:rPr>
              <w:t>冲洗废水。</w:t>
            </w:r>
          </w:p>
          <w:p w14:paraId="409BAA74">
            <w:pPr>
              <w:adjustRightInd w:val="0"/>
              <w:snapToGrid w:val="0"/>
              <w:spacing w:line="360" w:lineRule="auto"/>
              <w:ind w:firstLine="200"/>
              <w:rPr>
                <w:b/>
                <w:color w:val="000000" w:themeColor="text1"/>
                <w:sz w:val="24"/>
                <w14:textFill>
                  <w14:solidFill>
                    <w14:schemeClr w14:val="tx1"/>
                  </w14:solidFill>
                </w14:textFill>
              </w:rPr>
            </w:pPr>
            <w:r>
              <w:rPr>
                <w:b/>
                <w:color w:val="000000" w:themeColor="text1"/>
                <w:sz w:val="24"/>
                <w14:textFill>
                  <w14:solidFill>
                    <w14:schemeClr w14:val="tx1"/>
                  </w14:solidFill>
                </w14:textFill>
              </w:rPr>
              <w:t>（4）模具成型与静停养护</w:t>
            </w:r>
          </w:p>
          <w:p w14:paraId="126B06C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搅拌后的混凝土从配料机的出料口出来浇筑到模具内，磨具通过摆渡池进入到相应轨道区进行自然静停养护4h。</w:t>
            </w:r>
          </w:p>
          <w:p w14:paraId="628C5D2F">
            <w:pPr>
              <w:adjustRightInd w:val="0"/>
              <w:snapToGrid w:val="0"/>
              <w:spacing w:line="360" w:lineRule="auto"/>
              <w:ind w:firstLine="200"/>
              <w:rPr>
                <w:color w:val="000000" w:themeColor="text1"/>
                <w:sz w:val="24"/>
                <w14:textFill>
                  <w14:solidFill>
                    <w14:schemeClr w14:val="tx1"/>
                  </w14:solidFill>
                </w14:textFill>
              </w:rPr>
            </w:pPr>
            <w:r>
              <w:rPr>
                <w:b/>
                <w:color w:val="000000" w:themeColor="text1"/>
                <w:sz w:val="24"/>
                <w14:textFill>
                  <w14:solidFill>
                    <w14:schemeClr w14:val="tx1"/>
                  </w14:solidFill>
                </w14:textFill>
              </w:rPr>
              <w:t>（5）切割成型</w:t>
            </w:r>
          </w:p>
          <w:p w14:paraId="0F2796E4">
            <w:pPr>
              <w:adjustRightInd w:val="0"/>
              <w:snapToGrid w:val="0"/>
              <w:spacing w:line="360" w:lineRule="auto"/>
              <w:ind w:firstLine="480" w:firstLineChars="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将基本成型的产品按照预定规格进行切割，该工序切割时产品未完全固化，含水率较高，切割原理为钢丝对产品进行线切割，不会产生粉尘，切割产生的边角料采用自来水冲洗，冲洗水进入沉淀池。</w:t>
            </w:r>
            <w:r>
              <w:rPr>
                <w:color w:val="000000" w:themeColor="text1"/>
                <w:sz w:val="24"/>
                <w:u w:val="single"/>
                <w14:textFill>
                  <w14:solidFill>
                    <w14:schemeClr w14:val="tx1"/>
                  </w14:solidFill>
                </w14:textFill>
              </w:rPr>
              <w:t>该过程主要产生冲洗废水。</w:t>
            </w:r>
          </w:p>
          <w:p w14:paraId="6BBA8779">
            <w:pPr>
              <w:adjustRightInd w:val="0"/>
              <w:snapToGrid w:val="0"/>
              <w:spacing w:line="360" w:lineRule="auto"/>
              <w:ind w:firstLine="200"/>
              <w:rPr>
                <w:color w:val="000000" w:themeColor="text1"/>
                <w:sz w:val="24"/>
                <w14:textFill>
                  <w14:solidFill>
                    <w14:schemeClr w14:val="tx1"/>
                  </w14:solidFill>
                </w14:textFill>
              </w:rPr>
            </w:pPr>
            <w:r>
              <w:rPr>
                <w:b/>
                <w:color w:val="000000" w:themeColor="text1"/>
                <w:sz w:val="24"/>
                <w14:textFill>
                  <w14:solidFill>
                    <w14:schemeClr w14:val="tx1"/>
                  </w14:solidFill>
                </w14:textFill>
              </w:rPr>
              <w:t>（6）蒸压养护</w:t>
            </w:r>
          </w:p>
          <w:p w14:paraId="7DF05C7E">
            <w:pPr>
              <w:adjustRightInd w:val="0"/>
              <w:snapToGrid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本项目蒸汽养护室采用常压蒸汽养护的方式，对产品进行养护，配套4t/h 天然气蒸汽锅炉一座。蒸压室配备3台蒸压釜。</w:t>
            </w:r>
          </w:p>
          <w:p w14:paraId="6B8B63FC">
            <w:pPr>
              <w:adjustRightInd w:val="0"/>
              <w:snapToGrid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蒸汽养护可分为四个阶段，分别为静置期、升温期、恒温期和降温期，总持续时长为8h。产品输送至养护室后首先静置一段时间，使得内部空气排出；然后输送高温蒸汽对养护室进行升温，养护室温度逐渐升至100℃左右，该过程持续约6h；养护室温度升至100℃后，通过自动化系统（PLC）调节，通过控制蒸汽输送量使得养护室内温度保持平衡稳定，产品在100℃的蒸汽养护下，逐渐硬化、增加强度；最后进入降温期，该过程需持续缓慢</w:t>
            </w:r>
            <w:r>
              <w:rPr>
                <w:rFonts w:hint="eastAsia"/>
                <w:color w:val="000000" w:themeColor="text1"/>
                <w:sz w:val="24"/>
                <w:lang w:eastAsia="zh-CN"/>
                <w14:textFill>
                  <w14:solidFill>
                    <w14:schemeClr w14:val="tx1"/>
                  </w14:solidFill>
                </w14:textFill>
              </w:rPr>
              <w:t>地</w:t>
            </w:r>
            <w:r>
              <w:rPr>
                <w:color w:val="000000" w:themeColor="text1"/>
                <w:sz w:val="24"/>
                <w14:textFill>
                  <w14:solidFill>
                    <w14:schemeClr w14:val="tx1"/>
                  </w14:solidFill>
                </w14:textFill>
              </w:rPr>
              <w:t>进行，以免温差变化过大造成产品产生微裂缝，全过程持续约8h。降温完成后，将养护完成的产品拉出养护室，暂存于成品区。</w:t>
            </w:r>
          </w:p>
          <w:p w14:paraId="07D0D388">
            <w:pPr>
              <w:adjustRightInd w:val="0"/>
              <w:snapToGrid w:val="0"/>
              <w:spacing w:line="360" w:lineRule="auto"/>
              <w:ind w:firstLine="480" w:firstLineChars="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养护过程中的蒸汽约70%冷凝成水，回流沉淀池，剩余蒸汽在养护过程中损耗。</w:t>
            </w:r>
            <w:r>
              <w:rPr>
                <w:color w:val="000000" w:themeColor="text1"/>
                <w:sz w:val="24"/>
                <w:u w:val="single"/>
                <w14:textFill>
                  <w14:solidFill>
                    <w14:schemeClr w14:val="tx1"/>
                  </w14:solidFill>
                </w14:textFill>
              </w:rPr>
              <w:t>该工序主要产生锅炉燃烧废气。</w:t>
            </w:r>
          </w:p>
          <w:p w14:paraId="2DF772B8">
            <w:pPr>
              <w:pStyle w:val="2"/>
              <w:spacing w:after="0" w:line="360" w:lineRule="auto"/>
              <w:ind w:left="0" w:leftChars="0"/>
              <w:rPr>
                <w:color w:val="000000" w:themeColor="text1"/>
                <w14:textFill>
                  <w14:solidFill>
                    <w14:schemeClr w14:val="tx1"/>
                  </w14:solidFill>
                </w14:textFill>
              </w:rPr>
            </w:pPr>
          </w:p>
          <w:p w14:paraId="7445A49C">
            <w:pPr>
              <w:adjustRightInd w:val="0"/>
              <w:snapToGrid w:val="0"/>
              <w:spacing w:line="360" w:lineRule="auto"/>
              <w:ind w:firstLine="200"/>
              <w:rPr>
                <w:bCs/>
                <w:color w:val="000000" w:themeColor="text1"/>
                <w:szCs w:val="21"/>
                <w14:textFill>
                  <w14:solidFill>
                    <w14:schemeClr w14:val="tx1"/>
                  </w14:solidFill>
                </w14:textFill>
              </w:rPr>
            </w:pPr>
          </w:p>
          <w:p w14:paraId="38A6C3C2">
            <w:pPr>
              <w:pStyle w:val="2"/>
              <w:spacing w:after="0" w:line="360" w:lineRule="auto"/>
              <w:ind w:left="0" w:leftChars="0"/>
              <w:rPr>
                <w:color w:val="000000" w:themeColor="text1"/>
                <w14:textFill>
                  <w14:solidFill>
                    <w14:schemeClr w14:val="tx1"/>
                  </w14:solidFill>
                </w14:textFill>
              </w:rPr>
            </w:pPr>
          </w:p>
          <w:p w14:paraId="4A2E2271">
            <w:pPr>
              <w:pStyle w:val="2"/>
              <w:spacing w:after="0" w:line="360" w:lineRule="auto"/>
              <w:ind w:left="0" w:leftChars="0"/>
              <w:rPr>
                <w:color w:val="000000" w:themeColor="text1"/>
                <w14:textFill>
                  <w14:solidFill>
                    <w14:schemeClr w14:val="tx1"/>
                  </w14:solidFill>
                </w14:textFill>
              </w:rPr>
            </w:pPr>
          </w:p>
          <w:p w14:paraId="6D3C5E16">
            <w:pPr>
              <w:pStyle w:val="2"/>
              <w:spacing w:after="0" w:line="360" w:lineRule="auto"/>
              <w:ind w:left="0" w:leftChars="0"/>
              <w:rPr>
                <w:color w:val="000000" w:themeColor="text1"/>
                <w14:textFill>
                  <w14:solidFill>
                    <w14:schemeClr w14:val="tx1"/>
                  </w14:solidFill>
                </w14:textFill>
              </w:rPr>
            </w:pPr>
          </w:p>
          <w:p w14:paraId="4FF67AA8">
            <w:pPr>
              <w:pStyle w:val="2"/>
              <w:spacing w:after="0" w:line="360" w:lineRule="auto"/>
              <w:ind w:left="0" w:leftChars="0"/>
              <w:rPr>
                <w:color w:val="000000" w:themeColor="text1"/>
                <w14:textFill>
                  <w14:solidFill>
                    <w14:schemeClr w14:val="tx1"/>
                  </w14:solidFill>
                </w14:textFill>
              </w:rPr>
            </w:pPr>
          </w:p>
          <w:p w14:paraId="7082D5A3">
            <w:pPr>
              <w:pStyle w:val="2"/>
              <w:spacing w:after="0" w:line="360" w:lineRule="auto"/>
              <w:ind w:left="0" w:leftChars="0"/>
              <w:rPr>
                <w:color w:val="000000" w:themeColor="text1"/>
                <w14:textFill>
                  <w14:solidFill>
                    <w14:schemeClr w14:val="tx1"/>
                  </w14:solidFill>
                </w14:textFill>
              </w:rPr>
            </w:pPr>
          </w:p>
          <w:p w14:paraId="58FB57F6">
            <w:pPr>
              <w:pStyle w:val="2"/>
              <w:spacing w:after="0" w:line="360" w:lineRule="auto"/>
              <w:ind w:left="0" w:leftChars="0"/>
              <w:rPr>
                <w:color w:val="000000" w:themeColor="text1"/>
                <w14:textFill>
                  <w14:solidFill>
                    <w14:schemeClr w14:val="tx1"/>
                  </w14:solidFill>
                </w14:textFill>
              </w:rPr>
            </w:pPr>
          </w:p>
          <w:p w14:paraId="55405073">
            <w:pPr>
              <w:pStyle w:val="2"/>
              <w:spacing w:after="0" w:line="360" w:lineRule="auto"/>
              <w:ind w:left="0" w:leftChars="0"/>
              <w:rPr>
                <w:color w:val="000000" w:themeColor="text1"/>
                <w14:textFill>
                  <w14:solidFill>
                    <w14:schemeClr w14:val="tx1"/>
                  </w14:solidFill>
                </w14:textFill>
              </w:rPr>
            </w:pPr>
          </w:p>
          <w:p w14:paraId="512E506A">
            <w:pPr>
              <w:pStyle w:val="2"/>
              <w:spacing w:after="0" w:line="360" w:lineRule="auto"/>
              <w:ind w:left="0" w:leftChars="0"/>
              <w:rPr>
                <w:color w:val="000000" w:themeColor="text1"/>
                <w14:textFill>
                  <w14:solidFill>
                    <w14:schemeClr w14:val="tx1"/>
                  </w14:solidFill>
                </w14:textFill>
              </w:rPr>
            </w:pPr>
          </w:p>
          <w:p w14:paraId="202BF561">
            <w:pPr>
              <w:pStyle w:val="2"/>
              <w:spacing w:after="0" w:line="360" w:lineRule="auto"/>
              <w:ind w:left="0" w:leftChars="0"/>
              <w:rPr>
                <w:color w:val="000000" w:themeColor="text1"/>
                <w14:textFill>
                  <w14:solidFill>
                    <w14:schemeClr w14:val="tx1"/>
                  </w14:solidFill>
                </w14:textFill>
              </w:rPr>
            </w:pPr>
          </w:p>
          <w:p w14:paraId="1DBA330F">
            <w:pPr>
              <w:pStyle w:val="2"/>
              <w:spacing w:after="0" w:line="360" w:lineRule="auto"/>
              <w:ind w:left="0" w:leftChars="0"/>
              <w:rPr>
                <w:color w:val="000000" w:themeColor="text1"/>
                <w14:textFill>
                  <w14:solidFill>
                    <w14:schemeClr w14:val="tx1"/>
                  </w14:solidFill>
                </w14:textFill>
              </w:rPr>
            </w:pPr>
          </w:p>
          <w:p w14:paraId="3B081F58">
            <w:pPr>
              <w:pStyle w:val="2"/>
              <w:spacing w:after="0" w:line="360" w:lineRule="auto"/>
              <w:ind w:left="0" w:leftChars="0"/>
              <w:rPr>
                <w:color w:val="000000" w:themeColor="text1"/>
                <w14:textFill>
                  <w14:solidFill>
                    <w14:schemeClr w14:val="tx1"/>
                  </w14:solidFill>
                </w14:textFill>
              </w:rPr>
            </w:pPr>
          </w:p>
          <w:p w14:paraId="77ECB5A7">
            <w:pPr>
              <w:pStyle w:val="2"/>
              <w:spacing w:after="0" w:line="360" w:lineRule="auto"/>
              <w:ind w:left="0" w:leftChars="0"/>
              <w:rPr>
                <w:color w:val="000000" w:themeColor="text1"/>
                <w14:textFill>
                  <w14:solidFill>
                    <w14:schemeClr w14:val="tx1"/>
                  </w14:solidFill>
                </w14:textFill>
              </w:rPr>
            </w:pPr>
          </w:p>
          <w:p w14:paraId="46AB289E">
            <w:pPr>
              <w:pStyle w:val="2"/>
              <w:spacing w:after="0" w:line="360" w:lineRule="auto"/>
              <w:ind w:left="0" w:leftChars="0"/>
              <w:rPr>
                <w:color w:val="000000" w:themeColor="text1"/>
                <w14:textFill>
                  <w14:solidFill>
                    <w14:schemeClr w14:val="tx1"/>
                  </w14:solidFill>
                </w14:textFill>
              </w:rPr>
            </w:pPr>
          </w:p>
          <w:p w14:paraId="2739DD93">
            <w:pPr>
              <w:pStyle w:val="2"/>
              <w:spacing w:after="0" w:line="360" w:lineRule="auto"/>
              <w:ind w:left="0" w:leftChars="0"/>
              <w:rPr>
                <w:color w:val="000000" w:themeColor="text1"/>
                <w14:textFill>
                  <w14:solidFill>
                    <w14:schemeClr w14:val="tx1"/>
                  </w14:solidFill>
                </w14:textFill>
              </w:rPr>
            </w:pPr>
          </w:p>
          <w:p w14:paraId="32392D4D">
            <w:pPr>
              <w:pStyle w:val="2"/>
              <w:spacing w:after="0" w:line="360" w:lineRule="auto"/>
              <w:ind w:left="0" w:leftChars="0"/>
              <w:rPr>
                <w:color w:val="000000" w:themeColor="text1"/>
                <w14:textFill>
                  <w14:solidFill>
                    <w14:schemeClr w14:val="tx1"/>
                  </w14:solidFill>
                </w14:textFill>
              </w:rPr>
            </w:pPr>
          </w:p>
          <w:p w14:paraId="3C55AFAE">
            <w:pPr>
              <w:pStyle w:val="2"/>
              <w:spacing w:after="0" w:line="360" w:lineRule="auto"/>
              <w:ind w:left="0" w:leftChars="0"/>
              <w:rPr>
                <w:color w:val="000000" w:themeColor="text1"/>
                <w14:textFill>
                  <w14:solidFill>
                    <w14:schemeClr w14:val="tx1"/>
                  </w14:solidFill>
                </w14:textFill>
              </w:rPr>
            </w:pPr>
          </w:p>
          <w:p w14:paraId="7ADF29BC">
            <w:pPr>
              <w:pStyle w:val="2"/>
              <w:spacing w:after="0" w:line="360" w:lineRule="auto"/>
              <w:ind w:left="0" w:leftChars="0"/>
              <w:rPr>
                <w:color w:val="000000" w:themeColor="text1"/>
                <w14:textFill>
                  <w14:solidFill>
                    <w14:schemeClr w14:val="tx1"/>
                  </w14:solidFill>
                </w14:textFill>
              </w:rPr>
            </w:pPr>
          </w:p>
          <w:p w14:paraId="0E572531">
            <w:pPr>
              <w:pStyle w:val="2"/>
              <w:spacing w:after="0" w:line="360" w:lineRule="auto"/>
              <w:ind w:left="0" w:leftChars="0"/>
              <w:rPr>
                <w:color w:val="000000" w:themeColor="text1"/>
                <w14:textFill>
                  <w14:solidFill>
                    <w14:schemeClr w14:val="tx1"/>
                  </w14:solidFill>
                </w14:textFill>
              </w:rPr>
            </w:pPr>
          </w:p>
          <w:p w14:paraId="583AE5F7">
            <w:pPr>
              <w:pStyle w:val="2"/>
              <w:spacing w:after="0" w:line="360" w:lineRule="auto"/>
              <w:ind w:left="0" w:leftChars="0"/>
              <w:rPr>
                <w:color w:val="000000" w:themeColor="text1"/>
                <w14:textFill>
                  <w14:solidFill>
                    <w14:schemeClr w14:val="tx1"/>
                  </w14:solidFill>
                </w14:textFill>
              </w:rPr>
            </w:pPr>
          </w:p>
          <w:p w14:paraId="484E0DC8">
            <w:pPr>
              <w:pStyle w:val="2"/>
              <w:spacing w:after="0" w:line="360" w:lineRule="auto"/>
              <w:ind w:left="0" w:leftChars="0"/>
              <w:rPr>
                <w:color w:val="000000" w:themeColor="text1"/>
                <w14:textFill>
                  <w14:solidFill>
                    <w14:schemeClr w14:val="tx1"/>
                  </w14:solidFill>
                </w14:textFill>
              </w:rPr>
            </w:pPr>
          </w:p>
          <w:p w14:paraId="3BCC8A0F">
            <w:pPr>
              <w:pStyle w:val="2"/>
              <w:spacing w:after="0" w:line="360" w:lineRule="auto"/>
              <w:ind w:left="0" w:leftChars="0"/>
              <w:rPr>
                <w:color w:val="000000" w:themeColor="text1"/>
                <w14:textFill>
                  <w14:solidFill>
                    <w14:schemeClr w14:val="tx1"/>
                  </w14:solidFill>
                </w14:textFill>
              </w:rPr>
            </w:pPr>
          </w:p>
        </w:tc>
      </w:tr>
    </w:tbl>
    <w:p w14:paraId="5CD46F60">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4"/>
      </w:tblGrid>
      <w:tr w14:paraId="4D1EA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8824" w:type="dxa"/>
            <w:vAlign w:val="center"/>
          </w:tcPr>
          <w:p w14:paraId="5E8BEB0A">
            <w:pPr>
              <w:adjustRightInd w:val="0"/>
              <w:snapToGrid w:val="0"/>
              <w:contextualSpacing/>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与项目有关的原有环境污染问题</w:t>
            </w:r>
          </w:p>
        </w:tc>
      </w:tr>
      <w:tr w14:paraId="7FB9A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824" w:type="dxa"/>
            <w:vAlign w:val="center"/>
          </w:tcPr>
          <w:p w14:paraId="49B080DA">
            <w:pPr>
              <w:adjustRightInd w:val="0"/>
              <w:snapToGrid w:val="0"/>
              <w:spacing w:before="120" w:beforeLines="50" w:line="360" w:lineRule="auto"/>
              <w:ind w:firstLine="480" w:firstLineChars="200"/>
              <w:contextualSpacing/>
              <w:rPr>
                <w:rFonts w:eastAsiaTheme="minorEastAsia"/>
                <w:b/>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四川鸿乔再生资源利用有限公司鸿乔再生资源利用项目于2021年9月15日获得《遂宁市大英生态环境局关于鸿乔再生资源利用项目环境影响报告表的批复》（遂大环函〔2021〕119号）。项目利用</w:t>
            </w:r>
            <w:r>
              <w:rPr>
                <w:rFonts w:eastAsiaTheme="minorEastAsia"/>
                <w:color w:val="000000" w:themeColor="text1"/>
                <w:kern w:val="0"/>
                <w:sz w:val="24"/>
                <w14:textFill>
                  <w14:solidFill>
                    <w14:schemeClr w14:val="tx1"/>
                  </w14:solidFill>
                </w14:textFill>
              </w:rPr>
              <w:t>本地区包括建造新的建筑物所产生的建筑废料、市民装修产生的建筑装潢垃圾、拆迁工程产生的废料、道路修建与养护过程产生的废料等在内的</w:t>
            </w:r>
            <w:r>
              <w:rPr>
                <w:rFonts w:eastAsiaTheme="minorEastAsia"/>
                <w:color w:val="000000" w:themeColor="text1"/>
                <w:sz w:val="24"/>
                <w14:textFill>
                  <w14:solidFill>
                    <w14:schemeClr w14:val="tx1"/>
                  </w14:solidFill>
                </w14:textFill>
              </w:rPr>
              <w:t>建筑垃圾为主要原料，利用水泥、石灰块、碎石、粉煤灰等作为辅料，生产轻质建筑材料（蒸养砖），年生产规模为8万m³，实现建筑垃圾的再生资源利用。项目受疫情影响等原因，建设进度有所延误，现处于设备调试及试生产阶段，加之企业流动资金困难，目前项目基本处于停滞状态，未正式投产，未申领</w:t>
            </w:r>
            <w:r>
              <w:rPr>
                <w:bCs/>
                <w:color w:val="000000" w:themeColor="text1"/>
                <w:kern w:val="21"/>
                <w:sz w:val="24"/>
                <w14:textFill>
                  <w14:solidFill>
                    <w14:schemeClr w14:val="tx1"/>
                  </w14:solidFill>
                </w14:textFill>
              </w:rPr>
              <w:t>排污许可手续，未进行项目竣工环境保护验收</w:t>
            </w:r>
            <w:r>
              <w:rPr>
                <w:b/>
                <w:color w:val="000000" w:themeColor="text1"/>
                <w:kern w:val="21"/>
                <w:sz w:val="24"/>
                <w14:textFill>
                  <w14:solidFill>
                    <w14:schemeClr w14:val="tx1"/>
                  </w14:solidFill>
                </w14:textFill>
              </w:rPr>
              <w:t>，</w:t>
            </w:r>
            <w:r>
              <w:rPr>
                <w:b/>
                <w:color w:val="000000" w:themeColor="text1"/>
                <w:sz w:val="24"/>
                <w14:textFill>
                  <w14:solidFill>
                    <w14:schemeClr w14:val="tx1"/>
                  </w14:solidFill>
                </w14:textFill>
              </w:rPr>
              <w:t>原项目无污染物产生及排放，且不涉及危险化学品的存储，不存在与项目有关的原有污染情况及主要环境问题，亦无环境遗留问题。</w:t>
            </w:r>
          </w:p>
          <w:p w14:paraId="094C7E4A">
            <w:pPr>
              <w:pStyle w:val="70"/>
              <w:spacing w:line="360" w:lineRule="auto"/>
              <w:ind w:left="0" w:right="0" w:firstLine="480" w:firstLineChars="200"/>
              <w:jc w:val="both"/>
              <w:rPr>
                <w:color w:val="000000" w:themeColor="text1"/>
                <w:kern w:val="2"/>
                <w14:textFill>
                  <w14:solidFill>
                    <w14:schemeClr w14:val="tx1"/>
                  </w14:solidFill>
                </w14:textFill>
              </w:rPr>
            </w:pPr>
            <w:r>
              <w:rPr>
                <w:color w:val="000000" w:themeColor="text1"/>
                <w14:textFill>
                  <w14:solidFill>
                    <w14:schemeClr w14:val="tx1"/>
                  </w14:solidFill>
                </w14:textFill>
              </w:rPr>
              <w:t>本次环评仅根据原环评报告进行简单的回顾性分析，</w:t>
            </w:r>
            <w:r>
              <w:rPr>
                <w:color w:val="000000" w:themeColor="text1"/>
                <w:kern w:val="2"/>
                <w14:textFill>
                  <w14:solidFill>
                    <w14:schemeClr w14:val="tx1"/>
                  </w14:solidFill>
                </w14:textFill>
              </w:rPr>
              <w:t>具体如下：</w:t>
            </w:r>
          </w:p>
          <w:p w14:paraId="2C62B118">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b/>
                <w:color w:val="000000" w:themeColor="text1"/>
                <w14:textFill>
                  <w14:solidFill>
                    <w14:schemeClr w14:val="tx1"/>
                  </w14:solidFill>
                </w14:textFill>
              </w:rPr>
              <w:t>、</w:t>
            </w:r>
            <w:r>
              <w:rPr>
                <w:b/>
                <w:bCs/>
                <w:color w:val="000000" w:themeColor="text1"/>
                <w:sz w:val="24"/>
                <w14:textFill>
                  <w14:solidFill>
                    <w14:schemeClr w14:val="tx1"/>
                  </w14:solidFill>
                </w14:textFill>
              </w:rPr>
              <w:t>原项目工艺流程</w:t>
            </w:r>
          </w:p>
          <w:p w14:paraId="173F0EE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本项目利用水泥、碎石、粉煤灰、石灰以及建筑垃圾为原料生产轻质建筑材料，其生产工艺如下图所示：</w:t>
            </w:r>
          </w:p>
          <w:p w14:paraId="6DE39D2F">
            <w:pPr>
              <w:spacing w:line="360" w:lineRule="auto"/>
              <w:ind w:firstLine="420" w:firstLineChars="200"/>
              <w:jc w:val="center"/>
              <w:rPr>
                <w:b/>
                <w:bCs/>
                <w:color w:val="000000" w:themeColor="text1"/>
                <w:szCs w:val="21"/>
                <w:lang w:val="zh-CN"/>
                <w14:textFill>
                  <w14:solidFill>
                    <w14:schemeClr w14:val="tx1"/>
                  </w14:solidFill>
                </w14:textFill>
              </w:rPr>
            </w:pPr>
            <w:r>
              <w:rPr>
                <w:color w:val="000000" w:themeColor="text1"/>
                <w14:textFill>
                  <w14:solidFill>
                    <w14:schemeClr w14:val="tx1"/>
                  </w14:solidFill>
                </w14:textFill>
              </w:rPr>
              <w:object>
                <v:shape id="_x0000_i1026" o:spt="75" type="#_x0000_t75" style="height:246.75pt;width:236.25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26" r:id="rId19">
                  <o:LockedField>false</o:LockedField>
                </o:OLEObject>
              </w:object>
            </w:r>
          </w:p>
          <w:p w14:paraId="5DD8851F">
            <w:pPr>
              <w:adjustRightInd w:val="0"/>
              <w:snapToGrid w:val="0"/>
              <w:spacing w:line="360" w:lineRule="auto"/>
              <w:ind w:firstLine="422" w:firstLineChars="200"/>
              <w:jc w:val="center"/>
              <w:rPr>
                <w:bCs/>
                <w:color w:val="000000" w:themeColor="text1"/>
                <w:sz w:val="24"/>
                <w14:textFill>
                  <w14:solidFill>
                    <w14:schemeClr w14:val="tx1"/>
                  </w14:solidFill>
                </w14:textFill>
              </w:rPr>
            </w:pPr>
            <w:r>
              <w:rPr>
                <w:b/>
                <w:color w:val="000000" w:themeColor="text1"/>
                <w14:textFill>
                  <w14:solidFill>
                    <w14:schemeClr w14:val="tx1"/>
                  </w14:solidFill>
                </w14:textFill>
              </w:rPr>
              <w:t>图2-7项目运营期工艺流程及产污环节图</w:t>
            </w:r>
          </w:p>
          <w:p w14:paraId="61542ED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工艺流程简述：</w:t>
            </w:r>
          </w:p>
          <w:p w14:paraId="554C34B4">
            <w:pPr>
              <w:pStyle w:val="78"/>
              <w:numPr>
                <w:ilvl w:val="0"/>
                <w:numId w:val="3"/>
              </w:numPr>
              <w:adjustRightInd w:val="0"/>
              <w:snapToGrid w:val="0"/>
              <w:spacing w:line="360" w:lineRule="auto"/>
              <w:ind w:firstLineChars="0"/>
              <w:rPr>
                <w:color w:val="000000" w:themeColor="text1"/>
                <w:sz w:val="24"/>
                <w14:textFill>
                  <w14:solidFill>
                    <w14:schemeClr w14:val="tx1"/>
                  </w14:solidFill>
                </w14:textFill>
              </w:rPr>
            </w:pPr>
            <w:r>
              <w:rPr>
                <w:b/>
                <w:color w:val="000000" w:themeColor="text1"/>
                <w:sz w:val="24"/>
                <w14:textFill>
                  <w14:solidFill>
                    <w14:schemeClr w14:val="tx1"/>
                  </w14:solidFill>
                </w14:textFill>
              </w:rPr>
              <w:t>原料运输与储存</w:t>
            </w:r>
          </w:p>
          <w:p w14:paraId="0D79C77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碎石、石灰块经密闭货车运送至生产车间，建筑垃圾、碎石存于原料堆存区，石灰块单独堆存于堆存区。外购的粉煤灰、水泥均为符合生产需要规格的原材料，购进的水泥、粉煤灰用专用罐车运至生产车间，经管道连接罐车与水泥筒仓、粉煤灰筒仓后用气泵输送至水泥筒仓、粉煤灰筒仓。</w:t>
            </w:r>
            <w:r>
              <w:rPr>
                <w:color w:val="000000" w:themeColor="text1"/>
                <w:sz w:val="24"/>
                <w:u w:val="single"/>
                <w14:textFill>
                  <w14:solidFill>
                    <w14:schemeClr w14:val="tx1"/>
                  </w14:solidFill>
                </w14:textFill>
              </w:rPr>
              <w:t>该过程主要产生运输装卸粉尘、噪声</w:t>
            </w:r>
            <w:r>
              <w:rPr>
                <w:color w:val="000000" w:themeColor="text1"/>
                <w:sz w:val="24"/>
                <w14:textFill>
                  <w14:solidFill>
                    <w14:schemeClr w14:val="tx1"/>
                  </w14:solidFill>
                </w14:textFill>
              </w:rPr>
              <w:t>。</w:t>
            </w:r>
          </w:p>
          <w:p w14:paraId="7DCC1CD8">
            <w:pPr>
              <w:pStyle w:val="78"/>
              <w:numPr>
                <w:ilvl w:val="0"/>
                <w:numId w:val="3"/>
              </w:numPr>
              <w:adjustRightInd w:val="0"/>
              <w:snapToGrid w:val="0"/>
              <w:spacing w:line="360" w:lineRule="auto"/>
              <w:ind w:left="0" w:firstLine="200" w:firstLineChars="0"/>
              <w:rPr>
                <w:b/>
                <w:color w:val="000000" w:themeColor="text1"/>
                <w:sz w:val="24"/>
                <w14:textFill>
                  <w14:solidFill>
                    <w14:schemeClr w14:val="tx1"/>
                  </w14:solidFill>
                </w14:textFill>
              </w:rPr>
            </w:pPr>
            <w:r>
              <w:rPr>
                <w:b/>
                <w:color w:val="000000" w:themeColor="text1"/>
                <w:sz w:val="24"/>
                <w14:textFill>
                  <w14:solidFill>
                    <w14:schemeClr w14:val="tx1"/>
                  </w14:solidFill>
                </w14:textFill>
              </w:rPr>
              <w:t>建筑垃圾与碎石破碎</w:t>
            </w:r>
          </w:p>
          <w:p w14:paraId="68ECED0D">
            <w:pPr>
              <w:adjustRightInd w:val="0"/>
              <w:snapToGrid w:val="0"/>
              <w:spacing w:line="360" w:lineRule="auto"/>
              <w:ind w:firstLine="480" w:firstLineChars="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建筑垃圾与碎石在运至厂前已预先破碎至合适的大小，在厂内通过密闭的传输带进入球磨机制砂，该过程采用湿法作业。球磨机内装载各种规格的研磨体，当球磨机回转时，物料与研磨体混合，物料与研磨体相互挤压、摩擦的过程中，将物料磨碎。球磨制砂产生的砂浆进入制砂池待用，制砂池的砂浆通过泵进入配料机。</w:t>
            </w:r>
            <w:r>
              <w:rPr>
                <w:color w:val="000000" w:themeColor="text1"/>
                <w:sz w:val="24"/>
                <w:u w:val="single"/>
                <w14:textFill>
                  <w14:solidFill>
                    <w14:schemeClr w14:val="tx1"/>
                  </w14:solidFill>
                </w14:textFill>
              </w:rPr>
              <w:t>该过程主要产生噪声。</w:t>
            </w:r>
          </w:p>
          <w:p w14:paraId="1C21810D">
            <w:pPr>
              <w:adjustRightInd w:val="0"/>
              <w:snapToGrid w:val="0"/>
              <w:spacing w:line="360" w:lineRule="auto"/>
              <w:ind w:firstLine="482" w:firstLineChars="200"/>
              <w:rPr>
                <w:color w:val="000000" w:themeColor="text1"/>
                <w:sz w:val="24"/>
                <w:u w:val="single"/>
                <w14:textFill>
                  <w14:solidFill>
                    <w14:schemeClr w14:val="tx1"/>
                  </w14:solidFill>
                </w14:textFill>
              </w:rPr>
            </w:pPr>
            <w:r>
              <w:rPr>
                <w:b/>
                <w:color w:val="000000" w:themeColor="text1"/>
                <w:sz w:val="24"/>
                <w14:textFill>
                  <w14:solidFill>
                    <w14:schemeClr w14:val="tx1"/>
                  </w14:solidFill>
                </w14:textFill>
              </w:rPr>
              <w:t>石灰块：</w:t>
            </w:r>
            <w:r>
              <w:rPr>
                <w:color w:val="000000" w:themeColor="text1"/>
                <w:sz w:val="24"/>
                <w14:textFill>
                  <w14:solidFill>
                    <w14:schemeClr w14:val="tx1"/>
                  </w14:solidFill>
                </w14:textFill>
              </w:rPr>
              <w:t>石灰块通过装载机铲至破碎机进料口进入埋设在地下的破碎机破碎，破碎后的石灰块颗粒提升斗提升至进入白灰罐1#暂存。项目破碎机密闭且位于地下，因此破碎过程的粉尘不会溢出，</w:t>
            </w:r>
            <w:r>
              <w:rPr>
                <w:color w:val="000000" w:themeColor="text1"/>
                <w:sz w:val="24"/>
                <w:u w:val="single"/>
                <w14:textFill>
                  <w14:solidFill>
                    <w14:schemeClr w14:val="tx1"/>
                  </w14:solidFill>
                </w14:textFill>
              </w:rPr>
              <w:t>该过程污染物为噪声</w:t>
            </w:r>
            <w:r>
              <w:rPr>
                <w:color w:val="000000" w:themeColor="text1"/>
                <w:sz w:val="24"/>
                <w14:textFill>
                  <w14:solidFill>
                    <w14:schemeClr w14:val="tx1"/>
                  </w14:solidFill>
                </w14:textFill>
              </w:rPr>
              <w:t>。石灰块颗粒再通过重力螺旋密闭输送带进入干式球磨机进行磨碎，磨碎后的石灰经提升机提升至白灰仓2#待用。</w:t>
            </w:r>
            <w:r>
              <w:rPr>
                <w:color w:val="000000" w:themeColor="text1"/>
                <w:sz w:val="24"/>
                <w:u w:val="single"/>
                <w14:textFill>
                  <w14:solidFill>
                    <w14:schemeClr w14:val="tx1"/>
                  </w14:solidFill>
                </w14:textFill>
              </w:rPr>
              <w:t>该过程的污染物为噪声、粉尘。</w:t>
            </w:r>
          </w:p>
          <w:p w14:paraId="62D07F01">
            <w:pPr>
              <w:adjustRightInd w:val="0"/>
              <w:snapToGrid w:val="0"/>
              <w:spacing w:line="360" w:lineRule="auto"/>
              <w:ind w:firstLine="241" w:firstLineChars="100"/>
              <w:rPr>
                <w:color w:val="000000" w:themeColor="text1"/>
                <w:sz w:val="24"/>
                <w14:textFill>
                  <w14:solidFill>
                    <w14:schemeClr w14:val="tx1"/>
                  </w14:solidFill>
                </w14:textFill>
              </w:rPr>
            </w:pPr>
            <w:r>
              <w:rPr>
                <w:b/>
                <w:color w:val="000000" w:themeColor="text1"/>
                <w:sz w:val="24"/>
                <w14:textFill>
                  <w14:solidFill>
                    <w14:schemeClr w14:val="tx1"/>
                  </w14:solidFill>
                </w14:textFill>
              </w:rPr>
              <w:t>（3）配料搅拌</w:t>
            </w:r>
          </w:p>
          <w:p w14:paraId="1649658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建筑垃圾碎石砂浆与水泥、粉煤灰、石灰等原料按照一定的比例分别经计量器中计量后进入配料机。将所需要的水按照设定流量，用水泵输送至配料机配备的加水器，均匀的喷洒在配料机内。</w:t>
            </w:r>
          </w:p>
          <w:p w14:paraId="10BE1718">
            <w:pPr>
              <w:adjustRightInd w:val="0"/>
              <w:snapToGrid w:val="0"/>
              <w:spacing w:line="360" w:lineRule="auto"/>
              <w:ind w:firstLine="480" w:firstLineChars="200"/>
              <w:rPr>
                <w:color w:val="000000" w:themeColor="text1"/>
                <w:kern w:val="0"/>
                <w:sz w:val="24"/>
                <w:u w:val="single"/>
                <w14:textFill>
                  <w14:solidFill>
                    <w14:schemeClr w14:val="tx1"/>
                  </w14:solidFill>
                </w14:textFill>
              </w:rPr>
            </w:pPr>
            <w:r>
              <w:rPr>
                <w:color w:val="000000" w:themeColor="text1"/>
                <w:sz w:val="24"/>
                <w14:textFill>
                  <w14:solidFill>
                    <w14:schemeClr w14:val="tx1"/>
                  </w14:solidFill>
                </w14:textFill>
              </w:rPr>
              <w:t>进入配料机内的物料，在配料机内螺旋桨片的搅拌下，相互之间产生挤压、磨擦、剪切、对流作用从而进行剧烈的拌合，并向出料口推移，当物料到达搅拌机出料口时，各物料已相互混合均匀，并具有压实所需要的含水量。</w:t>
            </w:r>
            <w:r>
              <w:rPr>
                <w:color w:val="000000" w:themeColor="text1"/>
                <w:sz w:val="24"/>
                <w:u w:val="single"/>
                <w14:textFill>
                  <w14:solidFill>
                    <w14:schemeClr w14:val="tx1"/>
                  </w14:solidFill>
                </w14:textFill>
              </w:rPr>
              <w:t>该工序主要产生搅拌粉尘、噪声、</w:t>
            </w:r>
            <w:r>
              <w:rPr>
                <w:color w:val="000000" w:themeColor="text1"/>
                <w:kern w:val="0"/>
                <w:sz w:val="24"/>
                <w:u w:val="single"/>
                <w14:textFill>
                  <w14:solidFill>
                    <w14:schemeClr w14:val="tx1"/>
                  </w14:solidFill>
                </w14:textFill>
              </w:rPr>
              <w:t>冲洗废水。</w:t>
            </w:r>
          </w:p>
          <w:p w14:paraId="6BF3862E">
            <w:pPr>
              <w:pStyle w:val="2"/>
            </w:pPr>
          </w:p>
          <w:p w14:paraId="05D4149E">
            <w:pPr>
              <w:adjustRightInd w:val="0"/>
              <w:snapToGrid w:val="0"/>
              <w:spacing w:line="360" w:lineRule="auto"/>
              <w:ind w:firstLine="200"/>
              <w:rPr>
                <w:b/>
                <w:color w:val="000000" w:themeColor="text1"/>
                <w:sz w:val="24"/>
                <w14:textFill>
                  <w14:solidFill>
                    <w14:schemeClr w14:val="tx1"/>
                  </w14:solidFill>
                </w14:textFill>
              </w:rPr>
            </w:pPr>
            <w:r>
              <w:rPr>
                <w:b/>
                <w:color w:val="000000" w:themeColor="text1"/>
                <w:sz w:val="24"/>
                <w14:textFill>
                  <w14:solidFill>
                    <w14:schemeClr w14:val="tx1"/>
                  </w14:solidFill>
                </w14:textFill>
              </w:rPr>
              <w:t>（4）模具成型与静停养护</w:t>
            </w:r>
          </w:p>
          <w:p w14:paraId="2696FA5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搅拌后的混凝土从配料机的出料口出来浇筑到模具内，磨具通过摆渡池进入到相应轨道区进行自然静停养护4h。</w:t>
            </w:r>
          </w:p>
          <w:p w14:paraId="2BC7DE06">
            <w:pPr>
              <w:adjustRightInd w:val="0"/>
              <w:snapToGrid w:val="0"/>
              <w:spacing w:line="360" w:lineRule="auto"/>
              <w:ind w:firstLine="200"/>
              <w:rPr>
                <w:color w:val="000000" w:themeColor="text1"/>
                <w:sz w:val="24"/>
                <w14:textFill>
                  <w14:solidFill>
                    <w14:schemeClr w14:val="tx1"/>
                  </w14:solidFill>
                </w14:textFill>
              </w:rPr>
            </w:pPr>
            <w:r>
              <w:rPr>
                <w:b/>
                <w:color w:val="000000" w:themeColor="text1"/>
                <w:sz w:val="24"/>
                <w14:textFill>
                  <w14:solidFill>
                    <w14:schemeClr w14:val="tx1"/>
                  </w14:solidFill>
                </w14:textFill>
              </w:rPr>
              <w:t>（5）切割成型</w:t>
            </w:r>
          </w:p>
          <w:p w14:paraId="421692C8">
            <w:pPr>
              <w:adjustRightInd w:val="0"/>
              <w:snapToGrid w:val="0"/>
              <w:spacing w:line="360" w:lineRule="auto"/>
              <w:ind w:firstLine="480" w:firstLineChars="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将基本成型的产品按照预定规格进行切割，该工序切割时产品未完全固化，含水率较高，切割原理为钢丝对产品进行线切割，不会产生粉尘，切割产生的边角料采用自来水冲洗，冲洗水进入沉淀池。</w:t>
            </w:r>
            <w:r>
              <w:rPr>
                <w:color w:val="000000" w:themeColor="text1"/>
                <w:sz w:val="24"/>
                <w:u w:val="single"/>
                <w14:textFill>
                  <w14:solidFill>
                    <w14:schemeClr w14:val="tx1"/>
                  </w14:solidFill>
                </w14:textFill>
              </w:rPr>
              <w:t>该过程主要产生冲洗废水。</w:t>
            </w:r>
          </w:p>
          <w:p w14:paraId="2B547F66">
            <w:pPr>
              <w:adjustRightInd w:val="0"/>
              <w:snapToGrid w:val="0"/>
              <w:spacing w:line="360" w:lineRule="auto"/>
              <w:ind w:firstLine="200"/>
              <w:rPr>
                <w:color w:val="000000" w:themeColor="text1"/>
                <w:sz w:val="24"/>
                <w14:textFill>
                  <w14:solidFill>
                    <w14:schemeClr w14:val="tx1"/>
                  </w14:solidFill>
                </w14:textFill>
              </w:rPr>
            </w:pPr>
            <w:r>
              <w:rPr>
                <w:b/>
                <w:color w:val="000000" w:themeColor="text1"/>
                <w:sz w:val="24"/>
                <w14:textFill>
                  <w14:solidFill>
                    <w14:schemeClr w14:val="tx1"/>
                  </w14:solidFill>
                </w14:textFill>
              </w:rPr>
              <w:t>（6）蒸压养护</w:t>
            </w:r>
          </w:p>
          <w:p w14:paraId="45039EF6">
            <w:pPr>
              <w:adjustRightInd w:val="0"/>
              <w:snapToGrid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本项目蒸汽养护室采用常压蒸汽养护的方式，对产品进行养护，配套4t/h 天然气蒸汽锅炉一座。蒸压室配备3台蒸压釜。</w:t>
            </w:r>
          </w:p>
          <w:p w14:paraId="1183AF03">
            <w:pPr>
              <w:adjustRightInd w:val="0"/>
              <w:snapToGrid w:val="0"/>
              <w:spacing w:line="360" w:lineRule="auto"/>
              <w:ind w:firstLine="200"/>
              <w:rPr>
                <w:color w:val="000000" w:themeColor="text1"/>
                <w:sz w:val="24"/>
                <w14:textFill>
                  <w14:solidFill>
                    <w14:schemeClr w14:val="tx1"/>
                  </w14:solidFill>
                </w14:textFill>
              </w:rPr>
            </w:pPr>
            <w:r>
              <w:rPr>
                <w:color w:val="000000" w:themeColor="text1"/>
                <w:sz w:val="24"/>
                <w14:textFill>
                  <w14:solidFill>
                    <w14:schemeClr w14:val="tx1"/>
                  </w14:solidFill>
                </w14:textFill>
              </w:rPr>
              <w:t>蒸汽养护可分为四个阶段，分别为静置期、升温期、恒温期和降温期，总持续时长为8h。产品输送至养护室后首先静置一段时间，使得内部空气排出；然后输送高温蒸汽对养护室进行升温，养护室温度逐渐升至100℃左右，该过程持续约6h；养护室温度升至100℃后，通过自动化系统（PLC）调节，通过控制蒸汽输送量使得养护室内温度保持平衡稳定，产品在100℃的蒸汽养护下，逐渐硬化、增加强度；最后进入降温期，该过程需持续</w:t>
            </w:r>
            <w:r>
              <w:rPr>
                <w:rFonts w:hint="eastAsia"/>
                <w:color w:val="000000" w:themeColor="text1"/>
                <w:sz w:val="24"/>
                <w:lang w:eastAsia="zh-CN"/>
                <w14:textFill>
                  <w14:solidFill>
                    <w14:schemeClr w14:val="tx1"/>
                  </w14:solidFill>
                </w14:textFill>
              </w:rPr>
              <w:t>缓慢地进行</w:t>
            </w:r>
            <w:r>
              <w:rPr>
                <w:color w:val="000000" w:themeColor="text1"/>
                <w:sz w:val="24"/>
                <w14:textFill>
                  <w14:solidFill>
                    <w14:schemeClr w14:val="tx1"/>
                  </w14:solidFill>
                </w14:textFill>
              </w:rPr>
              <w:t>，以免温差变化过大造成产品产生微裂缝，全过程持续约8h。降温完成后，将养护完成的产品拉出养护室，暂存于成品区。</w:t>
            </w:r>
          </w:p>
          <w:p w14:paraId="4E3BEFA6">
            <w:pPr>
              <w:adjustRightInd w:val="0"/>
              <w:snapToGrid w:val="0"/>
              <w:spacing w:line="360" w:lineRule="auto"/>
              <w:ind w:firstLine="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养护过程中的蒸汽约70%冷凝成水，回流沉淀池，剩余蒸汽在养护过程中损耗。</w:t>
            </w:r>
            <w:r>
              <w:rPr>
                <w:color w:val="000000" w:themeColor="text1"/>
                <w:sz w:val="24"/>
                <w:u w:val="single"/>
                <w14:textFill>
                  <w14:solidFill>
                    <w14:schemeClr w14:val="tx1"/>
                  </w14:solidFill>
                </w14:textFill>
              </w:rPr>
              <w:t>该工序主要产生锅炉燃烧废气。</w:t>
            </w:r>
          </w:p>
          <w:p w14:paraId="079AB2FC">
            <w:pPr>
              <w:pStyle w:val="70"/>
              <w:spacing w:line="360" w:lineRule="auto"/>
              <w:ind w:left="0" w:right="0" w:firstLine="0"/>
              <w:rPr>
                <w:b/>
                <w:bCs/>
                <w:color w:val="000000" w:themeColor="text1"/>
                <w14:textFill>
                  <w14:solidFill>
                    <w14:schemeClr w14:val="tx1"/>
                  </w14:solidFill>
                </w14:textFill>
              </w:rPr>
            </w:pPr>
            <w:r>
              <w:rPr>
                <w:b/>
                <w:bCs/>
                <w:color w:val="000000" w:themeColor="text1"/>
                <w14:textFill>
                  <w14:solidFill>
                    <w14:schemeClr w14:val="tx1"/>
                  </w14:solidFill>
                </w14:textFill>
              </w:rPr>
              <w:t>2、原项目废气产排情况</w:t>
            </w:r>
          </w:p>
          <w:p w14:paraId="4A72828E">
            <w:pPr>
              <w:pStyle w:val="70"/>
              <w:spacing w:line="360" w:lineRule="auto"/>
              <w:ind w:left="0" w:right="0" w:firstLine="0"/>
              <w:rPr>
                <w:b/>
                <w:bCs/>
                <w:color w:val="000000" w:themeColor="text1"/>
                <w14:textFill>
                  <w14:solidFill>
                    <w14:schemeClr w14:val="tx1"/>
                  </w14:solidFill>
                </w14:textFill>
              </w:rPr>
            </w:pPr>
          </w:p>
          <w:p w14:paraId="52B65E91">
            <w:pPr>
              <w:pStyle w:val="70"/>
              <w:spacing w:line="360" w:lineRule="auto"/>
              <w:ind w:left="0" w:right="0" w:firstLine="0"/>
              <w:rPr>
                <w:b/>
                <w:bCs/>
                <w:color w:val="000000" w:themeColor="text1"/>
                <w14:textFill>
                  <w14:solidFill>
                    <w14:schemeClr w14:val="tx1"/>
                  </w14:solidFill>
                </w14:textFill>
              </w:rPr>
            </w:pPr>
          </w:p>
          <w:p w14:paraId="2BBA3C74">
            <w:pPr>
              <w:pStyle w:val="70"/>
              <w:spacing w:line="360" w:lineRule="auto"/>
              <w:ind w:left="0" w:right="0" w:firstLine="0"/>
              <w:rPr>
                <w:b/>
                <w:bCs/>
                <w:color w:val="000000" w:themeColor="text1"/>
                <w14:textFill>
                  <w14:solidFill>
                    <w14:schemeClr w14:val="tx1"/>
                  </w14:solidFill>
                </w14:textFill>
              </w:rPr>
            </w:pPr>
          </w:p>
          <w:p w14:paraId="0E81267B">
            <w:pPr>
              <w:pStyle w:val="70"/>
              <w:spacing w:line="360" w:lineRule="auto"/>
              <w:ind w:left="0" w:right="0" w:firstLine="0"/>
              <w:rPr>
                <w:b/>
                <w:bCs/>
                <w:color w:val="000000" w:themeColor="text1"/>
                <w14:textFill>
                  <w14:solidFill>
                    <w14:schemeClr w14:val="tx1"/>
                  </w14:solidFill>
                </w14:textFill>
              </w:rPr>
            </w:pPr>
          </w:p>
          <w:p w14:paraId="58AEDCC8">
            <w:pPr>
              <w:pStyle w:val="70"/>
              <w:spacing w:line="360" w:lineRule="auto"/>
              <w:ind w:left="0" w:right="0" w:firstLine="0"/>
              <w:rPr>
                <w:b/>
                <w:bCs/>
                <w:color w:val="000000" w:themeColor="text1"/>
                <w14:textFill>
                  <w14:solidFill>
                    <w14:schemeClr w14:val="tx1"/>
                  </w14:solidFill>
                </w14:textFill>
              </w:rPr>
            </w:pPr>
          </w:p>
          <w:p w14:paraId="3D5880AE">
            <w:pPr>
              <w:pStyle w:val="70"/>
              <w:spacing w:line="360" w:lineRule="auto"/>
              <w:ind w:left="0" w:right="0" w:firstLine="0"/>
              <w:rPr>
                <w:b/>
                <w:bCs/>
                <w:color w:val="000000" w:themeColor="text1"/>
                <w14:textFill>
                  <w14:solidFill>
                    <w14:schemeClr w14:val="tx1"/>
                  </w14:solidFill>
                </w14:textFill>
              </w:rPr>
            </w:pPr>
          </w:p>
          <w:p w14:paraId="3C559B49">
            <w:pPr>
              <w:pStyle w:val="70"/>
              <w:spacing w:line="360" w:lineRule="auto"/>
              <w:ind w:left="0" w:right="0" w:firstLine="0"/>
              <w:rPr>
                <w:b/>
                <w:bCs/>
                <w:color w:val="000000" w:themeColor="text1"/>
                <w14:textFill>
                  <w14:solidFill>
                    <w14:schemeClr w14:val="tx1"/>
                  </w14:solidFill>
                </w14:textFill>
              </w:rPr>
            </w:pPr>
          </w:p>
          <w:p w14:paraId="20CA8EF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表2-10项目废气有组织排放一览表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917"/>
              <w:gridCol w:w="1219"/>
              <w:gridCol w:w="1223"/>
              <w:gridCol w:w="915"/>
              <w:gridCol w:w="984"/>
              <w:gridCol w:w="1259"/>
              <w:gridCol w:w="1293"/>
            </w:tblGrid>
            <w:tr w14:paraId="0720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59" w:type="pct"/>
                  <w:vAlign w:val="center"/>
                </w:tcPr>
                <w:p w14:paraId="2A36D2FA">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产污</w:t>
                  </w:r>
                </w:p>
                <w:p w14:paraId="5D057A1F">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工段</w:t>
                  </w:r>
                </w:p>
              </w:tc>
              <w:tc>
                <w:tcPr>
                  <w:tcW w:w="533" w:type="pct"/>
                  <w:vAlign w:val="center"/>
                </w:tcPr>
                <w:p w14:paraId="1310A4C0">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产生量(t/a)</w:t>
                  </w:r>
                </w:p>
              </w:tc>
              <w:tc>
                <w:tcPr>
                  <w:tcW w:w="709" w:type="pct"/>
                  <w:vAlign w:val="center"/>
                </w:tcPr>
                <w:p w14:paraId="52D7BC38">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最大产生</w:t>
                  </w:r>
                </w:p>
                <w:p w14:paraId="573835E9">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速率(kg/h)</w:t>
                  </w:r>
                </w:p>
              </w:tc>
              <w:tc>
                <w:tcPr>
                  <w:tcW w:w="711" w:type="pct"/>
                  <w:vAlign w:val="center"/>
                </w:tcPr>
                <w:p w14:paraId="433614BD">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治理措施及效率</w:t>
                  </w:r>
                </w:p>
              </w:tc>
              <w:tc>
                <w:tcPr>
                  <w:tcW w:w="532" w:type="pct"/>
                  <w:vAlign w:val="center"/>
                </w:tcPr>
                <w:p w14:paraId="5D8CC5FE">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w:t>
                  </w:r>
                </w:p>
                <w:p w14:paraId="7E21D3D2">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方式</w:t>
                  </w:r>
                </w:p>
              </w:tc>
              <w:tc>
                <w:tcPr>
                  <w:tcW w:w="572" w:type="pct"/>
                  <w:vAlign w:val="center"/>
                </w:tcPr>
                <w:p w14:paraId="04F53773">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排放量（t/a）</w:t>
                  </w:r>
                </w:p>
              </w:tc>
              <w:tc>
                <w:tcPr>
                  <w:tcW w:w="732" w:type="pct"/>
                  <w:vAlign w:val="center"/>
                </w:tcPr>
                <w:p w14:paraId="183C26E6">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最大排放速率(kg/h)</w:t>
                  </w:r>
                </w:p>
              </w:tc>
              <w:tc>
                <w:tcPr>
                  <w:tcW w:w="752" w:type="pct"/>
                  <w:vAlign w:val="center"/>
                </w:tcPr>
                <w:p w14:paraId="329A8392">
                  <w:pPr>
                    <w:pStyle w:val="3"/>
                    <w:spacing w:after="0"/>
                    <w:ind w:left="0" w:left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最大排放浓度（mg/m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r>
            <w:tr w14:paraId="6A2C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59" w:type="pct"/>
                  <w:vMerge w:val="restart"/>
                  <w:vAlign w:val="center"/>
                </w:tcPr>
                <w:p w14:paraId="0A41AB2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运输</w:t>
                  </w:r>
                </w:p>
                <w:p w14:paraId="31697838">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装卸</w:t>
                  </w:r>
                </w:p>
              </w:tc>
              <w:tc>
                <w:tcPr>
                  <w:tcW w:w="533" w:type="pct"/>
                  <w:vMerge w:val="restart"/>
                  <w:vAlign w:val="center"/>
                </w:tcPr>
                <w:p w14:paraId="62F3AAE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0.2025</w:t>
                  </w:r>
                </w:p>
              </w:tc>
              <w:tc>
                <w:tcPr>
                  <w:tcW w:w="709" w:type="pct"/>
                  <w:vMerge w:val="restart"/>
                  <w:vAlign w:val="center"/>
                </w:tcPr>
                <w:p w14:paraId="21AE31A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0.375</w:t>
                  </w:r>
                </w:p>
              </w:tc>
              <w:tc>
                <w:tcPr>
                  <w:tcW w:w="711" w:type="pct"/>
                  <w:vMerge w:val="restart"/>
                  <w:vAlign w:val="center"/>
                </w:tcPr>
                <w:p w14:paraId="1C4334A3">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封闭厂房+洒水降尘，去除率80%</w:t>
                  </w:r>
                </w:p>
              </w:tc>
              <w:tc>
                <w:tcPr>
                  <w:tcW w:w="532" w:type="pct"/>
                  <w:vAlign w:val="center"/>
                </w:tcPr>
                <w:p w14:paraId="386CD13C">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572" w:type="pct"/>
                  <w:vAlign w:val="center"/>
                </w:tcPr>
                <w:p w14:paraId="01C5D296">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32" w:type="pct"/>
                  <w:vAlign w:val="center"/>
                </w:tcPr>
                <w:p w14:paraId="1CB3984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52" w:type="pct"/>
                  <w:vAlign w:val="center"/>
                </w:tcPr>
                <w:p w14:paraId="7699E1F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4022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9" w:type="pct"/>
                  <w:vMerge w:val="continue"/>
                  <w:vAlign w:val="center"/>
                </w:tcPr>
                <w:p w14:paraId="0969201D">
                  <w:pPr>
                    <w:pStyle w:val="3"/>
                    <w:spacing w:after="0"/>
                    <w:ind w:left="0" w:leftChars="0"/>
                    <w:jc w:val="center"/>
                    <w:rPr>
                      <w:color w:val="000000" w:themeColor="text1"/>
                      <w:sz w:val="21"/>
                      <w:szCs w:val="21"/>
                      <w14:textFill>
                        <w14:solidFill>
                          <w14:schemeClr w14:val="tx1"/>
                        </w14:solidFill>
                      </w14:textFill>
                    </w:rPr>
                  </w:pPr>
                </w:p>
              </w:tc>
              <w:tc>
                <w:tcPr>
                  <w:tcW w:w="533" w:type="pct"/>
                  <w:vMerge w:val="continue"/>
                  <w:vAlign w:val="center"/>
                </w:tcPr>
                <w:p w14:paraId="17F2DF5E">
                  <w:pPr>
                    <w:pStyle w:val="3"/>
                    <w:spacing w:after="0"/>
                    <w:ind w:left="0" w:leftChars="0"/>
                    <w:jc w:val="center"/>
                    <w:rPr>
                      <w:color w:val="000000" w:themeColor="text1"/>
                      <w:sz w:val="21"/>
                      <w:szCs w:val="21"/>
                      <w14:textFill>
                        <w14:solidFill>
                          <w14:schemeClr w14:val="tx1"/>
                        </w14:solidFill>
                      </w14:textFill>
                    </w:rPr>
                  </w:pPr>
                </w:p>
              </w:tc>
              <w:tc>
                <w:tcPr>
                  <w:tcW w:w="709" w:type="pct"/>
                  <w:vMerge w:val="continue"/>
                  <w:vAlign w:val="center"/>
                </w:tcPr>
                <w:p w14:paraId="320643F4">
                  <w:pPr>
                    <w:pStyle w:val="3"/>
                    <w:spacing w:after="0"/>
                    <w:ind w:left="0" w:leftChars="0"/>
                    <w:jc w:val="center"/>
                    <w:rPr>
                      <w:color w:val="000000" w:themeColor="text1"/>
                      <w:sz w:val="21"/>
                      <w:szCs w:val="21"/>
                      <w14:textFill>
                        <w14:solidFill>
                          <w14:schemeClr w14:val="tx1"/>
                        </w14:solidFill>
                      </w14:textFill>
                    </w:rPr>
                  </w:pPr>
                </w:p>
              </w:tc>
              <w:tc>
                <w:tcPr>
                  <w:tcW w:w="711" w:type="pct"/>
                  <w:vMerge w:val="continue"/>
                  <w:vAlign w:val="center"/>
                </w:tcPr>
                <w:p w14:paraId="2540F1B5">
                  <w:pPr>
                    <w:pStyle w:val="3"/>
                    <w:spacing w:after="0"/>
                    <w:ind w:left="0" w:leftChars="0"/>
                    <w:jc w:val="center"/>
                    <w:rPr>
                      <w:color w:val="000000" w:themeColor="text1"/>
                      <w:sz w:val="21"/>
                      <w:szCs w:val="21"/>
                      <w14:textFill>
                        <w14:solidFill>
                          <w14:schemeClr w14:val="tx1"/>
                        </w14:solidFill>
                      </w14:textFill>
                    </w:rPr>
                  </w:pPr>
                </w:p>
              </w:tc>
              <w:tc>
                <w:tcPr>
                  <w:tcW w:w="532" w:type="pct"/>
                  <w:vAlign w:val="center"/>
                </w:tcPr>
                <w:p w14:paraId="3F66B0F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572" w:type="pct"/>
                  <w:vAlign w:val="center"/>
                </w:tcPr>
                <w:p w14:paraId="04341D1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0.0405</w:t>
                  </w:r>
                </w:p>
              </w:tc>
              <w:tc>
                <w:tcPr>
                  <w:tcW w:w="732" w:type="pct"/>
                  <w:vAlign w:val="center"/>
                </w:tcPr>
                <w:p w14:paraId="18548CD1">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0.075</w:t>
                  </w:r>
                </w:p>
              </w:tc>
              <w:tc>
                <w:tcPr>
                  <w:tcW w:w="752" w:type="pct"/>
                  <w:vAlign w:val="center"/>
                </w:tcPr>
                <w:p w14:paraId="65D8E88B">
                  <w:pPr>
                    <w:pStyle w:val="3"/>
                    <w:spacing w:after="0"/>
                    <w:ind w:left="0" w:leftChars="0"/>
                    <w:jc w:val="center"/>
                    <w:rPr>
                      <w:color w:val="000000" w:themeColor="text1"/>
                      <w:sz w:val="21"/>
                      <w:szCs w:val="21"/>
                      <w14:textFill>
                        <w14:solidFill>
                          <w14:schemeClr w14:val="tx1"/>
                        </w14:solidFill>
                      </w14:textFill>
                    </w:rPr>
                  </w:pPr>
                </w:p>
              </w:tc>
            </w:tr>
            <w:tr w14:paraId="6EAC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59" w:type="pct"/>
                  <w:vMerge w:val="restart"/>
                  <w:vAlign w:val="center"/>
                </w:tcPr>
                <w:p w14:paraId="4F2F4E56">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石灰块球磨</w:t>
                  </w:r>
                </w:p>
              </w:tc>
              <w:tc>
                <w:tcPr>
                  <w:tcW w:w="533" w:type="pct"/>
                  <w:vMerge w:val="restart"/>
                  <w:vAlign w:val="center"/>
                </w:tcPr>
                <w:p w14:paraId="062C6D4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0.3375</w:t>
                  </w:r>
                </w:p>
              </w:tc>
              <w:tc>
                <w:tcPr>
                  <w:tcW w:w="709" w:type="pct"/>
                  <w:vMerge w:val="restart"/>
                  <w:vAlign w:val="center"/>
                </w:tcPr>
                <w:p w14:paraId="31E40A15">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711" w:type="pct"/>
                  <w:vMerge w:val="restart"/>
                  <w:vAlign w:val="center"/>
                </w:tcPr>
                <w:p w14:paraId="1A69A1ED">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集气系统（收集率90%）+布袋除尘器（去除99.8%）</w:t>
                  </w:r>
                </w:p>
              </w:tc>
              <w:tc>
                <w:tcPr>
                  <w:tcW w:w="532" w:type="pct"/>
                  <w:vAlign w:val="center"/>
                </w:tcPr>
                <w:p w14:paraId="36C0E99E">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572" w:type="pct"/>
                  <w:vAlign w:val="center"/>
                </w:tcPr>
                <w:p w14:paraId="7383A6A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0.0014</w:t>
                  </w:r>
                </w:p>
              </w:tc>
              <w:tc>
                <w:tcPr>
                  <w:tcW w:w="732" w:type="pct"/>
                  <w:vAlign w:val="center"/>
                </w:tcPr>
                <w:p w14:paraId="0054BF89">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0.0045</w:t>
                  </w:r>
                </w:p>
              </w:tc>
              <w:tc>
                <w:tcPr>
                  <w:tcW w:w="752" w:type="pct"/>
                  <w:vAlign w:val="center"/>
                </w:tcPr>
                <w:p w14:paraId="6321C1A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w:t>
                  </w:r>
                </w:p>
              </w:tc>
            </w:tr>
            <w:tr w14:paraId="59E7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9" w:type="pct"/>
                  <w:vMerge w:val="continue"/>
                  <w:vAlign w:val="center"/>
                </w:tcPr>
                <w:p w14:paraId="02592A94">
                  <w:pPr>
                    <w:pStyle w:val="3"/>
                    <w:spacing w:after="0"/>
                    <w:ind w:left="0" w:leftChars="0"/>
                    <w:jc w:val="center"/>
                    <w:rPr>
                      <w:color w:val="000000" w:themeColor="text1"/>
                      <w:sz w:val="21"/>
                      <w:szCs w:val="21"/>
                      <w14:textFill>
                        <w14:solidFill>
                          <w14:schemeClr w14:val="tx1"/>
                        </w14:solidFill>
                      </w14:textFill>
                    </w:rPr>
                  </w:pPr>
                </w:p>
              </w:tc>
              <w:tc>
                <w:tcPr>
                  <w:tcW w:w="533" w:type="pct"/>
                  <w:vMerge w:val="continue"/>
                  <w:vAlign w:val="center"/>
                </w:tcPr>
                <w:p w14:paraId="343BE207">
                  <w:pPr>
                    <w:pStyle w:val="3"/>
                    <w:spacing w:after="0"/>
                    <w:ind w:left="0" w:leftChars="0"/>
                    <w:jc w:val="center"/>
                    <w:rPr>
                      <w:color w:val="000000" w:themeColor="text1"/>
                      <w:sz w:val="21"/>
                      <w:szCs w:val="21"/>
                      <w14:textFill>
                        <w14:solidFill>
                          <w14:schemeClr w14:val="tx1"/>
                        </w14:solidFill>
                      </w14:textFill>
                    </w:rPr>
                  </w:pPr>
                </w:p>
              </w:tc>
              <w:tc>
                <w:tcPr>
                  <w:tcW w:w="709" w:type="pct"/>
                  <w:vMerge w:val="continue"/>
                  <w:vAlign w:val="center"/>
                </w:tcPr>
                <w:p w14:paraId="2B70B05F">
                  <w:pPr>
                    <w:pStyle w:val="3"/>
                    <w:spacing w:after="0"/>
                    <w:ind w:left="0" w:leftChars="0"/>
                    <w:jc w:val="center"/>
                    <w:rPr>
                      <w:color w:val="000000" w:themeColor="text1"/>
                      <w:sz w:val="21"/>
                      <w:szCs w:val="21"/>
                      <w14:textFill>
                        <w14:solidFill>
                          <w14:schemeClr w14:val="tx1"/>
                        </w14:solidFill>
                      </w14:textFill>
                    </w:rPr>
                  </w:pPr>
                </w:p>
              </w:tc>
              <w:tc>
                <w:tcPr>
                  <w:tcW w:w="711" w:type="pct"/>
                  <w:vMerge w:val="continue"/>
                  <w:vAlign w:val="center"/>
                </w:tcPr>
                <w:p w14:paraId="68136E11">
                  <w:pPr>
                    <w:pStyle w:val="3"/>
                    <w:spacing w:after="0"/>
                    <w:ind w:left="0" w:leftChars="0"/>
                    <w:jc w:val="center"/>
                    <w:rPr>
                      <w:color w:val="000000" w:themeColor="text1"/>
                      <w:sz w:val="21"/>
                      <w:szCs w:val="21"/>
                      <w14:textFill>
                        <w14:solidFill>
                          <w14:schemeClr w14:val="tx1"/>
                        </w14:solidFill>
                      </w14:textFill>
                    </w:rPr>
                  </w:pPr>
                </w:p>
              </w:tc>
              <w:tc>
                <w:tcPr>
                  <w:tcW w:w="532" w:type="pct"/>
                  <w:vAlign w:val="center"/>
                </w:tcPr>
                <w:p w14:paraId="2EAC381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572" w:type="pct"/>
                  <w:vAlign w:val="center"/>
                </w:tcPr>
                <w:p w14:paraId="7260EB3B">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0.075</w:t>
                  </w:r>
                </w:p>
              </w:tc>
              <w:tc>
                <w:tcPr>
                  <w:tcW w:w="732" w:type="pct"/>
                  <w:vAlign w:val="center"/>
                </w:tcPr>
                <w:p w14:paraId="235AC543">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0.25</w:t>
                  </w:r>
                </w:p>
              </w:tc>
              <w:tc>
                <w:tcPr>
                  <w:tcW w:w="752" w:type="pct"/>
                  <w:vAlign w:val="center"/>
                </w:tcPr>
                <w:p w14:paraId="7BA2ACA3">
                  <w:pPr>
                    <w:pStyle w:val="3"/>
                    <w:spacing w:after="0"/>
                    <w:ind w:left="0" w:leftChars="0"/>
                    <w:jc w:val="center"/>
                    <w:rPr>
                      <w:color w:val="000000" w:themeColor="text1"/>
                      <w:sz w:val="21"/>
                      <w:szCs w:val="21"/>
                      <w14:textFill>
                        <w14:solidFill>
                          <w14:schemeClr w14:val="tx1"/>
                        </w14:solidFill>
                      </w14:textFill>
                    </w:rPr>
                  </w:pPr>
                </w:p>
              </w:tc>
            </w:tr>
            <w:tr w14:paraId="41C0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9" w:type="pct"/>
                  <w:vMerge w:val="restart"/>
                  <w:vAlign w:val="center"/>
                </w:tcPr>
                <w:p w14:paraId="53876899">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粉料</w:t>
                  </w:r>
                </w:p>
                <w:p w14:paraId="7AABEBD7">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筒仓</w:t>
                  </w:r>
                </w:p>
              </w:tc>
              <w:tc>
                <w:tcPr>
                  <w:tcW w:w="533" w:type="pct"/>
                  <w:vMerge w:val="restart"/>
                  <w:vAlign w:val="center"/>
                </w:tcPr>
                <w:p w14:paraId="50DF6876">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709" w:type="pct"/>
                  <w:vMerge w:val="restart"/>
                  <w:vAlign w:val="center"/>
                </w:tcPr>
                <w:p w14:paraId="23222D5C">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711" w:type="pct"/>
                  <w:vMerge w:val="restart"/>
                  <w:vAlign w:val="center"/>
                </w:tcPr>
                <w:p w14:paraId="4B088CFD">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集气系统（收集率98%）+布袋除尘器（去除99.8%）</w:t>
                  </w:r>
                </w:p>
              </w:tc>
              <w:tc>
                <w:tcPr>
                  <w:tcW w:w="532" w:type="pct"/>
                  <w:vAlign w:val="center"/>
                </w:tcPr>
                <w:p w14:paraId="11965B74">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572" w:type="pct"/>
                  <w:vAlign w:val="center"/>
                </w:tcPr>
                <w:p w14:paraId="225B7665">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0.0047</w:t>
                  </w:r>
                </w:p>
              </w:tc>
              <w:tc>
                <w:tcPr>
                  <w:tcW w:w="732" w:type="pct"/>
                  <w:vAlign w:val="center"/>
                </w:tcPr>
                <w:p w14:paraId="7A9A93BB">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0.0235</w:t>
                  </w:r>
                </w:p>
              </w:tc>
              <w:tc>
                <w:tcPr>
                  <w:tcW w:w="752" w:type="pct"/>
                  <w:vAlign w:val="center"/>
                </w:tcPr>
                <w:p w14:paraId="187D0370">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4.704</w:t>
                  </w:r>
                </w:p>
              </w:tc>
            </w:tr>
            <w:tr w14:paraId="5A15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9" w:type="pct"/>
                  <w:vMerge w:val="continue"/>
                  <w:vAlign w:val="center"/>
                </w:tcPr>
                <w:p w14:paraId="52A09328">
                  <w:pPr>
                    <w:pStyle w:val="3"/>
                    <w:spacing w:after="0"/>
                    <w:ind w:left="0" w:leftChars="0"/>
                    <w:jc w:val="center"/>
                    <w:rPr>
                      <w:color w:val="000000" w:themeColor="text1"/>
                      <w:sz w:val="21"/>
                      <w:szCs w:val="21"/>
                      <w14:textFill>
                        <w14:solidFill>
                          <w14:schemeClr w14:val="tx1"/>
                        </w14:solidFill>
                      </w14:textFill>
                    </w:rPr>
                  </w:pPr>
                </w:p>
              </w:tc>
              <w:tc>
                <w:tcPr>
                  <w:tcW w:w="533" w:type="pct"/>
                  <w:vMerge w:val="continue"/>
                  <w:vAlign w:val="center"/>
                </w:tcPr>
                <w:p w14:paraId="6E85D33C">
                  <w:pPr>
                    <w:pStyle w:val="3"/>
                    <w:spacing w:after="0"/>
                    <w:ind w:left="0" w:leftChars="0"/>
                    <w:jc w:val="center"/>
                    <w:rPr>
                      <w:color w:val="000000" w:themeColor="text1"/>
                      <w:sz w:val="21"/>
                      <w:szCs w:val="21"/>
                      <w14:textFill>
                        <w14:solidFill>
                          <w14:schemeClr w14:val="tx1"/>
                        </w14:solidFill>
                      </w14:textFill>
                    </w:rPr>
                  </w:pPr>
                </w:p>
              </w:tc>
              <w:tc>
                <w:tcPr>
                  <w:tcW w:w="709" w:type="pct"/>
                  <w:vMerge w:val="continue"/>
                  <w:vAlign w:val="center"/>
                </w:tcPr>
                <w:p w14:paraId="542BA0D0">
                  <w:pPr>
                    <w:pStyle w:val="3"/>
                    <w:spacing w:after="0"/>
                    <w:ind w:left="0" w:leftChars="0"/>
                    <w:jc w:val="center"/>
                    <w:rPr>
                      <w:color w:val="000000" w:themeColor="text1"/>
                      <w:sz w:val="21"/>
                      <w:szCs w:val="21"/>
                      <w14:textFill>
                        <w14:solidFill>
                          <w14:schemeClr w14:val="tx1"/>
                        </w14:solidFill>
                      </w14:textFill>
                    </w:rPr>
                  </w:pPr>
                </w:p>
              </w:tc>
              <w:tc>
                <w:tcPr>
                  <w:tcW w:w="711" w:type="pct"/>
                  <w:vMerge w:val="continue"/>
                  <w:vAlign w:val="center"/>
                </w:tcPr>
                <w:p w14:paraId="43258B29">
                  <w:pPr>
                    <w:pStyle w:val="3"/>
                    <w:spacing w:after="0"/>
                    <w:ind w:left="0" w:leftChars="0"/>
                    <w:jc w:val="center"/>
                    <w:rPr>
                      <w:color w:val="000000" w:themeColor="text1"/>
                      <w:sz w:val="21"/>
                      <w:szCs w:val="21"/>
                      <w14:textFill>
                        <w14:solidFill>
                          <w14:schemeClr w14:val="tx1"/>
                        </w14:solidFill>
                      </w14:textFill>
                    </w:rPr>
                  </w:pPr>
                </w:p>
              </w:tc>
              <w:tc>
                <w:tcPr>
                  <w:tcW w:w="532" w:type="pct"/>
                  <w:vAlign w:val="center"/>
                </w:tcPr>
                <w:p w14:paraId="54BBFC2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572" w:type="pct"/>
                  <w:vAlign w:val="center"/>
                </w:tcPr>
                <w:p w14:paraId="3025F97C">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0.048</w:t>
                  </w:r>
                </w:p>
              </w:tc>
              <w:tc>
                <w:tcPr>
                  <w:tcW w:w="732" w:type="pct"/>
                  <w:vAlign w:val="center"/>
                </w:tcPr>
                <w:p w14:paraId="7180E21E">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0.24</w:t>
                  </w:r>
                </w:p>
              </w:tc>
              <w:tc>
                <w:tcPr>
                  <w:tcW w:w="752" w:type="pct"/>
                  <w:vAlign w:val="center"/>
                </w:tcPr>
                <w:p w14:paraId="12EE534B">
                  <w:pPr>
                    <w:pStyle w:val="3"/>
                    <w:spacing w:after="0"/>
                    <w:ind w:left="0" w:leftChars="0"/>
                    <w:jc w:val="center"/>
                    <w:rPr>
                      <w:color w:val="000000" w:themeColor="text1"/>
                      <w:sz w:val="21"/>
                      <w:szCs w:val="21"/>
                      <w14:textFill>
                        <w14:solidFill>
                          <w14:schemeClr w14:val="tx1"/>
                        </w14:solidFill>
                      </w14:textFill>
                    </w:rPr>
                  </w:pPr>
                </w:p>
              </w:tc>
            </w:tr>
            <w:tr w14:paraId="3BAC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9" w:type="pct"/>
                  <w:vMerge w:val="restart"/>
                  <w:vAlign w:val="center"/>
                </w:tcPr>
                <w:p w14:paraId="0A0FAAD1">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配料搅拌</w:t>
                  </w:r>
                </w:p>
              </w:tc>
              <w:tc>
                <w:tcPr>
                  <w:tcW w:w="533" w:type="pct"/>
                  <w:vMerge w:val="restart"/>
                  <w:vAlign w:val="center"/>
                </w:tcPr>
                <w:p w14:paraId="1183BE57">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0.9233</w:t>
                  </w:r>
                </w:p>
              </w:tc>
              <w:tc>
                <w:tcPr>
                  <w:tcW w:w="709" w:type="pct"/>
                  <w:vMerge w:val="restart"/>
                  <w:vAlign w:val="center"/>
                </w:tcPr>
                <w:p w14:paraId="1C9ABA35">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11" w:type="pct"/>
                  <w:vMerge w:val="continue"/>
                  <w:vAlign w:val="center"/>
                </w:tcPr>
                <w:p w14:paraId="45B0D4FD">
                  <w:pPr>
                    <w:pStyle w:val="3"/>
                    <w:spacing w:after="0"/>
                    <w:ind w:left="0" w:leftChars="0"/>
                    <w:jc w:val="center"/>
                    <w:rPr>
                      <w:color w:val="000000" w:themeColor="text1"/>
                      <w:sz w:val="21"/>
                      <w:szCs w:val="21"/>
                      <w14:textFill>
                        <w14:solidFill>
                          <w14:schemeClr w14:val="tx1"/>
                        </w14:solidFill>
                      </w14:textFill>
                    </w:rPr>
                  </w:pPr>
                </w:p>
              </w:tc>
              <w:tc>
                <w:tcPr>
                  <w:tcW w:w="532" w:type="pct"/>
                  <w:vAlign w:val="center"/>
                </w:tcPr>
                <w:p w14:paraId="36E371C4">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572" w:type="pct"/>
                  <w:vAlign w:val="center"/>
                </w:tcPr>
                <w:p w14:paraId="2BE32D8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0.0012</w:t>
                  </w:r>
                </w:p>
              </w:tc>
              <w:tc>
                <w:tcPr>
                  <w:tcW w:w="732" w:type="pct"/>
                  <w:vAlign w:val="center"/>
                </w:tcPr>
                <w:p w14:paraId="3A606E42">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752" w:type="pct"/>
                  <w:vAlign w:val="center"/>
                </w:tcPr>
                <w:p w14:paraId="51121E8C">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0.3920</w:t>
                  </w:r>
                </w:p>
              </w:tc>
            </w:tr>
            <w:tr w14:paraId="767F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9" w:type="pct"/>
                  <w:vMerge w:val="continue"/>
                  <w:vAlign w:val="center"/>
                </w:tcPr>
                <w:p w14:paraId="1E3E5E53">
                  <w:pPr>
                    <w:pStyle w:val="3"/>
                    <w:spacing w:after="0"/>
                    <w:ind w:left="0" w:leftChars="0"/>
                    <w:jc w:val="center"/>
                    <w:rPr>
                      <w:color w:val="000000" w:themeColor="text1"/>
                      <w:sz w:val="21"/>
                      <w:szCs w:val="21"/>
                      <w14:textFill>
                        <w14:solidFill>
                          <w14:schemeClr w14:val="tx1"/>
                        </w14:solidFill>
                      </w14:textFill>
                    </w:rPr>
                  </w:pPr>
                </w:p>
              </w:tc>
              <w:tc>
                <w:tcPr>
                  <w:tcW w:w="533" w:type="pct"/>
                  <w:vMerge w:val="continue"/>
                  <w:vAlign w:val="center"/>
                </w:tcPr>
                <w:p w14:paraId="0A4921EC">
                  <w:pPr>
                    <w:pStyle w:val="3"/>
                    <w:spacing w:after="0"/>
                    <w:ind w:left="0" w:leftChars="0"/>
                    <w:jc w:val="center"/>
                    <w:rPr>
                      <w:color w:val="000000" w:themeColor="text1"/>
                      <w:sz w:val="21"/>
                      <w:szCs w:val="21"/>
                      <w14:textFill>
                        <w14:solidFill>
                          <w14:schemeClr w14:val="tx1"/>
                        </w14:solidFill>
                      </w14:textFill>
                    </w:rPr>
                  </w:pPr>
                </w:p>
              </w:tc>
              <w:tc>
                <w:tcPr>
                  <w:tcW w:w="709" w:type="pct"/>
                  <w:vMerge w:val="continue"/>
                  <w:vAlign w:val="center"/>
                </w:tcPr>
                <w:p w14:paraId="23711CAA">
                  <w:pPr>
                    <w:pStyle w:val="3"/>
                    <w:spacing w:after="0"/>
                    <w:ind w:left="0" w:leftChars="0"/>
                    <w:jc w:val="center"/>
                    <w:rPr>
                      <w:color w:val="000000" w:themeColor="text1"/>
                      <w:sz w:val="21"/>
                      <w:szCs w:val="21"/>
                      <w14:textFill>
                        <w14:solidFill>
                          <w14:schemeClr w14:val="tx1"/>
                        </w14:solidFill>
                      </w14:textFill>
                    </w:rPr>
                  </w:pPr>
                </w:p>
              </w:tc>
              <w:tc>
                <w:tcPr>
                  <w:tcW w:w="711" w:type="pct"/>
                  <w:vMerge w:val="continue"/>
                  <w:vAlign w:val="center"/>
                </w:tcPr>
                <w:p w14:paraId="13574A67">
                  <w:pPr>
                    <w:pStyle w:val="3"/>
                    <w:spacing w:after="0"/>
                    <w:ind w:left="0" w:leftChars="0"/>
                    <w:jc w:val="center"/>
                    <w:rPr>
                      <w:color w:val="000000" w:themeColor="text1"/>
                      <w:sz w:val="21"/>
                      <w:szCs w:val="21"/>
                      <w14:textFill>
                        <w14:solidFill>
                          <w14:schemeClr w14:val="tx1"/>
                        </w14:solidFill>
                      </w14:textFill>
                    </w:rPr>
                  </w:pPr>
                </w:p>
              </w:tc>
              <w:tc>
                <w:tcPr>
                  <w:tcW w:w="532" w:type="pct"/>
                  <w:vAlign w:val="center"/>
                </w:tcPr>
                <w:p w14:paraId="249F7D3C">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572" w:type="pct"/>
                  <w:vAlign w:val="center"/>
                </w:tcPr>
                <w:p w14:paraId="3F285E74">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0.012</w:t>
                  </w:r>
                </w:p>
              </w:tc>
              <w:tc>
                <w:tcPr>
                  <w:tcW w:w="732" w:type="pct"/>
                  <w:vAlign w:val="center"/>
                </w:tcPr>
                <w:p w14:paraId="7AF47C66">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w:t>
                  </w:r>
                </w:p>
              </w:tc>
              <w:tc>
                <w:tcPr>
                  <w:tcW w:w="752" w:type="pct"/>
                  <w:vAlign w:val="center"/>
                </w:tcPr>
                <w:p w14:paraId="19F37040">
                  <w:pPr>
                    <w:pStyle w:val="3"/>
                    <w:spacing w:after="0"/>
                    <w:ind w:left="0" w:leftChars="0"/>
                    <w:jc w:val="center"/>
                    <w:rPr>
                      <w:color w:val="000000" w:themeColor="text1"/>
                      <w:sz w:val="21"/>
                      <w:szCs w:val="21"/>
                      <w14:textFill>
                        <w14:solidFill>
                          <w14:schemeClr w14:val="tx1"/>
                        </w14:solidFill>
                      </w14:textFill>
                    </w:rPr>
                  </w:pPr>
                </w:p>
              </w:tc>
            </w:tr>
            <w:tr w14:paraId="0B97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944" w:type="pct"/>
                  <w:gridSpan w:val="5"/>
                  <w:vAlign w:val="center"/>
                </w:tcPr>
                <w:p w14:paraId="2DAACDE8">
                  <w:pPr>
                    <w:pStyle w:val="3"/>
                    <w:wordWrap w:val="0"/>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《水泥工业大气污染物排放标准》（GB4915-2013）散装水泥及水泥制品生产标准限值</w:t>
                  </w:r>
                </w:p>
              </w:tc>
              <w:tc>
                <w:tcPr>
                  <w:tcW w:w="572" w:type="pct"/>
                  <w:vAlign w:val="center"/>
                </w:tcPr>
                <w:p w14:paraId="4C26AD5C">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32" w:type="pct"/>
                  <w:vAlign w:val="center"/>
                </w:tcPr>
                <w:p w14:paraId="48CE1FDF">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52" w:type="pct"/>
                  <w:vAlign w:val="center"/>
                </w:tcPr>
                <w:p w14:paraId="6C98C6FE">
                  <w:pPr>
                    <w:pStyle w:val="3"/>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bl>
          <w:p w14:paraId="7715DB7F">
            <w:pPr>
              <w:spacing w:line="480" w:lineRule="exact"/>
              <w:ind w:firstLine="454"/>
              <w:rPr>
                <w:color w:val="000000" w:themeColor="text1"/>
                <w:sz w:val="24"/>
                <w14:textFill>
                  <w14:solidFill>
                    <w14:schemeClr w14:val="tx1"/>
                  </w14:solidFill>
                </w14:textFill>
              </w:rPr>
            </w:pPr>
            <w:r>
              <w:rPr>
                <w:color w:val="000000" w:themeColor="text1"/>
                <w:sz w:val="24"/>
                <w14:textFill>
                  <w14:solidFill>
                    <w14:schemeClr w14:val="tx1"/>
                  </w14:solidFill>
                </w14:textFill>
              </w:rPr>
              <w:t>原项目锅炉废气产生与排放</w:t>
            </w:r>
          </w:p>
          <w:p w14:paraId="0666C0D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表2-11 锅炉废气排放一览表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1709"/>
              <w:gridCol w:w="1809"/>
              <w:gridCol w:w="3077"/>
            </w:tblGrid>
            <w:tr w14:paraId="3202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5" w:type="pct"/>
                  <w:vAlign w:val="center"/>
                </w:tcPr>
                <w:p w14:paraId="0BD8F1C6">
                  <w:pPr>
                    <w:pStyle w:val="46"/>
                    <w:spacing w:beforeLines="0" w:afterLines="0" w:line="240" w:lineRule="auto"/>
                    <w:rPr>
                      <w:rFonts w:ascii="Times New Roman"/>
                      <w:b/>
                      <w:color w:val="000000" w:themeColor="text1"/>
                      <w:szCs w:val="21"/>
                      <w14:textFill>
                        <w14:solidFill>
                          <w14:schemeClr w14:val="tx1"/>
                        </w14:solidFill>
                      </w14:textFill>
                    </w:rPr>
                  </w:pPr>
                  <w:r>
                    <w:rPr>
                      <w:rFonts w:ascii="Times New Roman"/>
                      <w:b/>
                      <w:color w:val="000000" w:themeColor="text1"/>
                      <w:szCs w:val="21"/>
                      <w14:textFill>
                        <w14:solidFill>
                          <w14:schemeClr w14:val="tx1"/>
                        </w14:solidFill>
                      </w14:textFill>
                    </w:rPr>
                    <w:t>项目</w:t>
                  </w:r>
                </w:p>
              </w:tc>
              <w:tc>
                <w:tcPr>
                  <w:tcW w:w="994" w:type="pct"/>
                  <w:vAlign w:val="center"/>
                </w:tcPr>
                <w:p w14:paraId="50743CE1">
                  <w:pPr>
                    <w:pStyle w:val="46"/>
                    <w:spacing w:beforeLines="0" w:afterLines="0" w:line="240" w:lineRule="auto"/>
                    <w:rPr>
                      <w:rFonts w:ascii="Times New Roman"/>
                      <w:b/>
                      <w:color w:val="000000" w:themeColor="text1"/>
                      <w:szCs w:val="21"/>
                      <w14:textFill>
                        <w14:solidFill>
                          <w14:schemeClr w14:val="tx1"/>
                        </w14:solidFill>
                      </w14:textFill>
                    </w:rPr>
                  </w:pPr>
                  <w:r>
                    <w:rPr>
                      <w:rFonts w:ascii="Times New Roman"/>
                      <w:b/>
                      <w:color w:val="000000" w:themeColor="text1"/>
                      <w:szCs w:val="21"/>
                      <w14:textFill>
                        <w14:solidFill>
                          <w14:schemeClr w14:val="tx1"/>
                        </w14:solidFill>
                      </w14:textFill>
                    </w:rPr>
                    <w:t>烟尘</w:t>
                  </w:r>
                </w:p>
              </w:tc>
              <w:tc>
                <w:tcPr>
                  <w:tcW w:w="1052" w:type="pct"/>
                  <w:vAlign w:val="center"/>
                </w:tcPr>
                <w:p w14:paraId="2CD0989F">
                  <w:pPr>
                    <w:pStyle w:val="46"/>
                    <w:spacing w:beforeLines="0" w:afterLines="0" w:line="240" w:lineRule="auto"/>
                    <w:rPr>
                      <w:rFonts w:ascii="Times New Roman"/>
                      <w:b/>
                      <w:color w:val="000000" w:themeColor="text1"/>
                      <w:szCs w:val="21"/>
                      <w14:textFill>
                        <w14:solidFill>
                          <w14:schemeClr w14:val="tx1"/>
                        </w14:solidFill>
                      </w14:textFill>
                    </w:rPr>
                  </w:pPr>
                  <w:r>
                    <w:rPr>
                      <w:rFonts w:ascii="Times New Roman"/>
                      <w:b/>
                      <w:color w:val="000000" w:themeColor="text1"/>
                      <w:szCs w:val="21"/>
                      <w14:textFill>
                        <w14:solidFill>
                          <w14:schemeClr w14:val="tx1"/>
                        </w14:solidFill>
                      </w14:textFill>
                    </w:rPr>
                    <w:t>SO</w:t>
                  </w:r>
                  <w:r>
                    <w:rPr>
                      <w:rFonts w:ascii="Times New Roman"/>
                      <w:b/>
                      <w:color w:val="000000" w:themeColor="text1"/>
                      <w:szCs w:val="21"/>
                      <w:vertAlign w:val="subscript"/>
                      <w14:textFill>
                        <w14:solidFill>
                          <w14:schemeClr w14:val="tx1"/>
                        </w14:solidFill>
                      </w14:textFill>
                    </w:rPr>
                    <w:t>2</w:t>
                  </w:r>
                </w:p>
              </w:tc>
              <w:tc>
                <w:tcPr>
                  <w:tcW w:w="1789" w:type="pct"/>
                  <w:vAlign w:val="center"/>
                </w:tcPr>
                <w:p w14:paraId="0D6FA7B7">
                  <w:pPr>
                    <w:pStyle w:val="46"/>
                    <w:spacing w:beforeLines="0" w:afterLines="0" w:line="240" w:lineRule="auto"/>
                    <w:rPr>
                      <w:rFonts w:ascii="Times New Roman"/>
                      <w:b/>
                      <w:color w:val="000000" w:themeColor="text1"/>
                      <w:szCs w:val="21"/>
                      <w14:textFill>
                        <w14:solidFill>
                          <w14:schemeClr w14:val="tx1"/>
                        </w14:solidFill>
                      </w14:textFill>
                    </w:rPr>
                  </w:pPr>
                  <w:r>
                    <w:rPr>
                      <w:rFonts w:ascii="Times New Roman"/>
                      <w:b/>
                      <w:color w:val="000000" w:themeColor="text1"/>
                      <w:szCs w:val="21"/>
                      <w14:textFill>
                        <w14:solidFill>
                          <w14:schemeClr w14:val="tx1"/>
                        </w14:solidFill>
                      </w14:textFill>
                    </w:rPr>
                    <w:t>NOx（低氮燃烧-国内领先）</w:t>
                  </w:r>
                </w:p>
              </w:tc>
            </w:tr>
            <w:tr w14:paraId="5AF6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65" w:type="pct"/>
                  <w:vAlign w:val="center"/>
                </w:tcPr>
                <w:p w14:paraId="450D3298">
                  <w:pPr>
                    <w:pStyle w:val="46"/>
                    <w:spacing w:beforeLines="0" w:afterLines="0" w:line="240" w:lineRule="auto"/>
                    <w:rPr>
                      <w:rFonts w:ascii="Times New Roman"/>
                      <w:b/>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产生量</w:t>
                  </w:r>
                </w:p>
              </w:tc>
              <w:tc>
                <w:tcPr>
                  <w:tcW w:w="994" w:type="pct"/>
                  <w:vAlign w:val="center"/>
                </w:tcPr>
                <w:p w14:paraId="09796945">
                  <w:pPr>
                    <w:pStyle w:val="46"/>
                    <w:spacing w:beforeLines="0" w:afterLines="0" w:line="240" w:lineRule="auto"/>
                    <w:rPr>
                      <w:rFonts w:ascii="Times New Roman"/>
                      <w:b/>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0.072t/a</w:t>
                  </w:r>
                </w:p>
              </w:tc>
              <w:tc>
                <w:tcPr>
                  <w:tcW w:w="1052" w:type="pct"/>
                  <w:vAlign w:val="center"/>
                </w:tcPr>
                <w:p w14:paraId="02AEAE26">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0.24t/a</w:t>
                  </w:r>
                </w:p>
              </w:tc>
              <w:tc>
                <w:tcPr>
                  <w:tcW w:w="1789" w:type="pct"/>
                  <w:vAlign w:val="center"/>
                </w:tcPr>
                <w:p w14:paraId="458BE875">
                  <w:pPr>
                    <w:pStyle w:val="46"/>
                    <w:spacing w:beforeLines="0" w:afterLines="0" w:line="240" w:lineRule="auto"/>
                    <w:rPr>
                      <w:rFonts w:ascii="Times New Roman"/>
                      <w:b/>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0.42t/a</w:t>
                  </w:r>
                </w:p>
              </w:tc>
            </w:tr>
            <w:tr w14:paraId="28D7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65" w:type="pct"/>
                  <w:vAlign w:val="center"/>
                </w:tcPr>
                <w:p w14:paraId="1A8C42CD">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产生速率</w:t>
                  </w:r>
                </w:p>
              </w:tc>
              <w:tc>
                <w:tcPr>
                  <w:tcW w:w="994" w:type="pct"/>
                  <w:vAlign w:val="center"/>
                </w:tcPr>
                <w:p w14:paraId="38D4F5C0">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0.01</w:t>
                  </w:r>
                  <w:r>
                    <w:rPr>
                      <w:rFonts w:ascii="Times New Roman"/>
                      <w:color w:val="000000" w:themeColor="text1"/>
                      <w:kern w:val="2"/>
                      <w:szCs w:val="21"/>
                      <w14:textFill>
                        <w14:solidFill>
                          <w14:schemeClr w14:val="tx1"/>
                        </w14:solidFill>
                      </w14:textFill>
                    </w:rPr>
                    <w:t>kg/h</w:t>
                  </w:r>
                </w:p>
              </w:tc>
              <w:tc>
                <w:tcPr>
                  <w:tcW w:w="1052" w:type="pct"/>
                  <w:vAlign w:val="center"/>
                </w:tcPr>
                <w:p w14:paraId="1E6A207C">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0.0333</w:t>
                  </w:r>
                  <w:r>
                    <w:rPr>
                      <w:rFonts w:ascii="Times New Roman"/>
                      <w:color w:val="000000" w:themeColor="text1"/>
                      <w:kern w:val="2"/>
                      <w:szCs w:val="21"/>
                      <w14:textFill>
                        <w14:solidFill>
                          <w14:schemeClr w14:val="tx1"/>
                        </w14:solidFill>
                      </w14:textFill>
                    </w:rPr>
                    <w:t>kg/h</w:t>
                  </w:r>
                </w:p>
              </w:tc>
              <w:tc>
                <w:tcPr>
                  <w:tcW w:w="1789" w:type="pct"/>
                  <w:vAlign w:val="center"/>
                </w:tcPr>
                <w:p w14:paraId="08F16E24">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0.0583</w:t>
                  </w:r>
                  <w:r>
                    <w:rPr>
                      <w:rFonts w:ascii="Times New Roman"/>
                      <w:color w:val="000000" w:themeColor="text1"/>
                      <w:kern w:val="2"/>
                      <w:szCs w:val="21"/>
                      <w14:textFill>
                        <w14:solidFill>
                          <w14:schemeClr w14:val="tx1"/>
                        </w14:solidFill>
                      </w14:textFill>
                    </w:rPr>
                    <w:t>kg/h</w:t>
                  </w:r>
                </w:p>
              </w:tc>
            </w:tr>
            <w:tr w14:paraId="4013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65" w:type="pct"/>
                  <w:vAlign w:val="center"/>
                </w:tcPr>
                <w:p w14:paraId="6D696D2F">
                  <w:pPr>
                    <w:pStyle w:val="46"/>
                    <w:spacing w:beforeLines="0" w:afterLines="0" w:line="240" w:lineRule="auto"/>
                    <w:rPr>
                      <w:rFonts w:ascii="Times New Roman"/>
                      <w:b/>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产生浓度</w:t>
                  </w:r>
                </w:p>
              </w:tc>
              <w:tc>
                <w:tcPr>
                  <w:tcW w:w="994" w:type="pct"/>
                  <w:vAlign w:val="center"/>
                </w:tcPr>
                <w:p w14:paraId="182B468D">
                  <w:pPr>
                    <w:pStyle w:val="46"/>
                    <w:spacing w:beforeLines="0" w:afterLines="0" w:line="240" w:lineRule="auto"/>
                    <w:rPr>
                      <w:rFonts w:ascii="Times New Roman"/>
                      <w:bCs/>
                      <w:iCs/>
                      <w:snapToGrid w:val="0"/>
                      <w:color w:val="000000" w:themeColor="text1"/>
                      <w:spacing w:val="-4"/>
                      <w:szCs w:val="21"/>
                      <w:vertAlign w:val="superscript"/>
                      <w:lang w:bidi="en-US"/>
                      <w14:textFill>
                        <w14:solidFill>
                          <w14:schemeClr w14:val="tx1"/>
                        </w14:solidFill>
                      </w14:textFill>
                    </w:rPr>
                  </w:pPr>
                  <w:r>
                    <w:rPr>
                      <w:rFonts w:ascii="Times New Roman"/>
                      <w:color w:val="000000" w:themeColor="text1"/>
                      <w:szCs w:val="21"/>
                      <w14:textFill>
                        <w14:solidFill>
                          <w14:schemeClr w14:val="tx1"/>
                        </w14:solidFill>
                      </w14:textFill>
                    </w:rPr>
                    <w:t>11.13mg/m</w:t>
                  </w:r>
                  <w:r>
                    <w:rPr>
                      <w:rFonts w:ascii="Times New Roman"/>
                      <w:color w:val="000000" w:themeColor="text1"/>
                      <w:szCs w:val="21"/>
                      <w:vertAlign w:val="superscript"/>
                      <w14:textFill>
                        <w14:solidFill>
                          <w14:schemeClr w14:val="tx1"/>
                        </w14:solidFill>
                      </w14:textFill>
                    </w:rPr>
                    <w:t>3</w:t>
                  </w:r>
                </w:p>
              </w:tc>
              <w:tc>
                <w:tcPr>
                  <w:tcW w:w="1052" w:type="pct"/>
                  <w:vAlign w:val="center"/>
                </w:tcPr>
                <w:p w14:paraId="53AF31AA">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37.12mg/m</w:t>
                  </w:r>
                  <w:r>
                    <w:rPr>
                      <w:rFonts w:ascii="Times New Roman"/>
                      <w:color w:val="000000" w:themeColor="text1"/>
                      <w:szCs w:val="21"/>
                      <w:vertAlign w:val="superscript"/>
                      <w14:textFill>
                        <w14:solidFill>
                          <w14:schemeClr w14:val="tx1"/>
                        </w14:solidFill>
                      </w14:textFill>
                    </w:rPr>
                    <w:t>3</w:t>
                  </w:r>
                </w:p>
              </w:tc>
              <w:tc>
                <w:tcPr>
                  <w:tcW w:w="1789" w:type="pct"/>
                  <w:vAlign w:val="center"/>
                </w:tcPr>
                <w:p w14:paraId="53574853">
                  <w:pPr>
                    <w:pStyle w:val="46"/>
                    <w:spacing w:beforeLines="0" w:afterLines="0" w:line="240" w:lineRule="auto"/>
                    <w:rPr>
                      <w:rFonts w:ascii="Times New Roman"/>
                      <w:bCs/>
                      <w:iCs/>
                      <w:snapToGrid w:val="0"/>
                      <w:color w:val="000000" w:themeColor="text1"/>
                      <w:spacing w:val="-4"/>
                      <w:szCs w:val="21"/>
                      <w:lang w:bidi="en-US"/>
                      <w14:textFill>
                        <w14:solidFill>
                          <w14:schemeClr w14:val="tx1"/>
                        </w14:solidFill>
                      </w14:textFill>
                    </w:rPr>
                  </w:pPr>
                  <w:r>
                    <w:rPr>
                      <w:rFonts w:ascii="Times New Roman"/>
                      <w:color w:val="000000" w:themeColor="text1"/>
                      <w:szCs w:val="21"/>
                      <w14:textFill>
                        <w14:solidFill>
                          <w14:schemeClr w14:val="tx1"/>
                        </w14:solidFill>
                      </w14:textFill>
                    </w:rPr>
                    <w:t>64.96mg/m</w:t>
                  </w:r>
                  <w:r>
                    <w:rPr>
                      <w:rFonts w:ascii="Times New Roman"/>
                      <w:color w:val="000000" w:themeColor="text1"/>
                      <w:szCs w:val="21"/>
                      <w:vertAlign w:val="superscript"/>
                      <w14:textFill>
                        <w14:solidFill>
                          <w14:schemeClr w14:val="tx1"/>
                        </w14:solidFill>
                      </w14:textFill>
                    </w:rPr>
                    <w:t>3</w:t>
                  </w:r>
                </w:p>
              </w:tc>
            </w:tr>
            <w:tr w14:paraId="0A60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65" w:type="pct"/>
                  <w:vAlign w:val="center"/>
                </w:tcPr>
                <w:p w14:paraId="0648DBF6">
                  <w:pPr>
                    <w:pStyle w:val="46"/>
                    <w:spacing w:beforeLines="0" w:afterLines="0" w:line="240" w:lineRule="auto"/>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GB13271-2014表3 燃气标准</w:t>
                  </w:r>
                </w:p>
              </w:tc>
              <w:tc>
                <w:tcPr>
                  <w:tcW w:w="994" w:type="pct"/>
                  <w:vAlign w:val="center"/>
                </w:tcPr>
                <w:p w14:paraId="7D6665BF">
                  <w:pPr>
                    <w:pStyle w:val="46"/>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w:t>
                  </w:r>
                </w:p>
              </w:tc>
              <w:tc>
                <w:tcPr>
                  <w:tcW w:w="1052" w:type="pct"/>
                  <w:vAlign w:val="center"/>
                </w:tcPr>
                <w:p w14:paraId="309CD55B">
                  <w:pPr>
                    <w:pStyle w:val="46"/>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50</w:t>
                  </w:r>
                </w:p>
              </w:tc>
              <w:tc>
                <w:tcPr>
                  <w:tcW w:w="1789" w:type="pct"/>
                  <w:vAlign w:val="center"/>
                </w:tcPr>
                <w:p w14:paraId="27F3E65B">
                  <w:pPr>
                    <w:pStyle w:val="46"/>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150</w:t>
                  </w:r>
                </w:p>
              </w:tc>
            </w:tr>
          </w:tbl>
          <w:p w14:paraId="7B1CA536">
            <w:pPr>
              <w:spacing w:line="480" w:lineRule="exact"/>
              <w:ind w:firstLine="454"/>
              <w:rPr>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根据原“鸿乔再生资源利用项目” </w:t>
            </w:r>
            <w:r>
              <w:rPr>
                <w:color w:val="000000" w:themeColor="text1"/>
                <w:kern w:val="0"/>
                <w:sz w:val="24"/>
                <w14:textFill>
                  <w14:solidFill>
                    <w14:schemeClr w14:val="tx1"/>
                  </w14:solidFill>
                </w14:textFill>
              </w:rPr>
              <w:t>原有工程污染物总量控制指标详见下表：</w:t>
            </w:r>
          </w:p>
          <w:p w14:paraId="23193F5E">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表2-12总量控制指标</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2162"/>
              <w:gridCol w:w="4406"/>
            </w:tblGrid>
            <w:tr w14:paraId="08AE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1" w:type="pct"/>
                  <w:vAlign w:val="center"/>
                </w:tcPr>
                <w:p w14:paraId="7EF3F0B2">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污染物类型</w:t>
                  </w:r>
                </w:p>
              </w:tc>
              <w:tc>
                <w:tcPr>
                  <w:tcW w:w="1257" w:type="pct"/>
                  <w:vAlign w:val="center"/>
                </w:tcPr>
                <w:p w14:paraId="5BEAA27B">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w:t>
                  </w:r>
                </w:p>
              </w:tc>
              <w:tc>
                <w:tcPr>
                  <w:tcW w:w="2562" w:type="pct"/>
                  <w:vAlign w:val="center"/>
                </w:tcPr>
                <w:p w14:paraId="3AB3D56A">
                  <w:pPr>
                    <w:pStyle w:val="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建议总量指标</w:t>
                  </w:r>
                </w:p>
              </w:tc>
            </w:tr>
            <w:tr w14:paraId="18D8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1" w:type="pct"/>
                  <w:vMerge w:val="restart"/>
                  <w:vAlign w:val="center"/>
                </w:tcPr>
                <w:p w14:paraId="19056354">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大气污染</w:t>
                  </w:r>
                </w:p>
              </w:tc>
              <w:tc>
                <w:tcPr>
                  <w:tcW w:w="1257" w:type="pct"/>
                  <w:vAlign w:val="center"/>
                </w:tcPr>
                <w:p w14:paraId="7407AE21">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SO</w:t>
                  </w:r>
                  <w:r>
                    <w:rPr>
                      <w:rFonts w:ascii="Times New Roman" w:hAnsi="Times New Roman"/>
                      <w:color w:val="000000" w:themeColor="text1"/>
                      <w:sz w:val="24"/>
                      <w:vertAlign w:val="subscript"/>
                      <w14:textFill>
                        <w14:solidFill>
                          <w14:schemeClr w14:val="tx1"/>
                        </w14:solidFill>
                      </w14:textFill>
                    </w:rPr>
                    <w:t>2</w:t>
                  </w:r>
                </w:p>
              </w:tc>
              <w:tc>
                <w:tcPr>
                  <w:tcW w:w="2562" w:type="pct"/>
                  <w:vAlign w:val="center"/>
                </w:tcPr>
                <w:p w14:paraId="30E762A5">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0.24t/a</w:t>
                  </w:r>
                </w:p>
              </w:tc>
            </w:tr>
            <w:tr w14:paraId="1908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81" w:type="pct"/>
                  <w:vMerge w:val="continue"/>
                  <w:vAlign w:val="center"/>
                </w:tcPr>
                <w:p w14:paraId="61B32B8A">
                  <w:pPr>
                    <w:pStyle w:val="79"/>
                    <w:rPr>
                      <w:rFonts w:ascii="Times New Roman" w:hAnsi="Times New Roman"/>
                      <w:color w:val="000000" w:themeColor="text1"/>
                      <w14:textFill>
                        <w14:solidFill>
                          <w14:schemeClr w14:val="tx1"/>
                        </w14:solidFill>
                      </w14:textFill>
                    </w:rPr>
                  </w:pPr>
                </w:p>
              </w:tc>
              <w:tc>
                <w:tcPr>
                  <w:tcW w:w="1257" w:type="pct"/>
                  <w:vAlign w:val="center"/>
                </w:tcPr>
                <w:p w14:paraId="20B4B920">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NOx</w:t>
                  </w:r>
                </w:p>
              </w:tc>
              <w:tc>
                <w:tcPr>
                  <w:tcW w:w="2562" w:type="pct"/>
                  <w:vAlign w:val="center"/>
                </w:tcPr>
                <w:p w14:paraId="5F005033">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0.42t/a</w:t>
                  </w:r>
                </w:p>
              </w:tc>
            </w:tr>
            <w:tr w14:paraId="3C45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81" w:type="pct"/>
                  <w:vMerge w:val="continue"/>
                  <w:vAlign w:val="center"/>
                </w:tcPr>
                <w:p w14:paraId="2793E509">
                  <w:pPr>
                    <w:pStyle w:val="79"/>
                    <w:rPr>
                      <w:rFonts w:ascii="Times New Roman" w:hAnsi="Times New Roman"/>
                      <w:color w:val="000000" w:themeColor="text1"/>
                      <w14:textFill>
                        <w14:solidFill>
                          <w14:schemeClr w14:val="tx1"/>
                        </w14:solidFill>
                      </w14:textFill>
                    </w:rPr>
                  </w:pPr>
                </w:p>
              </w:tc>
              <w:tc>
                <w:tcPr>
                  <w:tcW w:w="1257" w:type="pct"/>
                  <w:vAlign w:val="center"/>
                </w:tcPr>
                <w:p w14:paraId="656AB405">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颗粒物</w:t>
                  </w:r>
                </w:p>
              </w:tc>
              <w:tc>
                <w:tcPr>
                  <w:tcW w:w="2562" w:type="pct"/>
                  <w:vAlign w:val="center"/>
                </w:tcPr>
                <w:p w14:paraId="5AAFC0BC">
                  <w:pPr>
                    <w:pStyle w:val="7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0.3042t/a</w:t>
                  </w:r>
                </w:p>
              </w:tc>
            </w:tr>
          </w:tbl>
          <w:p w14:paraId="732EE326">
            <w:pPr>
              <w:adjustRightInd w:val="0"/>
              <w:snapToGrid w:val="0"/>
              <w:spacing w:line="360" w:lineRule="auto"/>
              <w:rPr>
                <w:color w:val="000000" w:themeColor="text1"/>
                <w14:textFill>
                  <w14:solidFill>
                    <w14:schemeClr w14:val="tx1"/>
                  </w14:solidFill>
                </w14:textFill>
              </w:rPr>
            </w:pPr>
          </w:p>
        </w:tc>
      </w:tr>
    </w:tbl>
    <w:p w14:paraId="35C094C7">
      <w:pPr>
        <w:pStyle w:val="23"/>
        <w:jc w:val="center"/>
        <w:rPr>
          <w:rFonts w:ascii="Times New Roman" w:hAnsi="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0B382C7A">
      <w:pPr>
        <w:pStyle w:val="23"/>
        <w:spacing w:before="0" w:beforeAutospacing="0" w:after="0" w:afterAutospacing="0"/>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14:paraId="2D4BF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tblHeader/>
          <w:jc w:val="center"/>
        </w:trPr>
        <w:tc>
          <w:tcPr>
            <w:tcW w:w="8825" w:type="dxa"/>
            <w:vAlign w:val="center"/>
          </w:tcPr>
          <w:p w14:paraId="6A2CE11B">
            <w:pPr>
              <w:adjustRightInd w:val="0"/>
              <w:snapToGrid w:val="0"/>
              <w:jc w:val="center"/>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区域环境质量现状区域环境质量现状</w:t>
            </w:r>
          </w:p>
        </w:tc>
      </w:tr>
      <w:tr w14:paraId="1C9DA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8825" w:type="dxa"/>
            <w:vAlign w:val="center"/>
          </w:tcPr>
          <w:p w14:paraId="02188467">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b/>
                <w:bCs/>
                <w:color w:val="000000" w:themeColor="text1"/>
                <w14:textFill>
                  <w14:solidFill>
                    <w14:schemeClr w14:val="tx1"/>
                  </w14:solidFill>
                </w14:textFill>
              </w:rPr>
              <w:t>、</w:t>
            </w:r>
            <w:r>
              <w:rPr>
                <w:b/>
                <w:bCs/>
                <w:color w:val="000000" w:themeColor="text1"/>
                <w:sz w:val="24"/>
                <w14:textFill>
                  <w14:solidFill>
                    <w14:schemeClr w14:val="tx1"/>
                  </w14:solidFill>
                </w14:textFill>
              </w:rPr>
              <w:t>空气环境质量</w:t>
            </w:r>
          </w:p>
          <w:p w14:paraId="2C9CC730">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1.1环境空气质量达标区判定</w:t>
            </w:r>
          </w:p>
          <w:p w14:paraId="5840849A">
            <w:pPr>
              <w:widowControl/>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kern w:val="0"/>
                <w:sz w:val="24"/>
                <w:lang w:bidi="ar"/>
                <w14:textFill>
                  <w14:solidFill>
                    <w14:schemeClr w14:val="tx1"/>
                  </w14:solidFill>
                </w14:textFill>
              </w:rPr>
              <w:t>根据《环境影响评价技术导则—大气环境》（HJ2.2-2018）中6.2.1基本污染物环境质量现状数据“6.2.1.1项目所在区域达标判定，优先采用国家或地方生态环境主管部门公开发布的评价基准年环境质量公告或环境质量报告中的数据或结论”，6.2.2其他污染物环境质量数据“6.2.2.2评价范围内没有环境空气质量监测网数据或公开发布的环境空气质量现状数据的，可收集评价范围内近3年与项目排放的其他污染物有关的历史监测资料”。</w:t>
            </w:r>
          </w:p>
          <w:p w14:paraId="26185AFE">
            <w:pPr>
              <w:widowControl/>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kern w:val="0"/>
                <w:sz w:val="24"/>
                <w:lang w:bidi="ar"/>
                <w14:textFill>
                  <w14:solidFill>
                    <w14:schemeClr w14:val="tx1"/>
                  </w14:solidFill>
                </w14:textFill>
              </w:rPr>
              <w:t>大英县属遂宁市，地理位置邻近，地形、气候条件相近，故本次判定参考遂宁市生态环境局于2023年1月20日公布的《2022年遂宁市环境质量公告》中的数据。</w:t>
            </w:r>
          </w:p>
          <w:p w14:paraId="6599DAC8">
            <w:pPr>
              <w:widowControl/>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kern w:val="0"/>
                <w:sz w:val="24"/>
                <w:lang w:bidi="ar"/>
                <w14:textFill>
                  <w14:solidFill>
                    <w14:schemeClr w14:val="tx1"/>
                  </w14:solidFill>
                </w14:textFill>
              </w:rPr>
              <w:t>2022年遂宁市城区环境空气质量124天优、208天良、33天轻度污染，空气质量达标天数比例91.0%。主要污染物SO</w:t>
            </w:r>
            <w:r>
              <w:rPr>
                <w:rFonts w:eastAsiaTheme="minorEastAsia"/>
                <w:color w:val="000000" w:themeColor="text1"/>
                <w:kern w:val="0"/>
                <w:sz w:val="24"/>
                <w:vertAlign w:val="subscript"/>
                <w:lang w:bidi="ar"/>
                <w14:textFill>
                  <w14:solidFill>
                    <w14:schemeClr w14:val="tx1"/>
                  </w14:solidFill>
                </w14:textFill>
              </w:rPr>
              <w:t>2</w:t>
            </w:r>
            <w:r>
              <w:rPr>
                <w:rFonts w:eastAsiaTheme="minorEastAsia"/>
                <w:color w:val="000000" w:themeColor="text1"/>
                <w:kern w:val="0"/>
                <w:sz w:val="24"/>
                <w:lang w:bidi="ar"/>
                <w14:textFill>
                  <w14:solidFill>
                    <w14:schemeClr w14:val="tx1"/>
                  </w14:solidFill>
                </w14:textFill>
              </w:rPr>
              <w:t>、NO</w:t>
            </w:r>
            <w:r>
              <w:rPr>
                <w:rFonts w:eastAsiaTheme="minorEastAsia"/>
                <w:color w:val="000000" w:themeColor="text1"/>
                <w:kern w:val="0"/>
                <w:sz w:val="24"/>
                <w:vertAlign w:val="subscript"/>
                <w:lang w:bidi="ar"/>
                <w14:textFill>
                  <w14:solidFill>
                    <w14:schemeClr w14:val="tx1"/>
                  </w14:solidFill>
                </w14:textFill>
              </w:rPr>
              <w:t>2</w:t>
            </w:r>
            <w:r>
              <w:rPr>
                <w:rFonts w:eastAsiaTheme="minorEastAsia"/>
                <w:color w:val="000000" w:themeColor="text1"/>
                <w:kern w:val="0"/>
                <w:sz w:val="24"/>
                <w:lang w:bidi="ar"/>
                <w14:textFill>
                  <w14:solidFill>
                    <w14:schemeClr w14:val="tx1"/>
                  </w14:solidFill>
                </w14:textFill>
              </w:rPr>
              <w:t>、PM</w:t>
            </w:r>
            <w:r>
              <w:rPr>
                <w:rFonts w:eastAsiaTheme="minorEastAsia"/>
                <w:color w:val="000000" w:themeColor="text1"/>
                <w:kern w:val="0"/>
                <w:sz w:val="24"/>
                <w:vertAlign w:val="subscript"/>
                <w:lang w:bidi="ar"/>
                <w14:textFill>
                  <w14:solidFill>
                    <w14:schemeClr w14:val="tx1"/>
                  </w14:solidFill>
                </w14:textFill>
              </w:rPr>
              <w:t>10</w:t>
            </w:r>
            <w:r>
              <w:rPr>
                <w:rFonts w:eastAsiaTheme="minorEastAsia"/>
                <w:color w:val="000000" w:themeColor="text1"/>
                <w:kern w:val="0"/>
                <w:sz w:val="24"/>
                <w:lang w:bidi="ar"/>
                <w14:textFill>
                  <w14:solidFill>
                    <w14:schemeClr w14:val="tx1"/>
                  </w14:solidFill>
                </w14:textFill>
              </w:rPr>
              <w:t>、PM</w:t>
            </w:r>
            <w:r>
              <w:rPr>
                <w:rFonts w:eastAsiaTheme="minorEastAsia"/>
                <w:color w:val="000000" w:themeColor="text1"/>
                <w:kern w:val="0"/>
                <w:sz w:val="24"/>
                <w:vertAlign w:val="subscript"/>
                <w:lang w:bidi="ar"/>
                <w14:textFill>
                  <w14:solidFill>
                    <w14:schemeClr w14:val="tx1"/>
                  </w14:solidFill>
                </w14:textFill>
              </w:rPr>
              <w:t>2.5</w:t>
            </w:r>
            <w:r>
              <w:rPr>
                <w:rFonts w:eastAsiaTheme="minorEastAsia"/>
                <w:color w:val="000000" w:themeColor="text1"/>
                <w:kern w:val="0"/>
                <w:sz w:val="24"/>
                <w:lang w:bidi="ar"/>
                <w14:textFill>
                  <w14:solidFill>
                    <w14:schemeClr w14:val="tx1"/>
                  </w14:solidFill>
                </w14:textFill>
              </w:rPr>
              <w:t>、CO和O</w:t>
            </w:r>
            <w:r>
              <w:rPr>
                <w:rFonts w:eastAsiaTheme="minorEastAsia"/>
                <w:color w:val="000000" w:themeColor="text1"/>
                <w:kern w:val="0"/>
                <w:sz w:val="24"/>
                <w:vertAlign w:val="subscript"/>
                <w:lang w:bidi="ar"/>
                <w14:textFill>
                  <w14:solidFill>
                    <w14:schemeClr w14:val="tx1"/>
                  </w14:solidFill>
                </w14:textFill>
              </w:rPr>
              <w:t>3</w:t>
            </w:r>
            <w:r>
              <w:rPr>
                <w:rFonts w:eastAsiaTheme="minorEastAsia"/>
                <w:color w:val="000000" w:themeColor="text1"/>
                <w:kern w:val="0"/>
                <w:sz w:val="24"/>
                <w:lang w:bidi="ar"/>
                <w14:textFill>
                  <w14:solidFill>
                    <w14:schemeClr w14:val="tx1"/>
                  </w14:solidFill>
                </w14:textFill>
              </w:rPr>
              <w:t>的年均值分别为9.8微克/立方米、20.1微克/立方米、54.0微克/立方米、29.8微克/立方米、0.9毫克/立方米和146微克/立方米。同比NO</w:t>
            </w:r>
            <w:r>
              <w:rPr>
                <w:rFonts w:eastAsiaTheme="minorEastAsia"/>
                <w:color w:val="000000" w:themeColor="text1"/>
                <w:kern w:val="0"/>
                <w:sz w:val="24"/>
                <w:vertAlign w:val="subscript"/>
                <w:lang w:bidi="ar"/>
                <w14:textFill>
                  <w14:solidFill>
                    <w14:schemeClr w14:val="tx1"/>
                  </w14:solidFill>
                </w14:textFill>
              </w:rPr>
              <w:t>2</w:t>
            </w:r>
            <w:r>
              <w:rPr>
                <w:rFonts w:eastAsiaTheme="minorEastAsia"/>
                <w:color w:val="000000" w:themeColor="text1"/>
                <w:kern w:val="0"/>
                <w:sz w:val="24"/>
                <w:lang w:bidi="ar"/>
                <w14:textFill>
                  <w14:solidFill>
                    <w14:schemeClr w14:val="tx1"/>
                  </w14:solidFill>
                </w14:textFill>
              </w:rPr>
              <w:t>、PM</w:t>
            </w:r>
            <w:r>
              <w:rPr>
                <w:rFonts w:eastAsiaTheme="minorEastAsia"/>
                <w:color w:val="000000" w:themeColor="text1"/>
                <w:kern w:val="0"/>
                <w:sz w:val="24"/>
                <w:vertAlign w:val="subscript"/>
                <w:lang w:bidi="ar"/>
                <w14:textFill>
                  <w14:solidFill>
                    <w14:schemeClr w14:val="tx1"/>
                  </w14:solidFill>
                </w14:textFill>
              </w:rPr>
              <w:t>2.5</w:t>
            </w:r>
            <w:r>
              <w:rPr>
                <w:rFonts w:eastAsiaTheme="minorEastAsia"/>
                <w:color w:val="000000" w:themeColor="text1"/>
                <w:kern w:val="0"/>
                <w:sz w:val="24"/>
                <w:lang w:bidi="ar"/>
                <w14:textFill>
                  <w14:solidFill>
                    <w14:schemeClr w14:val="tx1"/>
                  </w14:solidFill>
                </w14:textFill>
              </w:rPr>
              <w:t>浓度分别下降了1.0%、0.3%，SO</w:t>
            </w:r>
            <w:r>
              <w:rPr>
                <w:rFonts w:eastAsiaTheme="minorEastAsia"/>
                <w:color w:val="000000" w:themeColor="text1"/>
                <w:kern w:val="0"/>
                <w:sz w:val="24"/>
                <w:vertAlign w:val="subscript"/>
                <w:lang w:bidi="ar"/>
                <w14:textFill>
                  <w14:solidFill>
                    <w14:schemeClr w14:val="tx1"/>
                  </w14:solidFill>
                </w14:textFill>
              </w:rPr>
              <w:t>2</w:t>
            </w:r>
            <w:r>
              <w:rPr>
                <w:rFonts w:eastAsiaTheme="minorEastAsia"/>
                <w:color w:val="000000" w:themeColor="text1"/>
                <w:kern w:val="0"/>
                <w:sz w:val="24"/>
                <w:lang w:bidi="ar"/>
                <w14:textFill>
                  <w14:solidFill>
                    <w14:schemeClr w14:val="tx1"/>
                  </w14:solidFill>
                </w14:textFill>
              </w:rPr>
              <w:t>、O</w:t>
            </w:r>
            <w:r>
              <w:rPr>
                <w:rFonts w:eastAsiaTheme="minorEastAsia"/>
                <w:color w:val="000000" w:themeColor="text1"/>
                <w:kern w:val="0"/>
                <w:sz w:val="24"/>
                <w:vertAlign w:val="subscript"/>
                <w:lang w:bidi="ar"/>
                <w14:textFill>
                  <w14:solidFill>
                    <w14:schemeClr w14:val="tx1"/>
                  </w14:solidFill>
                </w14:textFill>
              </w:rPr>
              <w:t>3</w:t>
            </w:r>
            <w:r>
              <w:rPr>
                <w:rFonts w:eastAsiaTheme="minorEastAsia"/>
                <w:color w:val="000000" w:themeColor="text1"/>
                <w:kern w:val="0"/>
                <w:sz w:val="24"/>
                <w:lang w:bidi="ar"/>
                <w14:textFill>
                  <w14:solidFill>
                    <w14:schemeClr w14:val="tx1"/>
                  </w14:solidFill>
                </w14:textFill>
              </w:rPr>
              <w:t>和PM</w:t>
            </w:r>
            <w:r>
              <w:rPr>
                <w:rFonts w:eastAsiaTheme="minorEastAsia"/>
                <w:color w:val="000000" w:themeColor="text1"/>
                <w:kern w:val="0"/>
                <w:sz w:val="24"/>
                <w:vertAlign w:val="subscript"/>
                <w:lang w:bidi="ar"/>
                <w14:textFill>
                  <w14:solidFill>
                    <w14:schemeClr w14:val="tx1"/>
                  </w14:solidFill>
                </w14:textFill>
              </w:rPr>
              <w:t>10</w:t>
            </w:r>
            <w:r>
              <w:rPr>
                <w:rFonts w:eastAsiaTheme="minorEastAsia"/>
                <w:color w:val="000000" w:themeColor="text1"/>
                <w:kern w:val="0"/>
                <w:sz w:val="24"/>
                <w:lang w:bidi="ar"/>
                <w14:textFill>
                  <w14:solidFill>
                    <w14:schemeClr w14:val="tx1"/>
                  </w14:solidFill>
                </w14:textFill>
              </w:rPr>
              <w:t>浓度分别上升了21.0%、16.2%和9.8%，CO浓度保持稳定。</w:t>
            </w:r>
          </w:p>
          <w:p w14:paraId="504BE012">
            <w:pPr>
              <w:adjustRightInd w:val="0"/>
              <w:spacing w:line="360" w:lineRule="auto"/>
              <w:ind w:firstLine="480" w:firstLineChars="200"/>
              <w:rPr>
                <w:rFonts w:eastAsiaTheme="minorEastAsia"/>
                <w:color w:val="000000" w:themeColor="text1"/>
                <w14:textFill>
                  <w14:solidFill>
                    <w14:schemeClr w14:val="tx1"/>
                  </w14:solidFill>
                </w14:textFill>
              </w:rPr>
            </w:pPr>
            <w:r>
              <w:rPr>
                <w:rFonts w:eastAsiaTheme="minorEastAsia"/>
                <w:color w:val="000000" w:themeColor="text1"/>
                <w:kern w:val="0"/>
                <w:sz w:val="24"/>
                <w:lang w:bidi="ar"/>
                <w14:textFill>
                  <w14:solidFill>
                    <w14:schemeClr w14:val="tx1"/>
                  </w14:solidFill>
                </w14:textFill>
              </w:rPr>
              <w:t>根据《2022年遂宁市环境质量公告》进行区域达标评价，各评价因子现状如下表所示</w:t>
            </w:r>
            <w:r>
              <w:rPr>
                <w:rFonts w:eastAsiaTheme="minorEastAsia"/>
                <w:color w:val="000000" w:themeColor="text1"/>
                <w:sz w:val="24"/>
                <w14:textFill>
                  <w14:solidFill>
                    <w14:schemeClr w14:val="tx1"/>
                  </w14:solidFill>
                </w14:textFill>
              </w:rPr>
              <w:t>。</w:t>
            </w:r>
          </w:p>
          <w:p w14:paraId="427998C3">
            <w:pPr>
              <w:pStyle w:val="93"/>
              <w:spacing w:beforeLines="0" w:afterLines="0"/>
              <w:ind w:firstLine="482" w:firstLineChars="200"/>
              <w:rPr>
                <w:rFonts w:eastAsia="黑体"/>
                <w:color w:val="000000" w:themeColor="text1"/>
                <w:szCs w:val="24"/>
                <w14:textFill>
                  <w14:solidFill>
                    <w14:schemeClr w14:val="tx1"/>
                  </w14:solidFill>
                </w14:textFill>
              </w:rPr>
            </w:pPr>
            <w:r>
              <w:rPr>
                <w:rFonts w:eastAsia="黑体"/>
                <w:color w:val="000000" w:themeColor="text1"/>
                <w:szCs w:val="24"/>
                <w14:textFill>
                  <w14:solidFill>
                    <w14:schemeClr w14:val="tx1"/>
                  </w14:solidFill>
                </w14:textFill>
              </w:rPr>
              <w:t>表3-1  2022年度遂宁市环境空气质量统计表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268"/>
              <w:gridCol w:w="1639"/>
              <w:gridCol w:w="1130"/>
              <w:gridCol w:w="1065"/>
              <w:gridCol w:w="1771"/>
            </w:tblGrid>
            <w:tr w14:paraId="1997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2" w:type="pct"/>
                  <w:vAlign w:val="center"/>
                </w:tcPr>
                <w:p w14:paraId="5110545A">
                  <w:pPr>
                    <w:pStyle w:val="92"/>
                    <w:rPr>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序号</w:t>
                  </w:r>
                </w:p>
              </w:tc>
              <w:tc>
                <w:tcPr>
                  <w:tcW w:w="1319" w:type="pct"/>
                  <w:vAlign w:val="center"/>
                </w:tcPr>
                <w:p w14:paraId="7C003286">
                  <w:pPr>
                    <w:pStyle w:val="92"/>
                    <w:rPr>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污染物项目</w:t>
                  </w:r>
                </w:p>
              </w:tc>
              <w:tc>
                <w:tcPr>
                  <w:tcW w:w="953" w:type="pct"/>
                  <w:vAlign w:val="center"/>
                </w:tcPr>
                <w:p w14:paraId="704A3D46">
                  <w:pPr>
                    <w:pStyle w:val="92"/>
                    <w:rPr>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年平均浓度值</w:t>
                  </w:r>
                </w:p>
              </w:tc>
              <w:tc>
                <w:tcPr>
                  <w:tcW w:w="657" w:type="pct"/>
                  <w:vAlign w:val="center"/>
                </w:tcPr>
                <w:p w14:paraId="419B9884">
                  <w:pPr>
                    <w:pStyle w:val="92"/>
                    <w:rPr>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标准值</w:t>
                  </w:r>
                </w:p>
              </w:tc>
              <w:tc>
                <w:tcPr>
                  <w:tcW w:w="619" w:type="pct"/>
                  <w:vAlign w:val="center"/>
                </w:tcPr>
                <w:p w14:paraId="732B7160">
                  <w:pPr>
                    <w:pStyle w:val="92"/>
                    <w:rPr>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是否达标</w:t>
                  </w:r>
                </w:p>
              </w:tc>
              <w:tc>
                <w:tcPr>
                  <w:tcW w:w="1030" w:type="pct"/>
                  <w:vAlign w:val="center"/>
                </w:tcPr>
                <w:p w14:paraId="70AA97F0">
                  <w:pPr>
                    <w:pStyle w:val="92"/>
                    <w:rPr>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平均时间</w:t>
                  </w:r>
                </w:p>
              </w:tc>
            </w:tr>
            <w:tr w14:paraId="5B3A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22" w:type="pct"/>
                  <w:vAlign w:val="center"/>
                </w:tcPr>
                <w:p w14:paraId="7EE4C949">
                  <w:pPr>
                    <w:pStyle w:val="9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19" w:type="pct"/>
                  <w:vAlign w:val="center"/>
                </w:tcPr>
                <w:p w14:paraId="3AA815D5">
                  <w:pPr>
                    <w:pStyle w:val="92"/>
                    <w:rPr>
                      <w:rFonts w:eastAsia="宋体"/>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w:t>
                  </w:r>
                  <w:r>
                    <w:rPr>
                      <w:color w:val="000000" w:themeColor="text1"/>
                      <w14:textFill>
                        <w14:solidFill>
                          <w14:schemeClr w14:val="tx1"/>
                        </w14:solidFill>
                      </w14:textFill>
                    </w:rPr>
                    <w:t>μg/m³</w:t>
                  </w:r>
                  <w:r>
                    <w:rPr>
                      <w:rFonts w:eastAsia="宋体"/>
                      <w:color w:val="000000" w:themeColor="text1"/>
                      <w14:textFill>
                        <w14:solidFill>
                          <w14:schemeClr w14:val="tx1"/>
                        </w14:solidFill>
                      </w14:textFill>
                    </w:rPr>
                    <w:t>)</w:t>
                  </w:r>
                </w:p>
              </w:tc>
              <w:tc>
                <w:tcPr>
                  <w:tcW w:w="953" w:type="pct"/>
                  <w:vAlign w:val="center"/>
                </w:tcPr>
                <w:p w14:paraId="5BE790D1">
                  <w:pPr>
                    <w:pStyle w:val="9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9.8</w:t>
                  </w:r>
                </w:p>
              </w:tc>
              <w:tc>
                <w:tcPr>
                  <w:tcW w:w="657" w:type="pct"/>
                  <w:vAlign w:val="center"/>
                </w:tcPr>
                <w:p w14:paraId="53D0AC24">
                  <w:pPr>
                    <w:pStyle w:val="92"/>
                    <w:rPr>
                      <w:color w:val="000000" w:themeColor="text1"/>
                      <w14:textFill>
                        <w14:solidFill>
                          <w14:schemeClr w14:val="tx1"/>
                        </w14:solidFill>
                      </w14:textFill>
                    </w:rPr>
                  </w:pPr>
                  <w:r>
                    <w:rPr>
                      <w:color w:val="000000" w:themeColor="text1"/>
                      <w14:textFill>
                        <w14:solidFill>
                          <w14:schemeClr w14:val="tx1"/>
                        </w14:solidFill>
                      </w14:textFill>
                    </w:rPr>
                    <w:t>60</w:t>
                  </w:r>
                </w:p>
              </w:tc>
              <w:tc>
                <w:tcPr>
                  <w:tcW w:w="619" w:type="pct"/>
                  <w:vAlign w:val="center"/>
                </w:tcPr>
                <w:p w14:paraId="1093E636">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是</w:t>
                  </w:r>
                </w:p>
              </w:tc>
              <w:tc>
                <w:tcPr>
                  <w:tcW w:w="1030" w:type="pct"/>
                  <w:vAlign w:val="center"/>
                </w:tcPr>
                <w:p w14:paraId="5E09DA2E">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r>
            <w:tr w14:paraId="6883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2" w:type="pct"/>
                  <w:vAlign w:val="center"/>
                </w:tcPr>
                <w:p w14:paraId="2E2B34FD">
                  <w:pPr>
                    <w:pStyle w:val="9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19" w:type="pct"/>
                  <w:vAlign w:val="center"/>
                </w:tcPr>
                <w:p w14:paraId="7D803604">
                  <w:pPr>
                    <w:pStyle w:val="92"/>
                    <w:rPr>
                      <w:rFonts w:eastAsia="宋体"/>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w:t>
                  </w:r>
                  <w:r>
                    <w:rPr>
                      <w:color w:val="000000" w:themeColor="text1"/>
                      <w14:textFill>
                        <w14:solidFill>
                          <w14:schemeClr w14:val="tx1"/>
                        </w14:solidFill>
                      </w14:textFill>
                    </w:rPr>
                    <w:t>μg/m³</w:t>
                  </w:r>
                  <w:r>
                    <w:rPr>
                      <w:rFonts w:eastAsia="宋体"/>
                      <w:color w:val="000000" w:themeColor="text1"/>
                      <w14:textFill>
                        <w14:solidFill>
                          <w14:schemeClr w14:val="tx1"/>
                        </w14:solidFill>
                      </w14:textFill>
                    </w:rPr>
                    <w:t>)</w:t>
                  </w:r>
                </w:p>
              </w:tc>
              <w:tc>
                <w:tcPr>
                  <w:tcW w:w="953" w:type="pct"/>
                  <w:vAlign w:val="center"/>
                </w:tcPr>
                <w:p w14:paraId="53226CA9">
                  <w:pPr>
                    <w:pStyle w:val="9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20.1</w:t>
                  </w:r>
                </w:p>
              </w:tc>
              <w:tc>
                <w:tcPr>
                  <w:tcW w:w="657" w:type="pct"/>
                  <w:vAlign w:val="center"/>
                </w:tcPr>
                <w:p w14:paraId="494FC02F">
                  <w:pPr>
                    <w:pStyle w:val="92"/>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19" w:type="pct"/>
                  <w:vAlign w:val="center"/>
                </w:tcPr>
                <w:p w14:paraId="029F87D1">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是</w:t>
                  </w:r>
                </w:p>
              </w:tc>
              <w:tc>
                <w:tcPr>
                  <w:tcW w:w="1030" w:type="pct"/>
                  <w:vAlign w:val="center"/>
                </w:tcPr>
                <w:p w14:paraId="3CDEB419">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r>
            <w:tr w14:paraId="07D4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22" w:type="pct"/>
                  <w:vAlign w:val="center"/>
                </w:tcPr>
                <w:p w14:paraId="3B49A581">
                  <w:pPr>
                    <w:pStyle w:val="9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19" w:type="pct"/>
                  <w:vAlign w:val="center"/>
                </w:tcPr>
                <w:p w14:paraId="1750308D">
                  <w:pPr>
                    <w:pStyle w:val="92"/>
                    <w:rPr>
                      <w:rFonts w:eastAsia="宋体"/>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w:t>
                  </w:r>
                  <w:r>
                    <w:rPr>
                      <w:color w:val="000000" w:themeColor="text1"/>
                      <w14:textFill>
                        <w14:solidFill>
                          <w14:schemeClr w14:val="tx1"/>
                        </w14:solidFill>
                      </w14:textFill>
                    </w:rPr>
                    <w:t>μg/m³</w:t>
                  </w:r>
                  <w:r>
                    <w:rPr>
                      <w:rFonts w:eastAsia="宋体"/>
                      <w:color w:val="000000" w:themeColor="text1"/>
                      <w14:textFill>
                        <w14:solidFill>
                          <w14:schemeClr w14:val="tx1"/>
                        </w14:solidFill>
                      </w14:textFill>
                    </w:rPr>
                    <w:t>)</w:t>
                  </w:r>
                </w:p>
              </w:tc>
              <w:tc>
                <w:tcPr>
                  <w:tcW w:w="953" w:type="pct"/>
                  <w:vAlign w:val="center"/>
                </w:tcPr>
                <w:p w14:paraId="5B9E8D7B">
                  <w:pPr>
                    <w:pStyle w:val="9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54</w:t>
                  </w:r>
                </w:p>
              </w:tc>
              <w:tc>
                <w:tcPr>
                  <w:tcW w:w="657" w:type="pct"/>
                  <w:vAlign w:val="center"/>
                </w:tcPr>
                <w:p w14:paraId="408BA36A">
                  <w:pPr>
                    <w:pStyle w:val="9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19" w:type="pct"/>
                  <w:vAlign w:val="center"/>
                </w:tcPr>
                <w:p w14:paraId="17563FF6">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是</w:t>
                  </w:r>
                </w:p>
              </w:tc>
              <w:tc>
                <w:tcPr>
                  <w:tcW w:w="1030" w:type="pct"/>
                  <w:vAlign w:val="center"/>
                </w:tcPr>
                <w:p w14:paraId="04C61A68">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r>
            <w:tr w14:paraId="4139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2" w:type="pct"/>
                  <w:vAlign w:val="center"/>
                </w:tcPr>
                <w:p w14:paraId="014202C4">
                  <w:pPr>
                    <w:pStyle w:val="9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19" w:type="pct"/>
                  <w:vAlign w:val="center"/>
                </w:tcPr>
                <w:p w14:paraId="429CEF85">
                  <w:pPr>
                    <w:pStyle w:val="92"/>
                    <w:rPr>
                      <w:rFonts w:eastAsia="宋体"/>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rFonts w:eastAsia="宋体"/>
                      <w:color w:val="000000" w:themeColor="text1"/>
                      <w14:textFill>
                        <w14:solidFill>
                          <w14:schemeClr w14:val="tx1"/>
                        </w14:solidFill>
                      </w14:textFill>
                    </w:rPr>
                    <w:t>(</w:t>
                  </w:r>
                  <w:r>
                    <w:rPr>
                      <w:color w:val="000000" w:themeColor="text1"/>
                      <w14:textFill>
                        <w14:solidFill>
                          <w14:schemeClr w14:val="tx1"/>
                        </w14:solidFill>
                      </w14:textFill>
                    </w:rPr>
                    <w:t>μg/m³</w:t>
                  </w:r>
                  <w:r>
                    <w:rPr>
                      <w:rFonts w:eastAsia="宋体"/>
                      <w:color w:val="000000" w:themeColor="text1"/>
                      <w14:textFill>
                        <w14:solidFill>
                          <w14:schemeClr w14:val="tx1"/>
                        </w14:solidFill>
                      </w14:textFill>
                    </w:rPr>
                    <w:t>)</w:t>
                  </w:r>
                </w:p>
              </w:tc>
              <w:tc>
                <w:tcPr>
                  <w:tcW w:w="953" w:type="pct"/>
                  <w:vAlign w:val="center"/>
                </w:tcPr>
                <w:p w14:paraId="2946D438">
                  <w:pPr>
                    <w:pStyle w:val="9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29.8</w:t>
                  </w:r>
                </w:p>
              </w:tc>
              <w:tc>
                <w:tcPr>
                  <w:tcW w:w="657" w:type="pct"/>
                  <w:vAlign w:val="center"/>
                </w:tcPr>
                <w:p w14:paraId="6C88D857">
                  <w:pPr>
                    <w:pStyle w:val="92"/>
                    <w:rPr>
                      <w:color w:val="000000" w:themeColor="text1"/>
                      <w14:textFill>
                        <w14:solidFill>
                          <w14:schemeClr w14:val="tx1"/>
                        </w14:solidFill>
                      </w14:textFill>
                    </w:rPr>
                  </w:pPr>
                  <w:r>
                    <w:rPr>
                      <w:color w:val="000000" w:themeColor="text1"/>
                      <w14:textFill>
                        <w14:solidFill>
                          <w14:schemeClr w14:val="tx1"/>
                        </w14:solidFill>
                      </w14:textFill>
                    </w:rPr>
                    <w:t>35</w:t>
                  </w:r>
                </w:p>
              </w:tc>
              <w:tc>
                <w:tcPr>
                  <w:tcW w:w="619" w:type="pct"/>
                  <w:vAlign w:val="center"/>
                </w:tcPr>
                <w:p w14:paraId="30061810">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是</w:t>
                  </w:r>
                </w:p>
              </w:tc>
              <w:tc>
                <w:tcPr>
                  <w:tcW w:w="1030" w:type="pct"/>
                  <w:vAlign w:val="center"/>
                </w:tcPr>
                <w:p w14:paraId="31BF02D0">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r>
            <w:tr w14:paraId="60BA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22" w:type="pct"/>
                  <w:vAlign w:val="center"/>
                </w:tcPr>
                <w:p w14:paraId="014A56BF">
                  <w:pPr>
                    <w:pStyle w:val="9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19" w:type="pct"/>
                  <w:vAlign w:val="center"/>
                </w:tcPr>
                <w:p w14:paraId="35CC5644">
                  <w:pPr>
                    <w:pStyle w:val="92"/>
                    <w:rPr>
                      <w:rFonts w:eastAsia="宋体"/>
                      <w:color w:val="000000" w:themeColor="text1"/>
                      <w14:textFill>
                        <w14:solidFill>
                          <w14:schemeClr w14:val="tx1"/>
                        </w14:solidFill>
                      </w14:textFill>
                    </w:rPr>
                  </w:pPr>
                  <w:r>
                    <w:rPr>
                      <w:color w:val="000000" w:themeColor="text1"/>
                      <w14:textFill>
                        <w14:solidFill>
                          <w14:schemeClr w14:val="tx1"/>
                        </w14:solidFill>
                      </w14:textFill>
                    </w:rPr>
                    <w:t>CO</w:t>
                  </w:r>
                  <w:r>
                    <w:rPr>
                      <w:rFonts w:eastAsia="宋体"/>
                      <w:color w:val="000000" w:themeColor="text1"/>
                      <w14:textFill>
                        <w14:solidFill>
                          <w14:schemeClr w14:val="tx1"/>
                        </w14:solidFill>
                      </w14:textFill>
                    </w:rPr>
                    <w:t>(</w:t>
                  </w:r>
                  <w:r>
                    <w:rPr>
                      <w:color w:val="000000" w:themeColor="text1"/>
                      <w14:textFill>
                        <w14:solidFill>
                          <w14:schemeClr w14:val="tx1"/>
                        </w14:solidFill>
                      </w14:textFill>
                    </w:rPr>
                    <w:t>mg/m³</w:t>
                  </w:r>
                  <w:r>
                    <w:rPr>
                      <w:rFonts w:eastAsia="宋体"/>
                      <w:color w:val="000000" w:themeColor="text1"/>
                      <w14:textFill>
                        <w14:solidFill>
                          <w14:schemeClr w14:val="tx1"/>
                        </w14:solidFill>
                      </w14:textFill>
                    </w:rPr>
                    <w:t>)(第</w:t>
                  </w:r>
                  <w:r>
                    <w:rPr>
                      <w:color w:val="000000" w:themeColor="text1"/>
                      <w14:textFill>
                        <w14:solidFill>
                          <w14:schemeClr w14:val="tx1"/>
                        </w14:solidFill>
                      </w14:textFill>
                    </w:rPr>
                    <w:t>95</w:t>
                  </w:r>
                  <w:r>
                    <w:rPr>
                      <w:rFonts w:eastAsia="宋体"/>
                      <w:color w:val="000000" w:themeColor="text1"/>
                      <w14:textFill>
                        <w14:solidFill>
                          <w14:schemeClr w14:val="tx1"/>
                        </w14:solidFill>
                      </w14:textFill>
                    </w:rPr>
                    <w:t>百分位浓度值)</w:t>
                  </w:r>
                </w:p>
              </w:tc>
              <w:tc>
                <w:tcPr>
                  <w:tcW w:w="953" w:type="pct"/>
                  <w:vAlign w:val="center"/>
                </w:tcPr>
                <w:p w14:paraId="67F0202C">
                  <w:pPr>
                    <w:pStyle w:val="9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0.9</w:t>
                  </w:r>
                </w:p>
              </w:tc>
              <w:tc>
                <w:tcPr>
                  <w:tcW w:w="657" w:type="pct"/>
                  <w:vAlign w:val="center"/>
                </w:tcPr>
                <w:p w14:paraId="7F03C89E">
                  <w:pPr>
                    <w:pStyle w:val="92"/>
                    <w:rPr>
                      <w:color w:val="000000" w:themeColor="text1"/>
                      <w14:textFill>
                        <w14:solidFill>
                          <w14:schemeClr w14:val="tx1"/>
                        </w14:solidFill>
                      </w14:textFill>
                    </w:rPr>
                  </w:pPr>
                  <w:r>
                    <w:rPr>
                      <w:color w:val="000000" w:themeColor="text1"/>
                      <w14:textFill>
                        <w14:solidFill>
                          <w14:schemeClr w14:val="tx1"/>
                        </w14:solidFill>
                      </w14:textFill>
                    </w:rPr>
                    <w:t>4</w:t>
                  </w:r>
                </w:p>
              </w:tc>
              <w:tc>
                <w:tcPr>
                  <w:tcW w:w="619" w:type="pct"/>
                  <w:vAlign w:val="center"/>
                </w:tcPr>
                <w:p w14:paraId="0954844E">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是</w:t>
                  </w:r>
                </w:p>
              </w:tc>
              <w:tc>
                <w:tcPr>
                  <w:tcW w:w="1030" w:type="pct"/>
                  <w:vAlign w:val="center"/>
                </w:tcPr>
                <w:p w14:paraId="01B3F86F">
                  <w:pPr>
                    <w:pStyle w:val="92"/>
                    <w:rPr>
                      <w:color w:val="000000" w:themeColor="text1"/>
                      <w14:textFill>
                        <w14:solidFill>
                          <w14:schemeClr w14:val="tx1"/>
                        </w14:solidFill>
                      </w14:textFill>
                    </w:rPr>
                  </w:pPr>
                  <w:r>
                    <w:rPr>
                      <w:color w:val="000000" w:themeColor="text1"/>
                      <w14:textFill>
                        <w14:solidFill>
                          <w14:schemeClr w14:val="tx1"/>
                        </w14:solidFill>
                      </w14:textFill>
                    </w:rPr>
                    <w:t>24</w:t>
                  </w:r>
                  <w:r>
                    <w:rPr>
                      <w:rFonts w:eastAsia="宋体"/>
                      <w:color w:val="000000" w:themeColor="text1"/>
                      <w14:textFill>
                        <w14:solidFill>
                          <w14:schemeClr w14:val="tx1"/>
                        </w14:solidFill>
                      </w14:textFill>
                    </w:rPr>
                    <w:t>小时平均</w:t>
                  </w:r>
                </w:p>
              </w:tc>
            </w:tr>
            <w:tr w14:paraId="65F5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22" w:type="pct"/>
                  <w:vAlign w:val="center"/>
                </w:tcPr>
                <w:p w14:paraId="356F21F0">
                  <w:pPr>
                    <w:pStyle w:val="92"/>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19" w:type="pct"/>
                  <w:vAlign w:val="center"/>
                </w:tcPr>
                <w:p w14:paraId="2959763F">
                  <w:pPr>
                    <w:pStyle w:val="92"/>
                    <w:rPr>
                      <w:rFonts w:eastAsia="宋体"/>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w:t>
                  </w:r>
                  <w:r>
                    <w:rPr>
                      <w:color w:val="000000" w:themeColor="text1"/>
                      <w14:textFill>
                        <w14:solidFill>
                          <w14:schemeClr w14:val="tx1"/>
                        </w14:solidFill>
                      </w14:textFill>
                    </w:rPr>
                    <w:t>μg/m³</w:t>
                  </w:r>
                  <w:r>
                    <w:rPr>
                      <w:rFonts w:eastAsia="宋体"/>
                      <w:color w:val="000000" w:themeColor="text1"/>
                      <w14:textFill>
                        <w14:solidFill>
                          <w14:schemeClr w14:val="tx1"/>
                        </w14:solidFill>
                      </w14:textFill>
                    </w:rPr>
                    <w:t>)(第</w:t>
                  </w:r>
                  <w:r>
                    <w:rPr>
                      <w:color w:val="000000" w:themeColor="text1"/>
                      <w14:textFill>
                        <w14:solidFill>
                          <w14:schemeClr w14:val="tx1"/>
                        </w14:solidFill>
                      </w14:textFill>
                    </w:rPr>
                    <w:t>90</w:t>
                  </w:r>
                  <w:r>
                    <w:rPr>
                      <w:rFonts w:eastAsia="宋体"/>
                      <w:color w:val="000000" w:themeColor="text1"/>
                      <w14:textFill>
                        <w14:solidFill>
                          <w14:schemeClr w14:val="tx1"/>
                        </w14:solidFill>
                      </w14:textFill>
                    </w:rPr>
                    <w:t>百分位浓度值)</w:t>
                  </w:r>
                </w:p>
              </w:tc>
              <w:tc>
                <w:tcPr>
                  <w:tcW w:w="953" w:type="pct"/>
                  <w:vAlign w:val="center"/>
                </w:tcPr>
                <w:p w14:paraId="7C69DCA9">
                  <w:pPr>
                    <w:pStyle w:val="9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146</w:t>
                  </w:r>
                </w:p>
              </w:tc>
              <w:tc>
                <w:tcPr>
                  <w:tcW w:w="657" w:type="pct"/>
                  <w:vAlign w:val="center"/>
                </w:tcPr>
                <w:p w14:paraId="28294B5C">
                  <w:pPr>
                    <w:pStyle w:val="92"/>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619" w:type="pct"/>
                  <w:vAlign w:val="center"/>
                </w:tcPr>
                <w:p w14:paraId="264FE255">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是</w:t>
                  </w:r>
                </w:p>
              </w:tc>
              <w:tc>
                <w:tcPr>
                  <w:tcW w:w="1030" w:type="pct"/>
                  <w:vAlign w:val="center"/>
                </w:tcPr>
                <w:p w14:paraId="7E480DF5">
                  <w:pPr>
                    <w:pStyle w:val="92"/>
                    <w:rPr>
                      <w:color w:val="000000" w:themeColor="text1"/>
                      <w14:textFill>
                        <w14:solidFill>
                          <w14:schemeClr w14:val="tx1"/>
                        </w14:solidFill>
                      </w14:textFill>
                    </w:rPr>
                  </w:pPr>
                  <w:r>
                    <w:rPr>
                      <w:rFonts w:eastAsia="宋体"/>
                      <w:color w:val="000000" w:themeColor="text1"/>
                      <w14:textFill>
                        <w14:solidFill>
                          <w14:schemeClr w14:val="tx1"/>
                        </w14:solidFill>
                      </w14:textFill>
                    </w:rPr>
                    <w:t>日最大</w:t>
                  </w:r>
                  <w:r>
                    <w:rPr>
                      <w:color w:val="000000" w:themeColor="text1"/>
                      <w14:textFill>
                        <w14:solidFill>
                          <w14:schemeClr w14:val="tx1"/>
                        </w14:solidFill>
                      </w14:textFill>
                    </w:rPr>
                    <w:t>8h</w:t>
                  </w:r>
                  <w:r>
                    <w:rPr>
                      <w:rFonts w:eastAsia="宋体"/>
                      <w:color w:val="000000" w:themeColor="text1"/>
                      <w14:textFill>
                        <w14:solidFill>
                          <w14:schemeClr w14:val="tx1"/>
                        </w14:solidFill>
                      </w14:textFill>
                    </w:rPr>
                    <w:t>平均</w:t>
                  </w:r>
                </w:p>
              </w:tc>
            </w:tr>
          </w:tbl>
          <w:p w14:paraId="68E6E299">
            <w:pPr>
              <w:pStyle w:val="91"/>
              <w:spacing w:before="120" w:beforeLines="50"/>
              <w:ind w:right="105" w:rightChars="50" w:firstLine="480"/>
              <w:rPr>
                <w:rFonts w:eastAsiaTheme="minorEastAsia"/>
                <w:b/>
                <w:bCs/>
                <w:color w:val="000000" w:themeColor="text1"/>
                <w14:textFill>
                  <w14:solidFill>
                    <w14:schemeClr w14:val="tx1"/>
                  </w14:solidFill>
                </w14:textFill>
              </w:rPr>
            </w:pPr>
            <w:r>
              <w:rPr>
                <w:rFonts w:eastAsiaTheme="minorEastAsia"/>
                <w:color w:val="000000" w:themeColor="text1"/>
                <w14:textFill>
                  <w14:solidFill>
                    <w14:schemeClr w14:val="tx1"/>
                  </w14:solidFill>
                </w14:textFill>
              </w:rPr>
              <w:t>根据《环境影响评价导则大气环境》(HJ2.2-2018)达标判定要求，</w:t>
            </w:r>
            <w:r>
              <w:rPr>
                <w:rFonts w:eastAsiaTheme="minorEastAsia"/>
                <w:b/>
                <w:bCs/>
                <w:color w:val="000000" w:themeColor="text1"/>
                <w14:textFill>
                  <w14:solidFill>
                    <w14:schemeClr w14:val="tx1"/>
                  </w14:solidFill>
                </w14:textFill>
              </w:rPr>
              <w:t>项目所在区域属于达标区。</w:t>
            </w:r>
          </w:p>
          <w:p w14:paraId="4A53E467">
            <w:pPr>
              <w:spacing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1.2特征因子</w:t>
            </w:r>
          </w:p>
          <w:p w14:paraId="316C5207">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根据四川环华盛锦环境监测有限公司于2021年4月25~27日对项目区域总悬浮颗粒物进行监测，监测信息如下：</w:t>
            </w:r>
          </w:p>
          <w:p w14:paraId="32DFDEE1">
            <w:pPr>
              <w:spacing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（1）监测点位、监测项目、监测时间及频次</w:t>
            </w:r>
          </w:p>
          <w:p w14:paraId="5521D2EF">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监测点位布设：共设置1个现状监测点，具体情况见表3-2。</w:t>
            </w:r>
          </w:p>
          <w:p w14:paraId="37A974BD">
            <w:pPr>
              <w:spacing w:line="360" w:lineRule="auto"/>
              <w:ind w:right="105" w:rightChars="50" w:firstLine="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表3-2大气环境质量现状监测点位</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31"/>
            </w:tblGrid>
            <w:tr w14:paraId="2F92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70" w:type="pct"/>
                  <w:vAlign w:val="center"/>
                </w:tcPr>
                <w:p w14:paraId="45A9DC95">
                  <w:pPr>
                    <w:snapToGrid w:val="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编号</w:t>
                  </w:r>
                </w:p>
              </w:tc>
              <w:tc>
                <w:tcPr>
                  <w:tcW w:w="4030" w:type="pct"/>
                  <w:vAlign w:val="center"/>
                </w:tcPr>
                <w:p w14:paraId="502A344E">
                  <w:pPr>
                    <w:snapToGrid w:val="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监测点位</w:t>
                  </w:r>
                </w:p>
              </w:tc>
            </w:tr>
            <w:tr w14:paraId="130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70" w:type="pct"/>
                  <w:vAlign w:val="center"/>
                </w:tcPr>
                <w:p w14:paraId="6621EE1C">
                  <w:pPr>
                    <w:tabs>
                      <w:tab w:val="left" w:pos="5880"/>
                    </w:tabs>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w:t>
                  </w:r>
                </w:p>
              </w:tc>
              <w:tc>
                <w:tcPr>
                  <w:tcW w:w="4030" w:type="pct"/>
                  <w:vAlign w:val="center"/>
                </w:tcPr>
                <w:p w14:paraId="3867F880">
                  <w:pPr>
                    <w:tabs>
                      <w:tab w:val="left" w:pos="5880"/>
                    </w:tabs>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项目东南侧51m，虎林村村委会处</w:t>
                  </w:r>
                </w:p>
              </w:tc>
            </w:tr>
          </w:tbl>
          <w:p w14:paraId="4C4E47D6">
            <w:pPr>
              <w:snapToGrid w:val="0"/>
              <w:spacing w:before="120" w:beforeLines="50" w:line="360" w:lineRule="auto"/>
              <w:ind w:right="105" w:rightChars="50" w:firstLine="198"/>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监测因子：总悬浮颗粒物（TSP）</w:t>
            </w:r>
          </w:p>
          <w:p w14:paraId="318BBBB7">
            <w:pPr>
              <w:snapToGrid w:val="0"/>
              <w:spacing w:line="360" w:lineRule="auto"/>
              <w:ind w:right="105" w:rightChars="50" w:firstLine="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监测频次：每天监测1次（24h均值），连续监测3天。</w:t>
            </w:r>
          </w:p>
          <w:p w14:paraId="3C3E761B">
            <w:pPr>
              <w:snapToGrid w:val="0"/>
              <w:spacing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（2）监测结果统计</w:t>
            </w:r>
          </w:p>
          <w:p w14:paraId="16C8A0E1">
            <w:pPr>
              <w:snapToGrid w:val="0"/>
              <w:spacing w:line="360" w:lineRule="auto"/>
              <w:ind w:right="105" w:rightChars="50" w:firstLine="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TSP检测结果详见表3-3。</w:t>
            </w:r>
          </w:p>
          <w:p w14:paraId="34C40AD4">
            <w:pPr>
              <w:spacing w:line="360" w:lineRule="auto"/>
              <w:ind w:right="105" w:rightChars="50" w:firstLine="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表3-3特征污染物环境质量现状TVOC监测结果统计表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35"/>
              <w:gridCol w:w="2139"/>
              <w:gridCol w:w="2773"/>
            </w:tblGrid>
            <w:tr w14:paraId="699B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77" w:type="pct"/>
                  <w:vAlign w:val="center"/>
                </w:tcPr>
                <w:p w14:paraId="60D4CFB5">
                  <w:pPr>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监测点位</w:t>
                  </w:r>
                </w:p>
              </w:tc>
              <w:tc>
                <w:tcPr>
                  <w:tcW w:w="1067" w:type="pct"/>
                  <w:vAlign w:val="center"/>
                </w:tcPr>
                <w:p w14:paraId="071D2946">
                  <w:pPr>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检测项目</w:t>
                  </w:r>
                </w:p>
              </w:tc>
              <w:tc>
                <w:tcPr>
                  <w:tcW w:w="1244" w:type="pct"/>
                  <w:vAlign w:val="center"/>
                </w:tcPr>
                <w:p w14:paraId="089A8414">
                  <w:pPr>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采样日期</w:t>
                  </w:r>
                </w:p>
              </w:tc>
              <w:tc>
                <w:tcPr>
                  <w:tcW w:w="1613" w:type="pct"/>
                  <w:vAlign w:val="center"/>
                </w:tcPr>
                <w:p w14:paraId="15992D0D">
                  <w:pPr>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检测结果</w:t>
                  </w:r>
                </w:p>
              </w:tc>
            </w:tr>
            <w:tr w14:paraId="51F7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77" w:type="pct"/>
                  <w:vMerge w:val="restart"/>
                  <w:vAlign w:val="center"/>
                </w:tcPr>
                <w:p w14:paraId="17E2BE50">
                  <w:pPr>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项目东南侧51m虎林村村委会处</w:t>
                  </w:r>
                </w:p>
              </w:tc>
              <w:tc>
                <w:tcPr>
                  <w:tcW w:w="1067" w:type="pct"/>
                  <w:vMerge w:val="restart"/>
                  <w:vAlign w:val="center"/>
                </w:tcPr>
                <w:p w14:paraId="2241A4B8">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TSP</w:t>
                  </w:r>
                </w:p>
              </w:tc>
              <w:tc>
                <w:tcPr>
                  <w:tcW w:w="1244" w:type="pct"/>
                  <w:vAlign w:val="center"/>
                </w:tcPr>
                <w:p w14:paraId="0967FF02">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2021.04.25</w:t>
                  </w:r>
                </w:p>
              </w:tc>
              <w:tc>
                <w:tcPr>
                  <w:tcW w:w="1613" w:type="pct"/>
                  <w:vAlign w:val="center"/>
                </w:tcPr>
                <w:p w14:paraId="038763D4">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0.148</w:t>
                  </w:r>
                </w:p>
              </w:tc>
            </w:tr>
            <w:tr w14:paraId="4905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7" w:type="pct"/>
                  <w:vMerge w:val="continue"/>
                  <w:vAlign w:val="center"/>
                </w:tcPr>
                <w:p w14:paraId="0A8EA4D6">
                  <w:pPr>
                    <w:jc w:val="center"/>
                    <w:rPr>
                      <w:rFonts w:eastAsiaTheme="minorEastAsia"/>
                      <w:color w:val="000000" w:themeColor="text1"/>
                      <w:sz w:val="24"/>
                      <w14:textFill>
                        <w14:solidFill>
                          <w14:schemeClr w14:val="tx1"/>
                        </w14:solidFill>
                      </w14:textFill>
                    </w:rPr>
                  </w:pPr>
                </w:p>
              </w:tc>
              <w:tc>
                <w:tcPr>
                  <w:tcW w:w="1067" w:type="pct"/>
                  <w:vMerge w:val="continue"/>
                  <w:vAlign w:val="center"/>
                </w:tcPr>
                <w:p w14:paraId="2CD8C814">
                  <w:pPr>
                    <w:jc w:val="center"/>
                    <w:rPr>
                      <w:rFonts w:eastAsiaTheme="minorEastAsia"/>
                      <w:color w:val="000000" w:themeColor="text1"/>
                      <w:sz w:val="24"/>
                      <w14:textFill>
                        <w14:solidFill>
                          <w14:schemeClr w14:val="tx1"/>
                        </w14:solidFill>
                      </w14:textFill>
                    </w:rPr>
                  </w:pPr>
                </w:p>
              </w:tc>
              <w:tc>
                <w:tcPr>
                  <w:tcW w:w="1244" w:type="pct"/>
                  <w:vAlign w:val="center"/>
                </w:tcPr>
                <w:p w14:paraId="3F562983">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2021.04.26</w:t>
                  </w:r>
                </w:p>
              </w:tc>
              <w:tc>
                <w:tcPr>
                  <w:tcW w:w="1613" w:type="pct"/>
                  <w:vAlign w:val="center"/>
                </w:tcPr>
                <w:p w14:paraId="72D92467">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0.153</w:t>
                  </w:r>
                </w:p>
              </w:tc>
            </w:tr>
            <w:tr w14:paraId="2EAF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7" w:type="pct"/>
                  <w:vMerge w:val="continue"/>
                  <w:vAlign w:val="center"/>
                </w:tcPr>
                <w:p w14:paraId="309A63D6">
                  <w:pPr>
                    <w:jc w:val="center"/>
                    <w:rPr>
                      <w:rFonts w:eastAsiaTheme="minorEastAsia"/>
                      <w:color w:val="000000" w:themeColor="text1"/>
                      <w:sz w:val="24"/>
                      <w14:textFill>
                        <w14:solidFill>
                          <w14:schemeClr w14:val="tx1"/>
                        </w14:solidFill>
                      </w14:textFill>
                    </w:rPr>
                  </w:pPr>
                </w:p>
              </w:tc>
              <w:tc>
                <w:tcPr>
                  <w:tcW w:w="1067" w:type="pct"/>
                  <w:vMerge w:val="continue"/>
                  <w:vAlign w:val="center"/>
                </w:tcPr>
                <w:p w14:paraId="3BAA6CD0">
                  <w:pPr>
                    <w:jc w:val="center"/>
                    <w:rPr>
                      <w:rFonts w:eastAsiaTheme="minorEastAsia"/>
                      <w:color w:val="000000" w:themeColor="text1"/>
                      <w:sz w:val="24"/>
                      <w14:textFill>
                        <w14:solidFill>
                          <w14:schemeClr w14:val="tx1"/>
                        </w14:solidFill>
                      </w14:textFill>
                    </w:rPr>
                  </w:pPr>
                </w:p>
              </w:tc>
              <w:tc>
                <w:tcPr>
                  <w:tcW w:w="1244" w:type="pct"/>
                  <w:vAlign w:val="center"/>
                </w:tcPr>
                <w:p w14:paraId="083F3ADC">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2021.04.27</w:t>
                  </w:r>
                </w:p>
              </w:tc>
              <w:tc>
                <w:tcPr>
                  <w:tcW w:w="1613" w:type="pct"/>
                  <w:vAlign w:val="center"/>
                </w:tcPr>
                <w:p w14:paraId="7007F942">
                  <w:pPr>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0.159</w:t>
                  </w:r>
                </w:p>
              </w:tc>
            </w:tr>
          </w:tbl>
          <w:p w14:paraId="7A7793D1">
            <w:pPr>
              <w:autoSpaceDE w:val="0"/>
              <w:autoSpaceDN w:val="0"/>
              <w:snapToGrid w:val="0"/>
              <w:spacing w:before="120" w:beforeLines="50"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（3）评价方法</w:t>
            </w:r>
          </w:p>
          <w:p w14:paraId="531A7335">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评价方法</w:t>
            </w:r>
          </w:p>
          <w:p w14:paraId="105B6C70">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采用最大浓度</w:t>
            </w:r>
            <w:r>
              <w:rPr>
                <w:rFonts w:hint="eastAsia" w:eastAsiaTheme="minorEastAsia"/>
                <w:color w:val="000000" w:themeColor="text1"/>
                <w:sz w:val="24"/>
                <w:lang w:eastAsia="zh-CN"/>
                <w14:textFill>
                  <w14:solidFill>
                    <w14:schemeClr w14:val="tx1"/>
                  </w14:solidFill>
                </w14:textFill>
              </w:rPr>
              <w:t>达</w:t>
            </w:r>
            <w:r>
              <w:rPr>
                <w:rFonts w:eastAsiaTheme="minorEastAsia"/>
                <w:color w:val="000000" w:themeColor="text1"/>
                <w:sz w:val="24"/>
                <w14:textFill>
                  <w14:solidFill>
                    <w14:schemeClr w14:val="tx1"/>
                  </w14:solidFill>
                </w14:textFill>
              </w:rPr>
              <w:t>标率进行评价。最大浓度占标率Pi计算表达式：</w:t>
            </w:r>
          </w:p>
          <w:p w14:paraId="6E7263CB">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object>
                <v:shape id="_x0000_i1027" o:spt="75" type="#_x0000_t75" style="height:37.5pt;width:80.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14:paraId="22B336D8">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式中：Pi——第i个污染物的最大地面空气质量浓度占标率，%；</w:t>
            </w:r>
          </w:p>
          <w:p w14:paraId="70019FFC">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Ci——第i个污染物监测浓度最大值，ug/m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w:t>
            </w:r>
          </w:p>
          <w:p w14:paraId="6FD192D3">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Coi——第i种污染物的环境空气质量标准浓度，ug/m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w:t>
            </w:r>
          </w:p>
          <w:p w14:paraId="12EF3FC7">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当Pi值大于100时，表明大气环境已受到该项评价所表征的污染物的污染，Pi值越大，受污染程度越大。</w:t>
            </w:r>
          </w:p>
          <w:p w14:paraId="529A072F">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评价标准：执行《环境空气质量标准》（GB3095-2012）相关要求。</w:t>
            </w:r>
          </w:p>
          <w:p w14:paraId="5409B947">
            <w:pPr>
              <w:autoSpaceDE w:val="0"/>
              <w:autoSpaceDN w:val="0"/>
              <w:snapToGrid w:val="0"/>
              <w:spacing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（4）评价结果</w:t>
            </w:r>
          </w:p>
          <w:p w14:paraId="1F940AAC">
            <w:pPr>
              <w:pStyle w:val="3"/>
              <w:snapToGrid w:val="0"/>
              <w:spacing w:after="0" w:line="360" w:lineRule="auto"/>
              <w:ind w:left="0" w:leftChars="0" w:right="105" w:rightChars="50" w:firstLine="480" w:firstLineChars="20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大气环境现状评价采用占标率法进行评价，根据评价因子标准限值及评价模式计算，得出单项指数法计算结果，结果见下表。</w:t>
            </w:r>
          </w:p>
          <w:p w14:paraId="731D651D">
            <w:pPr>
              <w:spacing w:line="360" w:lineRule="auto"/>
              <w:ind w:right="105" w:rightChars="50" w:firstLine="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表3-4环境空气质量现状评价结果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975"/>
              <w:gridCol w:w="1376"/>
              <w:gridCol w:w="2299"/>
              <w:gridCol w:w="1335"/>
              <w:gridCol w:w="1771"/>
            </w:tblGrid>
            <w:tr w14:paraId="483C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90" w:type="pct"/>
                  <w:vAlign w:val="center"/>
                </w:tcPr>
                <w:p w14:paraId="2C0B5D78">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监测</w:t>
                  </w:r>
                </w:p>
                <w:p w14:paraId="4641C8B2">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点位</w:t>
                  </w:r>
                </w:p>
              </w:tc>
              <w:tc>
                <w:tcPr>
                  <w:tcW w:w="567" w:type="pct"/>
                  <w:vAlign w:val="center"/>
                </w:tcPr>
                <w:p w14:paraId="71A2D449">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污染物</w:t>
                  </w:r>
                </w:p>
              </w:tc>
              <w:tc>
                <w:tcPr>
                  <w:tcW w:w="800" w:type="pct"/>
                  <w:vAlign w:val="center"/>
                </w:tcPr>
                <w:p w14:paraId="571AAA15">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评价标准（mg/m</w:t>
                  </w:r>
                  <w:r>
                    <w:rPr>
                      <w:rFonts w:eastAsiaTheme="minorEastAsia"/>
                      <w:b/>
                      <w:bCs/>
                      <w:color w:val="000000" w:themeColor="text1"/>
                      <w:szCs w:val="21"/>
                      <w:vertAlign w:val="superscript"/>
                      <w14:textFill>
                        <w14:solidFill>
                          <w14:schemeClr w14:val="tx1"/>
                        </w14:solidFill>
                      </w14:textFill>
                    </w:rPr>
                    <w:t>3</w:t>
                  </w:r>
                  <w:r>
                    <w:rPr>
                      <w:rFonts w:eastAsiaTheme="minorEastAsia"/>
                      <w:b/>
                      <w:bCs/>
                      <w:color w:val="000000" w:themeColor="text1"/>
                      <w:szCs w:val="21"/>
                      <w14:textFill>
                        <w14:solidFill>
                          <w14:schemeClr w14:val="tx1"/>
                        </w14:solidFill>
                      </w14:textFill>
                    </w:rPr>
                    <w:t>）</w:t>
                  </w:r>
                </w:p>
              </w:tc>
              <w:tc>
                <w:tcPr>
                  <w:tcW w:w="1337" w:type="pct"/>
                  <w:vAlign w:val="center"/>
                </w:tcPr>
                <w:p w14:paraId="5064E331">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监测浓度范围（ug/m</w:t>
                  </w:r>
                  <w:r>
                    <w:rPr>
                      <w:rFonts w:eastAsiaTheme="minorEastAsia"/>
                      <w:b/>
                      <w:bCs/>
                      <w:color w:val="000000" w:themeColor="text1"/>
                      <w:szCs w:val="21"/>
                      <w:vertAlign w:val="superscript"/>
                      <w14:textFill>
                        <w14:solidFill>
                          <w14:schemeClr w14:val="tx1"/>
                        </w14:solidFill>
                      </w14:textFill>
                    </w:rPr>
                    <w:t>3</w:t>
                  </w:r>
                  <w:r>
                    <w:rPr>
                      <w:rFonts w:eastAsiaTheme="minorEastAsia"/>
                      <w:b/>
                      <w:bCs/>
                      <w:color w:val="000000" w:themeColor="text1"/>
                      <w:szCs w:val="21"/>
                      <w14:textFill>
                        <w14:solidFill>
                          <w14:schemeClr w14:val="tx1"/>
                        </w14:solidFill>
                      </w14:textFill>
                    </w:rPr>
                    <w:t>）</w:t>
                  </w:r>
                </w:p>
              </w:tc>
              <w:tc>
                <w:tcPr>
                  <w:tcW w:w="776" w:type="pct"/>
                  <w:vAlign w:val="center"/>
                </w:tcPr>
                <w:p w14:paraId="00C4BFD3">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最大浓度占标率/%</w:t>
                  </w:r>
                </w:p>
              </w:tc>
              <w:tc>
                <w:tcPr>
                  <w:tcW w:w="1031" w:type="pct"/>
                  <w:vAlign w:val="center"/>
                </w:tcPr>
                <w:p w14:paraId="042DCF2C">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超标率/%</w:t>
                  </w:r>
                </w:p>
              </w:tc>
            </w:tr>
            <w:tr w14:paraId="728F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90" w:type="pct"/>
                  <w:vAlign w:val="center"/>
                </w:tcPr>
                <w:p w14:paraId="3C66FAB9">
                  <w:pPr>
                    <w:ind w:right="105" w:rightChars="5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567" w:type="pct"/>
                  <w:vAlign w:val="center"/>
                </w:tcPr>
                <w:p w14:paraId="0BE2E6B6">
                  <w:pPr>
                    <w:ind w:right="105" w:rightChars="5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TSP</w:t>
                  </w:r>
                </w:p>
              </w:tc>
              <w:tc>
                <w:tcPr>
                  <w:tcW w:w="800" w:type="pct"/>
                  <w:vAlign w:val="center"/>
                </w:tcPr>
                <w:p w14:paraId="3CE640DA">
                  <w:pPr>
                    <w:ind w:right="105" w:rightChars="5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0.3</w:t>
                  </w:r>
                </w:p>
              </w:tc>
              <w:tc>
                <w:tcPr>
                  <w:tcW w:w="1337" w:type="pct"/>
                  <w:vAlign w:val="center"/>
                </w:tcPr>
                <w:p w14:paraId="4EAEC92C">
                  <w:pPr>
                    <w:ind w:right="105" w:rightChars="5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0.148~0.153</w:t>
                  </w:r>
                </w:p>
              </w:tc>
              <w:tc>
                <w:tcPr>
                  <w:tcW w:w="776" w:type="pct"/>
                  <w:vAlign w:val="center"/>
                </w:tcPr>
                <w:p w14:paraId="1D44ECB4">
                  <w:pPr>
                    <w:ind w:right="105" w:rightChars="5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0.51</w:t>
                  </w:r>
                </w:p>
              </w:tc>
              <w:tc>
                <w:tcPr>
                  <w:tcW w:w="1031" w:type="pct"/>
                  <w:vAlign w:val="center"/>
                </w:tcPr>
                <w:p w14:paraId="33330A7C">
                  <w:pPr>
                    <w:ind w:right="105" w:rightChars="5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w:t>
                  </w:r>
                </w:p>
              </w:tc>
            </w:tr>
          </w:tbl>
          <w:p w14:paraId="541742F6">
            <w:pPr>
              <w:spacing w:before="120" w:beforeLines="50"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根据上述监测，项目区域TSP满足《环境空气质量标准》（GB3095-2012）标准要求。</w:t>
            </w:r>
          </w:p>
          <w:p w14:paraId="0933235A">
            <w:pPr>
              <w:spacing w:line="360" w:lineRule="auto"/>
              <w:ind w:right="105" w:rightChars="5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2、地表水</w:t>
            </w:r>
          </w:p>
          <w:p w14:paraId="1DE72A22">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项目东北侧90m处为通仙溪，主要功能为行洪灌溉。南侧2000m处为郪江。项目生活废水经预处理池处理后用作农肥施用于周边农田耕地，生产废水经沉淀处理后回用于生产，不外排。</w:t>
            </w:r>
          </w:p>
          <w:p w14:paraId="42A07D65">
            <w:pPr>
              <w:pStyle w:val="91"/>
              <w:ind w:right="105" w:rightChars="50"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根据《环境影响评价技术导则 地表水环境》（HJ2.3-2018），本次地表水环境质量现状引用遂宁市污染防治攻坚战领导小组办公室发布的《遂宁市污染防治攻坚战领导小组办公室关于2022年12 月全市地表水和环境空气质量排名情况的通报》（遂污防攻坚办〔2023〕2号），如下表所示：</w:t>
            </w:r>
          </w:p>
          <w:p w14:paraId="6773D4D0">
            <w:pPr>
              <w:pStyle w:val="9"/>
              <w:tabs>
                <w:tab w:val="left" w:pos="0"/>
              </w:tabs>
              <w:spacing w:line="360" w:lineRule="auto"/>
              <w:ind w:right="105" w:rightChars="50" w:firstLine="200"/>
              <w:rPr>
                <w:rFonts w:ascii="Times New Roman" w:hAnsi="Times New Roman" w:cs="Times New Roman" w:eastAsiaTheme="minorEastAsia"/>
                <w:bCs/>
                <w:color w:val="000000" w:themeColor="text1"/>
                <w:sz w:val="24"/>
                <w14:textFill>
                  <w14:solidFill>
                    <w14:schemeClr w14:val="tx1"/>
                  </w14:solidFill>
                </w14:textFill>
              </w:rPr>
            </w:pPr>
            <w:r>
              <w:rPr>
                <w:rFonts w:ascii="Times New Roman" w:hAnsi="Times New Roman" w:cs="Times New Roman" w:eastAsiaTheme="minorEastAsia"/>
                <w:b/>
                <w:bCs/>
                <w:color w:val="000000" w:themeColor="text1"/>
                <w:sz w:val="24"/>
                <w14:textFill>
                  <w14:solidFill>
                    <w14:schemeClr w14:val="tx1"/>
                  </w14:solidFill>
                </w14:textFill>
              </w:rPr>
              <w:t>表3-5  2022年郪江河水质评价结果表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611"/>
              <w:gridCol w:w="612"/>
              <w:gridCol w:w="612"/>
              <w:gridCol w:w="710"/>
              <w:gridCol w:w="817"/>
              <w:gridCol w:w="843"/>
              <w:gridCol w:w="684"/>
              <w:gridCol w:w="948"/>
              <w:gridCol w:w="887"/>
              <w:gridCol w:w="1264"/>
            </w:tblGrid>
            <w:tr w14:paraId="146F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5" w:type="pct"/>
                  <w:vMerge w:val="restart"/>
                  <w:tcMar>
                    <w:left w:w="57" w:type="dxa"/>
                    <w:right w:w="57" w:type="dxa"/>
                  </w:tcMar>
                  <w:vAlign w:val="center"/>
                </w:tcPr>
                <w:p w14:paraId="0EB6A111">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断面名称</w:t>
                  </w:r>
                </w:p>
              </w:tc>
              <w:tc>
                <w:tcPr>
                  <w:tcW w:w="355" w:type="pct"/>
                  <w:vMerge w:val="restart"/>
                  <w:tcMar>
                    <w:left w:w="57" w:type="dxa"/>
                    <w:right w:w="57" w:type="dxa"/>
                  </w:tcMar>
                  <w:vAlign w:val="center"/>
                </w:tcPr>
                <w:p w14:paraId="1A6824F7">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所在地</w:t>
                  </w:r>
                </w:p>
              </w:tc>
              <w:tc>
                <w:tcPr>
                  <w:tcW w:w="356" w:type="pct"/>
                  <w:vMerge w:val="restart"/>
                  <w:tcMar>
                    <w:left w:w="57" w:type="dxa"/>
                    <w:right w:w="57" w:type="dxa"/>
                  </w:tcMar>
                  <w:vAlign w:val="center"/>
                </w:tcPr>
                <w:p w14:paraId="72F411A2">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断面类别</w:t>
                  </w:r>
                </w:p>
              </w:tc>
              <w:tc>
                <w:tcPr>
                  <w:tcW w:w="356" w:type="pct"/>
                  <w:vMerge w:val="restart"/>
                  <w:tcMar>
                    <w:left w:w="57" w:type="dxa"/>
                    <w:right w:w="57" w:type="dxa"/>
                  </w:tcMar>
                  <w:vAlign w:val="center"/>
                </w:tcPr>
                <w:p w14:paraId="3A2FA542">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规定类别</w:t>
                  </w:r>
                </w:p>
              </w:tc>
              <w:tc>
                <w:tcPr>
                  <w:tcW w:w="2843" w:type="pct"/>
                  <w:gridSpan w:val="6"/>
                  <w:tcMar>
                    <w:left w:w="57" w:type="dxa"/>
                    <w:right w:w="57" w:type="dxa"/>
                  </w:tcMar>
                  <w:vAlign w:val="center"/>
                </w:tcPr>
                <w:p w14:paraId="314ED657">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单项指标浓度</w:t>
                  </w:r>
                </w:p>
              </w:tc>
              <w:tc>
                <w:tcPr>
                  <w:tcW w:w="735" w:type="pct"/>
                  <w:vMerge w:val="restart"/>
                  <w:tcMar>
                    <w:left w:w="57" w:type="dxa"/>
                    <w:right w:w="57" w:type="dxa"/>
                  </w:tcMar>
                  <w:vAlign w:val="center"/>
                </w:tcPr>
                <w:p w14:paraId="41C3D1B6">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主要污染指标/超标倍数</w:t>
                  </w:r>
                </w:p>
              </w:tc>
            </w:tr>
            <w:tr w14:paraId="6456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tcMar>
                    <w:left w:w="57" w:type="dxa"/>
                    <w:right w:w="57" w:type="dxa"/>
                  </w:tcMar>
                  <w:vAlign w:val="center"/>
                </w:tcPr>
                <w:p w14:paraId="0F19E4B7">
                  <w:pPr>
                    <w:widowControl/>
                    <w:jc w:val="center"/>
                    <w:rPr>
                      <w:rFonts w:eastAsiaTheme="minorEastAsia"/>
                      <w:color w:val="000000" w:themeColor="text1"/>
                      <w:szCs w:val="21"/>
                      <w14:textFill>
                        <w14:solidFill>
                          <w14:schemeClr w14:val="tx1"/>
                        </w14:solidFill>
                      </w14:textFill>
                    </w:rPr>
                  </w:pPr>
                </w:p>
              </w:tc>
              <w:tc>
                <w:tcPr>
                  <w:tcW w:w="355" w:type="pct"/>
                  <w:vMerge w:val="continue"/>
                  <w:tcMar>
                    <w:left w:w="57" w:type="dxa"/>
                    <w:right w:w="57" w:type="dxa"/>
                  </w:tcMar>
                  <w:vAlign w:val="center"/>
                </w:tcPr>
                <w:p w14:paraId="6F968E0E">
                  <w:pPr>
                    <w:widowControl/>
                    <w:jc w:val="center"/>
                    <w:rPr>
                      <w:rFonts w:eastAsiaTheme="minorEastAsia"/>
                      <w:color w:val="000000" w:themeColor="text1"/>
                      <w:szCs w:val="21"/>
                      <w14:textFill>
                        <w14:solidFill>
                          <w14:schemeClr w14:val="tx1"/>
                        </w14:solidFill>
                      </w14:textFill>
                    </w:rPr>
                  </w:pPr>
                </w:p>
              </w:tc>
              <w:tc>
                <w:tcPr>
                  <w:tcW w:w="356" w:type="pct"/>
                  <w:vMerge w:val="continue"/>
                  <w:tcMar>
                    <w:left w:w="57" w:type="dxa"/>
                    <w:right w:w="57" w:type="dxa"/>
                  </w:tcMar>
                  <w:vAlign w:val="center"/>
                </w:tcPr>
                <w:p w14:paraId="65097EA6">
                  <w:pPr>
                    <w:widowControl/>
                    <w:jc w:val="center"/>
                    <w:rPr>
                      <w:rFonts w:eastAsiaTheme="minorEastAsia"/>
                      <w:color w:val="000000" w:themeColor="text1"/>
                      <w:szCs w:val="21"/>
                      <w14:textFill>
                        <w14:solidFill>
                          <w14:schemeClr w14:val="tx1"/>
                        </w14:solidFill>
                      </w14:textFill>
                    </w:rPr>
                  </w:pPr>
                </w:p>
              </w:tc>
              <w:tc>
                <w:tcPr>
                  <w:tcW w:w="356" w:type="pct"/>
                  <w:vMerge w:val="continue"/>
                  <w:tcMar>
                    <w:left w:w="57" w:type="dxa"/>
                    <w:right w:w="57" w:type="dxa"/>
                  </w:tcMar>
                  <w:vAlign w:val="center"/>
                </w:tcPr>
                <w:p w14:paraId="065ADA50">
                  <w:pPr>
                    <w:widowControl/>
                    <w:jc w:val="center"/>
                    <w:rPr>
                      <w:rFonts w:eastAsiaTheme="minorEastAsia"/>
                      <w:color w:val="000000" w:themeColor="text1"/>
                      <w:szCs w:val="21"/>
                      <w14:textFill>
                        <w14:solidFill>
                          <w14:schemeClr w14:val="tx1"/>
                        </w14:solidFill>
                      </w14:textFill>
                    </w:rPr>
                  </w:pPr>
                </w:p>
              </w:tc>
              <w:tc>
                <w:tcPr>
                  <w:tcW w:w="413" w:type="pct"/>
                  <w:tcMar>
                    <w:left w:w="57" w:type="dxa"/>
                    <w:right w:w="57" w:type="dxa"/>
                  </w:tcMar>
                  <w:vAlign w:val="center"/>
                </w:tcPr>
                <w:p w14:paraId="65A10386">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pH</w:t>
                  </w:r>
                </w:p>
              </w:tc>
              <w:tc>
                <w:tcPr>
                  <w:tcW w:w="475" w:type="pct"/>
                  <w:tcMar>
                    <w:left w:w="57" w:type="dxa"/>
                    <w:right w:w="57" w:type="dxa"/>
                  </w:tcMar>
                  <w:vAlign w:val="center"/>
                </w:tcPr>
                <w:p w14:paraId="59F8CA13">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溶解氧</w:t>
                  </w:r>
                </w:p>
              </w:tc>
              <w:tc>
                <w:tcPr>
                  <w:tcW w:w="490" w:type="pct"/>
                  <w:tcMar>
                    <w:left w:w="57" w:type="dxa"/>
                    <w:right w:w="57" w:type="dxa"/>
                  </w:tcMar>
                  <w:vAlign w:val="center"/>
                </w:tcPr>
                <w:p w14:paraId="4E376663">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t>高锰酸盐</w:t>
                  </w:r>
                  <w:r>
                    <w:rPr>
                      <w:rFonts w:eastAsiaTheme="minorEastAsia"/>
                      <w:b/>
                      <w:bCs/>
                      <w:color w:val="000000" w:themeColor="text1"/>
                      <w:sz w:val="21"/>
                      <w:szCs w:val="21"/>
                      <w14:textFill>
                        <w14:solidFill>
                          <w14:schemeClr w14:val="tx1"/>
                        </w14:solidFill>
                      </w14:textFill>
                    </w:rPr>
                    <w:t>指数</w:t>
                  </w:r>
                </w:p>
              </w:tc>
              <w:tc>
                <w:tcPr>
                  <w:tcW w:w="398" w:type="pct"/>
                  <w:tcMar>
                    <w:left w:w="57" w:type="dxa"/>
                    <w:right w:w="57" w:type="dxa"/>
                  </w:tcMar>
                  <w:vAlign w:val="center"/>
                </w:tcPr>
                <w:p w14:paraId="52449EBF">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COD</w:t>
                  </w:r>
                </w:p>
              </w:tc>
              <w:tc>
                <w:tcPr>
                  <w:tcW w:w="551" w:type="pct"/>
                  <w:tcMar>
                    <w:left w:w="57" w:type="dxa"/>
                    <w:right w:w="57" w:type="dxa"/>
                  </w:tcMar>
                  <w:vAlign w:val="center"/>
                </w:tcPr>
                <w:p w14:paraId="65C55AF1">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氨氮</w:t>
                  </w:r>
                </w:p>
              </w:tc>
              <w:tc>
                <w:tcPr>
                  <w:tcW w:w="516" w:type="pct"/>
                  <w:tcMar>
                    <w:left w:w="57" w:type="dxa"/>
                    <w:right w:w="57" w:type="dxa"/>
                  </w:tcMar>
                  <w:vAlign w:val="center"/>
                </w:tcPr>
                <w:p w14:paraId="4C229DDE">
                  <w:pPr>
                    <w:pStyle w:val="91"/>
                    <w:spacing w:line="240" w:lineRule="auto"/>
                    <w:ind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总磷</w:t>
                  </w:r>
                </w:p>
              </w:tc>
              <w:tc>
                <w:tcPr>
                  <w:tcW w:w="735" w:type="pct"/>
                  <w:vMerge w:val="continue"/>
                  <w:tcMar>
                    <w:left w:w="57" w:type="dxa"/>
                    <w:right w:w="57" w:type="dxa"/>
                  </w:tcMar>
                  <w:vAlign w:val="center"/>
                </w:tcPr>
                <w:p w14:paraId="143EBBDE">
                  <w:pPr>
                    <w:widowControl/>
                    <w:jc w:val="center"/>
                    <w:rPr>
                      <w:rFonts w:eastAsiaTheme="minorEastAsia"/>
                      <w:color w:val="000000" w:themeColor="text1"/>
                      <w:szCs w:val="21"/>
                      <w14:textFill>
                        <w14:solidFill>
                          <w14:schemeClr w14:val="tx1"/>
                        </w14:solidFill>
                      </w14:textFill>
                    </w:rPr>
                  </w:pPr>
                </w:p>
              </w:tc>
            </w:tr>
            <w:tr w14:paraId="6C29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Mar>
                    <w:left w:w="57" w:type="dxa"/>
                    <w:right w:w="57" w:type="dxa"/>
                  </w:tcMar>
                  <w:vAlign w:val="center"/>
                </w:tcPr>
                <w:p w14:paraId="674D8742">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郪江口</w:t>
                  </w:r>
                </w:p>
              </w:tc>
              <w:tc>
                <w:tcPr>
                  <w:tcW w:w="355" w:type="pct"/>
                  <w:tcMar>
                    <w:left w:w="57" w:type="dxa"/>
                    <w:right w:w="57" w:type="dxa"/>
                  </w:tcMar>
                  <w:vAlign w:val="center"/>
                </w:tcPr>
                <w:p w14:paraId="4D9AE260">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大英县</w:t>
                  </w:r>
                </w:p>
              </w:tc>
              <w:tc>
                <w:tcPr>
                  <w:tcW w:w="356" w:type="pct"/>
                  <w:tcMar>
                    <w:left w:w="57" w:type="dxa"/>
                    <w:right w:w="57" w:type="dxa"/>
                  </w:tcMar>
                  <w:vAlign w:val="center"/>
                </w:tcPr>
                <w:p w14:paraId="07276378">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国控</w:t>
                  </w:r>
                </w:p>
              </w:tc>
              <w:tc>
                <w:tcPr>
                  <w:tcW w:w="356" w:type="pct"/>
                  <w:tcMar>
                    <w:left w:w="57" w:type="dxa"/>
                    <w:right w:w="57" w:type="dxa"/>
                  </w:tcMar>
                  <w:vAlign w:val="center"/>
                </w:tcPr>
                <w:p w14:paraId="3F08470A">
                  <w:pPr>
                    <w:widowControl/>
                    <w:jc w:val="center"/>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Ⅲ</w:t>
                  </w:r>
                </w:p>
              </w:tc>
              <w:tc>
                <w:tcPr>
                  <w:tcW w:w="413" w:type="pct"/>
                  <w:tcMar>
                    <w:left w:w="57" w:type="dxa"/>
                    <w:right w:w="57" w:type="dxa"/>
                  </w:tcMar>
                  <w:vAlign w:val="center"/>
                </w:tcPr>
                <w:p w14:paraId="19FA722C">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8.1</w:t>
                  </w:r>
                </w:p>
              </w:tc>
              <w:tc>
                <w:tcPr>
                  <w:tcW w:w="475" w:type="pct"/>
                  <w:tcMar>
                    <w:left w:w="57" w:type="dxa"/>
                    <w:right w:w="57" w:type="dxa"/>
                  </w:tcMar>
                  <w:vAlign w:val="center"/>
                </w:tcPr>
                <w:p w14:paraId="7DEBEFDE">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7.85</w:t>
                  </w:r>
                </w:p>
              </w:tc>
              <w:tc>
                <w:tcPr>
                  <w:tcW w:w="490" w:type="pct"/>
                  <w:tcMar>
                    <w:left w:w="57" w:type="dxa"/>
                    <w:right w:w="57" w:type="dxa"/>
                  </w:tcMar>
                  <w:vAlign w:val="center"/>
                </w:tcPr>
                <w:p w14:paraId="2B7F2F4F">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3.9</w:t>
                  </w:r>
                </w:p>
              </w:tc>
              <w:tc>
                <w:tcPr>
                  <w:tcW w:w="398" w:type="pct"/>
                  <w:tcMar>
                    <w:left w:w="57" w:type="dxa"/>
                    <w:right w:w="57" w:type="dxa"/>
                  </w:tcMar>
                  <w:vAlign w:val="center"/>
                </w:tcPr>
                <w:p w14:paraId="4F39B7D9">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17.7</w:t>
                  </w:r>
                </w:p>
              </w:tc>
              <w:tc>
                <w:tcPr>
                  <w:tcW w:w="551" w:type="pct"/>
                  <w:tcMar>
                    <w:left w:w="57" w:type="dxa"/>
                    <w:right w:w="57" w:type="dxa"/>
                  </w:tcMar>
                  <w:vAlign w:val="center"/>
                </w:tcPr>
                <w:p w14:paraId="2FD2BD2B">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0.198</w:t>
                  </w:r>
                </w:p>
              </w:tc>
              <w:tc>
                <w:tcPr>
                  <w:tcW w:w="516" w:type="pct"/>
                  <w:tcMar>
                    <w:left w:w="57" w:type="dxa"/>
                    <w:right w:w="57" w:type="dxa"/>
                  </w:tcMar>
                  <w:vAlign w:val="center"/>
                </w:tcPr>
                <w:p w14:paraId="2A69C0CA">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0.098</w:t>
                  </w:r>
                </w:p>
              </w:tc>
              <w:tc>
                <w:tcPr>
                  <w:tcW w:w="735" w:type="pct"/>
                  <w:tcMar>
                    <w:left w:w="57" w:type="dxa"/>
                    <w:right w:w="57" w:type="dxa"/>
                  </w:tcMar>
                  <w:vAlign w:val="center"/>
                </w:tcPr>
                <w:p w14:paraId="4C4FF8E9">
                  <w:pPr>
                    <w:pStyle w:val="91"/>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bl>
          <w:p w14:paraId="67CF0D5B">
            <w:pPr>
              <w:pStyle w:val="91"/>
              <w:spacing w:before="120" w:beforeLines="50"/>
              <w:ind w:right="105" w:rightChars="50" w:firstLine="482"/>
              <w:rPr>
                <w:rFonts w:eastAsiaTheme="minorEastAsia"/>
                <w:b/>
                <w:bCs/>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由上表可知，郪江水质在2022年能够满足《地表水环境质量标准》（GB3838-2002）中的 III类水质标准，水质为良好。</w:t>
            </w:r>
          </w:p>
          <w:p w14:paraId="7CF6103D">
            <w:pPr>
              <w:spacing w:line="360" w:lineRule="auto"/>
              <w:ind w:right="105" w:rightChars="50" w:firstLine="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3、声环境质量</w:t>
            </w:r>
          </w:p>
          <w:p w14:paraId="0415C3B8">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根据四川环华盛锦环境监测有限公司于2021年4月25日对原项目环境噪声现状进行监测。在原项目周边共布置5个噪声监测点，监测点位设置情况及监测结果统计见下表：</w:t>
            </w:r>
          </w:p>
          <w:p w14:paraId="74C7D240">
            <w:pPr>
              <w:spacing w:line="360" w:lineRule="auto"/>
              <w:ind w:right="105" w:rightChars="50" w:firstLine="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表3-6 声环境现状监测结果一览表   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3140"/>
              <w:gridCol w:w="2107"/>
              <w:gridCol w:w="2269"/>
            </w:tblGrid>
            <w:tr w14:paraId="32E5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30" w:type="pct"/>
                  <w:vMerge w:val="restart"/>
                  <w:shd w:val="clear" w:color="auto" w:fill="auto"/>
                  <w:vAlign w:val="center"/>
                </w:tcPr>
                <w:p w14:paraId="71D5E9B6">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编号</w:t>
                  </w:r>
                </w:p>
              </w:tc>
              <w:tc>
                <w:tcPr>
                  <w:tcW w:w="1826" w:type="pct"/>
                  <w:vMerge w:val="restart"/>
                  <w:shd w:val="clear" w:color="auto" w:fill="auto"/>
                  <w:vAlign w:val="center"/>
                </w:tcPr>
                <w:p w14:paraId="42A4A1E7">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检测点位</w:t>
                  </w:r>
                </w:p>
              </w:tc>
              <w:tc>
                <w:tcPr>
                  <w:tcW w:w="2544" w:type="pct"/>
                  <w:gridSpan w:val="2"/>
                  <w:shd w:val="clear" w:color="auto" w:fill="auto"/>
                  <w:vAlign w:val="center"/>
                </w:tcPr>
                <w:p w14:paraId="193B8320">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检测结果2021.04.25</w:t>
                  </w:r>
                </w:p>
              </w:tc>
            </w:tr>
            <w:tr w14:paraId="30CC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0" w:type="pct"/>
                  <w:vMerge w:val="continue"/>
                  <w:shd w:val="clear" w:color="auto" w:fill="auto"/>
                  <w:vAlign w:val="center"/>
                </w:tcPr>
                <w:p w14:paraId="70BCB870">
                  <w:pPr>
                    <w:jc w:val="center"/>
                    <w:rPr>
                      <w:rFonts w:eastAsiaTheme="minorEastAsia"/>
                      <w:b/>
                      <w:bCs/>
                      <w:color w:val="000000" w:themeColor="text1"/>
                      <w:szCs w:val="21"/>
                      <w14:textFill>
                        <w14:solidFill>
                          <w14:schemeClr w14:val="tx1"/>
                        </w14:solidFill>
                      </w14:textFill>
                    </w:rPr>
                  </w:pPr>
                </w:p>
              </w:tc>
              <w:tc>
                <w:tcPr>
                  <w:tcW w:w="1826" w:type="pct"/>
                  <w:vMerge w:val="continue"/>
                  <w:shd w:val="clear" w:color="auto" w:fill="auto"/>
                  <w:vAlign w:val="center"/>
                </w:tcPr>
                <w:p w14:paraId="2930F10B">
                  <w:pPr>
                    <w:jc w:val="center"/>
                    <w:rPr>
                      <w:rFonts w:eastAsiaTheme="minorEastAsia"/>
                      <w:b/>
                      <w:bCs/>
                      <w:color w:val="000000" w:themeColor="text1"/>
                      <w:szCs w:val="21"/>
                      <w14:textFill>
                        <w14:solidFill>
                          <w14:schemeClr w14:val="tx1"/>
                        </w14:solidFill>
                      </w14:textFill>
                    </w:rPr>
                  </w:pPr>
                </w:p>
              </w:tc>
              <w:tc>
                <w:tcPr>
                  <w:tcW w:w="1225" w:type="pct"/>
                  <w:shd w:val="clear" w:color="auto" w:fill="auto"/>
                  <w:vAlign w:val="center"/>
                </w:tcPr>
                <w:p w14:paraId="2BC10092">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昼间</w:t>
                  </w:r>
                </w:p>
              </w:tc>
              <w:tc>
                <w:tcPr>
                  <w:tcW w:w="1319" w:type="pct"/>
                  <w:shd w:val="clear" w:color="auto" w:fill="auto"/>
                  <w:vAlign w:val="center"/>
                </w:tcPr>
                <w:p w14:paraId="55C6044E">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夜间</w:t>
                  </w:r>
                </w:p>
              </w:tc>
            </w:tr>
            <w:tr w14:paraId="5EBC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30" w:type="pct"/>
                  <w:shd w:val="clear" w:color="auto" w:fill="auto"/>
                  <w:vAlign w:val="center"/>
                </w:tcPr>
                <w:p w14:paraId="759D0B3E">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826" w:type="pct"/>
                  <w:shd w:val="clear" w:color="auto" w:fill="auto"/>
                  <w:vAlign w:val="center"/>
                </w:tcPr>
                <w:p w14:paraId="6816E167">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原项目东厂界红线外14m</w:t>
                  </w:r>
                </w:p>
              </w:tc>
              <w:tc>
                <w:tcPr>
                  <w:tcW w:w="1225" w:type="pct"/>
                  <w:shd w:val="clear" w:color="auto" w:fill="auto"/>
                  <w:vAlign w:val="center"/>
                </w:tcPr>
                <w:p w14:paraId="2CD6FD77">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55</w:t>
                  </w:r>
                </w:p>
              </w:tc>
              <w:tc>
                <w:tcPr>
                  <w:tcW w:w="1319" w:type="pct"/>
                  <w:shd w:val="clear" w:color="auto" w:fill="auto"/>
                  <w:vAlign w:val="center"/>
                </w:tcPr>
                <w:p w14:paraId="513D6A5E">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45</w:t>
                  </w:r>
                </w:p>
              </w:tc>
            </w:tr>
            <w:tr w14:paraId="18CF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30" w:type="pct"/>
                  <w:shd w:val="clear" w:color="auto" w:fill="auto"/>
                  <w:vAlign w:val="center"/>
                </w:tcPr>
                <w:p w14:paraId="4E6FC185">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w:t>
                  </w:r>
                </w:p>
              </w:tc>
              <w:tc>
                <w:tcPr>
                  <w:tcW w:w="1826" w:type="pct"/>
                  <w:shd w:val="clear" w:color="auto" w:fill="auto"/>
                  <w:vAlign w:val="center"/>
                </w:tcPr>
                <w:p w14:paraId="5AFFE4B8">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原项目南厂界</w:t>
                  </w:r>
                </w:p>
              </w:tc>
              <w:tc>
                <w:tcPr>
                  <w:tcW w:w="1225" w:type="pct"/>
                  <w:shd w:val="clear" w:color="auto" w:fill="auto"/>
                  <w:vAlign w:val="center"/>
                </w:tcPr>
                <w:p w14:paraId="069B2616">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53</w:t>
                  </w:r>
                </w:p>
              </w:tc>
              <w:tc>
                <w:tcPr>
                  <w:tcW w:w="1319" w:type="pct"/>
                  <w:shd w:val="clear" w:color="auto" w:fill="auto"/>
                  <w:vAlign w:val="center"/>
                </w:tcPr>
                <w:p w14:paraId="760A04B3">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42</w:t>
                  </w:r>
                </w:p>
              </w:tc>
            </w:tr>
            <w:tr w14:paraId="64A9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30" w:type="pct"/>
                  <w:shd w:val="clear" w:color="auto" w:fill="auto"/>
                  <w:vAlign w:val="center"/>
                </w:tcPr>
                <w:p w14:paraId="7FD0F08B">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w:t>
                  </w:r>
                </w:p>
              </w:tc>
              <w:tc>
                <w:tcPr>
                  <w:tcW w:w="1826" w:type="pct"/>
                  <w:shd w:val="clear" w:color="auto" w:fill="auto"/>
                  <w:vAlign w:val="center"/>
                </w:tcPr>
                <w:p w14:paraId="73EF90F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原项目西厂界外30m</w:t>
                  </w:r>
                </w:p>
              </w:tc>
              <w:tc>
                <w:tcPr>
                  <w:tcW w:w="1225" w:type="pct"/>
                  <w:shd w:val="clear" w:color="auto" w:fill="auto"/>
                  <w:vAlign w:val="center"/>
                </w:tcPr>
                <w:p w14:paraId="0A398621">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51</w:t>
                  </w:r>
                </w:p>
              </w:tc>
              <w:tc>
                <w:tcPr>
                  <w:tcW w:w="1319" w:type="pct"/>
                  <w:shd w:val="clear" w:color="auto" w:fill="auto"/>
                  <w:vAlign w:val="center"/>
                </w:tcPr>
                <w:p w14:paraId="7E9BE9D0">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44</w:t>
                  </w:r>
                </w:p>
              </w:tc>
            </w:tr>
            <w:tr w14:paraId="6510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0" w:type="pct"/>
                  <w:shd w:val="clear" w:color="auto" w:fill="auto"/>
                  <w:vAlign w:val="center"/>
                </w:tcPr>
                <w:p w14:paraId="66D173E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w:t>
                  </w:r>
                </w:p>
              </w:tc>
              <w:tc>
                <w:tcPr>
                  <w:tcW w:w="1826" w:type="pct"/>
                  <w:shd w:val="clear" w:color="auto" w:fill="auto"/>
                  <w:vAlign w:val="center"/>
                </w:tcPr>
                <w:p w14:paraId="3C018A58">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原项目北场界</w:t>
                  </w:r>
                </w:p>
              </w:tc>
              <w:tc>
                <w:tcPr>
                  <w:tcW w:w="1225" w:type="pct"/>
                  <w:shd w:val="clear" w:color="auto" w:fill="auto"/>
                  <w:vAlign w:val="center"/>
                </w:tcPr>
                <w:p w14:paraId="47E69947">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52</w:t>
                  </w:r>
                </w:p>
              </w:tc>
              <w:tc>
                <w:tcPr>
                  <w:tcW w:w="1319" w:type="pct"/>
                  <w:shd w:val="clear" w:color="auto" w:fill="auto"/>
                  <w:vAlign w:val="center"/>
                </w:tcPr>
                <w:p w14:paraId="314BAC5E">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46</w:t>
                  </w:r>
                </w:p>
              </w:tc>
            </w:tr>
            <w:tr w14:paraId="07AD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30" w:type="pct"/>
                  <w:shd w:val="clear" w:color="auto" w:fill="auto"/>
                  <w:vAlign w:val="center"/>
                </w:tcPr>
                <w:p w14:paraId="3A809241">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w:t>
                  </w:r>
                </w:p>
              </w:tc>
              <w:tc>
                <w:tcPr>
                  <w:tcW w:w="1826" w:type="pct"/>
                  <w:shd w:val="clear" w:color="auto" w:fill="auto"/>
                  <w:vAlign w:val="center"/>
                </w:tcPr>
                <w:p w14:paraId="60F6E6E6">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虎泉村村委会（东南侧55m）</w:t>
                  </w:r>
                </w:p>
              </w:tc>
              <w:tc>
                <w:tcPr>
                  <w:tcW w:w="1225" w:type="pct"/>
                  <w:shd w:val="clear" w:color="auto" w:fill="auto"/>
                  <w:vAlign w:val="center"/>
                </w:tcPr>
                <w:p w14:paraId="6229F319">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52</w:t>
                  </w:r>
                </w:p>
              </w:tc>
              <w:tc>
                <w:tcPr>
                  <w:tcW w:w="1319" w:type="pct"/>
                  <w:shd w:val="clear" w:color="auto" w:fill="auto"/>
                  <w:vAlign w:val="center"/>
                </w:tcPr>
                <w:p w14:paraId="27E641D8">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42</w:t>
                  </w:r>
                </w:p>
              </w:tc>
            </w:tr>
            <w:tr w14:paraId="3768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456" w:type="pct"/>
                  <w:gridSpan w:val="2"/>
                  <w:shd w:val="clear" w:color="auto" w:fill="auto"/>
                  <w:vAlign w:val="center"/>
                </w:tcPr>
                <w:p w14:paraId="2549BD3A">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GB12348-2008 2类</w:t>
                  </w:r>
                </w:p>
              </w:tc>
              <w:tc>
                <w:tcPr>
                  <w:tcW w:w="1225" w:type="pct"/>
                  <w:shd w:val="clear" w:color="auto" w:fill="auto"/>
                  <w:vAlign w:val="center"/>
                </w:tcPr>
                <w:p w14:paraId="5E7A71EF">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60</w:t>
                  </w:r>
                </w:p>
              </w:tc>
              <w:tc>
                <w:tcPr>
                  <w:tcW w:w="1319" w:type="pct"/>
                  <w:shd w:val="clear" w:color="auto" w:fill="auto"/>
                  <w:vAlign w:val="center"/>
                </w:tcPr>
                <w:p w14:paraId="7CB9B29E">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50</w:t>
                  </w:r>
                </w:p>
              </w:tc>
            </w:tr>
          </w:tbl>
          <w:p w14:paraId="74C50F76">
            <w:pPr>
              <w:spacing w:before="120" w:beforeLines="50" w:line="360" w:lineRule="auto"/>
              <w:ind w:right="105" w:rightChars="50"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由上表监测结果可知，项目所在区域声环境监测点昼、夜间噪声均满足《声环境质量标准》（GB3096-2008）中2类标准要求，项目区域声环境良好。</w:t>
            </w:r>
          </w:p>
          <w:p w14:paraId="1325C7D5">
            <w:pPr>
              <w:spacing w:line="360" w:lineRule="auto"/>
              <w:ind w:right="105" w:rightChars="50" w:firstLine="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4、生态环境</w:t>
            </w:r>
          </w:p>
          <w:p w14:paraId="3F600BD1">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经本次评价现场踏勘调查和资料收集分析，项目现状用地区域为砖厂已占用地，现有的生态系统结构基本上与人类活动相适应，生物多样性程度低，区内无大型野生动物及珍稀植物，无特殊文物保护单位；项目周边植被基本为自然植被，不涉及自然保护</w:t>
            </w:r>
            <w:r>
              <w:rPr>
                <w:rFonts w:hint="eastAsia" w:eastAsiaTheme="minorEastAsia"/>
                <w:color w:val="000000" w:themeColor="text1"/>
                <w:sz w:val="24"/>
                <w:lang w:eastAsia="zh-CN"/>
                <w14:textFill>
                  <w14:solidFill>
                    <w14:schemeClr w14:val="tx1"/>
                  </w14:solidFill>
                </w14:textFill>
              </w:rPr>
              <w:t>区</w:t>
            </w:r>
            <w:r>
              <w:rPr>
                <w:rFonts w:eastAsiaTheme="minorEastAsia"/>
                <w:color w:val="000000" w:themeColor="text1"/>
                <w:sz w:val="24"/>
                <w14:textFill>
                  <w14:solidFill>
                    <w14:schemeClr w14:val="tx1"/>
                  </w14:solidFill>
                </w14:textFill>
              </w:rPr>
              <w:t>、风景名胜区等生态敏感区域。</w:t>
            </w:r>
          </w:p>
          <w:p w14:paraId="1E725A1E">
            <w:pPr>
              <w:spacing w:line="360" w:lineRule="auto"/>
              <w:ind w:right="105" w:rightChars="50"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5</w:t>
            </w:r>
            <w:r>
              <w:rPr>
                <w:rFonts w:eastAsiaTheme="minorEastAsia"/>
                <w:b/>
                <w:bCs/>
                <w:color w:val="000000" w:themeColor="text1"/>
                <w:sz w:val="24"/>
                <w14:textFill>
                  <w14:solidFill>
                    <w14:schemeClr w14:val="tx1"/>
                  </w14:solidFill>
                </w14:textFill>
              </w:rPr>
              <w:t>、</w:t>
            </w:r>
            <w:r>
              <w:rPr>
                <w:rFonts w:eastAsiaTheme="minorEastAsia"/>
                <w:b/>
                <w:color w:val="000000" w:themeColor="text1"/>
                <w:sz w:val="24"/>
                <w14:textFill>
                  <w14:solidFill>
                    <w14:schemeClr w14:val="tx1"/>
                  </w14:solidFill>
                </w14:textFill>
              </w:rPr>
              <w:t>地下水环境</w:t>
            </w:r>
          </w:p>
          <w:p w14:paraId="02D77C4F">
            <w:pPr>
              <w:spacing w:line="360" w:lineRule="auto"/>
              <w:ind w:right="105" w:rightChars="5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根据工程分析，本项目不存在地下水环境污染途径，故不开展地下水的环境质量现状调查。</w:t>
            </w:r>
          </w:p>
          <w:p w14:paraId="1C1DA216">
            <w:pPr>
              <w:spacing w:line="360" w:lineRule="auto"/>
              <w:ind w:right="105" w:rightChars="50"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6</w:t>
            </w:r>
            <w:r>
              <w:rPr>
                <w:rFonts w:eastAsiaTheme="minorEastAsia"/>
                <w:b/>
                <w:bCs/>
                <w:color w:val="000000" w:themeColor="text1"/>
                <w:sz w:val="24"/>
                <w14:textFill>
                  <w14:solidFill>
                    <w14:schemeClr w14:val="tx1"/>
                  </w14:solidFill>
                </w14:textFill>
              </w:rPr>
              <w:t>、</w:t>
            </w:r>
            <w:r>
              <w:rPr>
                <w:rFonts w:eastAsiaTheme="minorEastAsia"/>
                <w:b/>
                <w:color w:val="000000" w:themeColor="text1"/>
                <w:sz w:val="24"/>
                <w14:textFill>
                  <w14:solidFill>
                    <w14:schemeClr w14:val="tx1"/>
                  </w14:solidFill>
                </w14:textFill>
              </w:rPr>
              <w:t>土壤环境</w:t>
            </w:r>
          </w:p>
          <w:p w14:paraId="7D1EB41A">
            <w:pPr>
              <w:spacing w:line="360" w:lineRule="auto"/>
              <w:ind w:right="105" w:rightChars="50" w:firstLine="480" w:firstLineChars="200"/>
              <w:rPr>
                <w:color w:val="000000" w:themeColor="text1"/>
                <w14:textFill>
                  <w14:solidFill>
                    <w14:schemeClr w14:val="tx1"/>
                  </w14:solidFill>
                </w14:textFill>
              </w:rPr>
            </w:pPr>
            <w:r>
              <w:rPr>
                <w:rFonts w:eastAsiaTheme="minorEastAsia"/>
                <w:color w:val="000000" w:themeColor="text1"/>
                <w:sz w:val="24"/>
                <w14:textFill>
                  <w14:solidFill>
                    <w14:schemeClr w14:val="tx1"/>
                  </w14:solidFill>
                </w14:textFill>
              </w:rPr>
              <w:t>根据工程分析，本项目不存在土壤环境污染途径，故不开展土壤的环境质量现状调查。</w:t>
            </w:r>
          </w:p>
        </w:tc>
      </w:tr>
    </w:tbl>
    <w:p w14:paraId="7FCD2410">
      <w:pPr>
        <w:rPr>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23"/>
      </w:tblGrid>
      <w:tr w14:paraId="0C540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vAlign w:val="center"/>
          </w:tcPr>
          <w:p w14:paraId="4B0E39C2">
            <w:pPr>
              <w:adjustRightInd w:val="0"/>
              <w:snapToGrid w:val="0"/>
              <w:jc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环境保护目标</w:t>
            </w:r>
          </w:p>
        </w:tc>
      </w:tr>
      <w:tr w14:paraId="6EDE2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825" w:type="dxa"/>
            <w:vAlign w:val="center"/>
          </w:tcPr>
          <w:p w14:paraId="51FAB2A2">
            <w:pPr>
              <w:spacing w:before="120" w:beforeLines="50"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eastAsiaTheme="minor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项目外环境分布情况</w:t>
            </w:r>
          </w:p>
          <w:p w14:paraId="007A56B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本项目在四川鸿乔再生资源利用有限公司原租用空地进行建设，建成后与现有的“鸿乔再生资源利用项目”合并进行。周边外环境关系如下：</w:t>
            </w:r>
          </w:p>
          <w:p w14:paraId="5FD3025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北侧：257m散居农户5户；48m处有散居农户1户；12m处有散居农户2户；</w:t>
            </w:r>
          </w:p>
          <w:p w14:paraId="4089474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东北侧：256m处有散居农户13户；218m处有散居农户3户；196m处有散居农户10户；516m处有散居农户13户；130m处为通仙溪；</w:t>
            </w:r>
          </w:p>
          <w:p w14:paraId="0D08DBE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东侧：7m处有农户1户；37m处为虎林村村委会；48m处有农户12户；</w:t>
            </w:r>
          </w:p>
          <w:p w14:paraId="599FBAF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东南侧：344m处有散居农户4户；</w:t>
            </w:r>
          </w:p>
          <w:p w14:paraId="5919E75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南侧：267m有散居农户17户；378m处有散居农户6户；363m处有散居农户8户； </w:t>
            </w:r>
          </w:p>
          <w:p w14:paraId="5F8F4EE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西侧：紧邻大英县火井建材有限公司虎林砖厂；281m有散居农户8户；386m处有散居农户2户；306m处有散居农户1户；</w:t>
            </w:r>
          </w:p>
          <w:p w14:paraId="2D8A1B0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西北侧：332m处有散居农户18户；58m处有散居农户1户；234m处为废品收购站。</w:t>
            </w:r>
          </w:p>
          <w:p w14:paraId="609A5FEE">
            <w:pPr>
              <w:pStyle w:val="83"/>
              <w:ind w:firstLine="480"/>
              <w:rPr>
                <w:rFonts w:ascii="Times New Roman" w:hAnsi="Times New Roman" w:cs="Times New Roman"/>
                <w:b w:val="0"/>
                <w:color w:val="000000" w:themeColor="text1"/>
                <w:kern w:val="0"/>
                <w14:textFill>
                  <w14:solidFill>
                    <w14:schemeClr w14:val="tx1"/>
                  </w14:solidFill>
                </w14:textFill>
              </w:rPr>
            </w:pPr>
            <w:r>
              <w:rPr>
                <w:rFonts w:ascii="Times New Roman" w:hAnsi="Times New Roman" w:cs="Times New Roman"/>
                <w:b w:val="0"/>
                <w:color w:val="000000" w:themeColor="text1"/>
                <w:kern w:val="0"/>
                <w14:textFill>
                  <w14:solidFill>
                    <w14:schemeClr w14:val="tx1"/>
                  </w14:solidFill>
                </w14:textFill>
              </w:rPr>
              <w:t>本项目500m范围内主要为农田耕地，分布少量的散居农户，500m内无自然保护区、风景名胜区、生态红线、旅游景区、军事管理区、水厂以及水源保护区等敏感区，外环境无重大环境制约因素。项目运营期产生的噪声、粉尘等污染物通过落实相应的环保措施后均能实现达标排放，满足相关标准，固体废气物合理处置，不产生二次污染，环境风险可控，本项目的选址与周围环境是相容的。</w:t>
            </w:r>
          </w:p>
          <w:p w14:paraId="07B7CAD6">
            <w:pPr>
              <w:spacing w:line="360" w:lineRule="auto"/>
              <w:ind w:firstLine="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eastAsiaTheme="minor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主要环境保护目标</w:t>
            </w:r>
          </w:p>
          <w:p w14:paraId="0CA495D2">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（1）地表水环境</w:t>
            </w:r>
          </w:p>
          <w:p w14:paraId="44A35A07">
            <w:pPr>
              <w:adjustRightInd w:val="0"/>
              <w:snapToGrid w:val="0"/>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项目所在区域地表水环境执行《地表水环境质量标准》（GB3838-2002）Ⅲ类水域标准。环境保护目标为保证通仙溪水质不因本项目的实施而恶化，不改变评价区域现有的水体功能与级别。</w:t>
            </w:r>
          </w:p>
          <w:p w14:paraId="391F2C0F">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（2）地下水环境</w:t>
            </w:r>
          </w:p>
          <w:p w14:paraId="688B0200">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确保项目区域内地下水质量不因本项目的实施而恶化。地下水应达到《地下水质量标准》（GB/T 14848-2017）中Ⅲ类标准。</w:t>
            </w:r>
          </w:p>
          <w:p w14:paraId="6964B049">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（3）环境空气</w:t>
            </w:r>
          </w:p>
          <w:p w14:paraId="10784B8B">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评价区域内的环境空气质量不因本项目的实施而改变，应达到《环境空气质量标准》（GB3095-2012）中二类标准。</w:t>
            </w:r>
          </w:p>
          <w:p w14:paraId="7BB6B251">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（4）声学环境质量</w:t>
            </w:r>
          </w:p>
          <w:p w14:paraId="6EFC3331">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项目所在区域执行《声环境质量标准》（GB3096-2008）2类区标准要求。</w:t>
            </w:r>
          </w:p>
          <w:p w14:paraId="6779CD1E">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（5）固体废物</w:t>
            </w:r>
          </w:p>
          <w:p w14:paraId="6C51F0C9">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项目营运期产生的固体废物得到妥善处置，不造成二次污染。</w:t>
            </w:r>
          </w:p>
          <w:p w14:paraId="74E51C53">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综上所述，本项目主要环境保护目标见下表。</w:t>
            </w:r>
          </w:p>
          <w:p w14:paraId="22BB0E8F">
            <w:pPr>
              <w:pStyle w:val="83"/>
              <w:snapToGrid w:val="0"/>
              <w:spacing w:before="24" w:after="24" w:line="240" w:lineRule="auto"/>
              <w:ind w:firstLine="0" w:firstLineChars="0"/>
              <w:jc w:val="center"/>
              <w:rPr>
                <w:rFonts w:ascii="Times New Roman" w:hAnsi="Times New Roman" w:cs="Times New Roman"/>
                <w:bCs w:val="0"/>
                <w:color w:val="000000" w:themeColor="text1"/>
                <w:sz w:val="21"/>
                <w:szCs w:val="24"/>
                <w14:textFill>
                  <w14:solidFill>
                    <w14:schemeClr w14:val="tx1"/>
                  </w14:solidFill>
                </w14:textFill>
              </w:rPr>
            </w:pPr>
            <w:r>
              <w:rPr>
                <w:rFonts w:ascii="Times New Roman" w:hAnsi="Times New Roman" w:cs="Times New Roman"/>
                <w:bCs w:val="0"/>
                <w:color w:val="000000" w:themeColor="text1"/>
                <w:sz w:val="21"/>
                <w:szCs w:val="24"/>
                <w14:textFill>
                  <w14:solidFill>
                    <w14:schemeClr w14:val="tx1"/>
                  </w14:solidFill>
                </w14:textFill>
              </w:rPr>
              <w:t>表3-7主要环境保护目标一览表</w:t>
            </w:r>
          </w:p>
          <w:tbl>
            <w:tblPr>
              <w:tblStyle w:val="25"/>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18"/>
              <w:gridCol w:w="769"/>
              <w:gridCol w:w="12"/>
              <w:gridCol w:w="2053"/>
              <w:gridCol w:w="12"/>
              <w:gridCol w:w="896"/>
              <w:gridCol w:w="12"/>
              <w:gridCol w:w="1172"/>
              <w:gridCol w:w="1575"/>
              <w:gridCol w:w="13"/>
            </w:tblGrid>
            <w:tr w14:paraId="15BE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584" w:hRule="atLeast"/>
                <w:jc w:val="center"/>
              </w:trPr>
              <w:tc>
                <w:tcPr>
                  <w:tcW w:w="435" w:type="pct"/>
                  <w:vAlign w:val="center"/>
                </w:tcPr>
                <w:p w14:paraId="5D313F00">
                  <w:pPr>
                    <w:pStyle w:val="103"/>
                    <w:adjustRightInd w:val="0"/>
                    <w:snapToGrid w:val="0"/>
                    <w:rPr>
                      <w:rFonts w:ascii="Times New Roman" w:hAnsi="Times New Roman"/>
                      <w:b/>
                      <w:bCs/>
                    </w:rPr>
                  </w:pPr>
                  <w:r>
                    <w:rPr>
                      <w:rFonts w:ascii="Times New Roman" w:hAnsi="Times New Roman"/>
                      <w:b/>
                      <w:bCs/>
                    </w:rPr>
                    <w:t>环境要素</w:t>
                  </w:r>
                </w:p>
              </w:tc>
              <w:tc>
                <w:tcPr>
                  <w:tcW w:w="863" w:type="pct"/>
                  <w:vAlign w:val="center"/>
                </w:tcPr>
                <w:p w14:paraId="29637983">
                  <w:pPr>
                    <w:pStyle w:val="103"/>
                    <w:adjustRightInd w:val="0"/>
                    <w:snapToGrid w:val="0"/>
                    <w:rPr>
                      <w:rFonts w:ascii="Times New Roman" w:hAnsi="Times New Roman"/>
                      <w:b/>
                      <w:bCs/>
                    </w:rPr>
                  </w:pPr>
                  <w:r>
                    <w:rPr>
                      <w:rFonts w:ascii="Times New Roman" w:hAnsi="Times New Roman"/>
                      <w:b/>
                      <w:bCs/>
                    </w:rPr>
                    <w:t>名称</w:t>
                  </w:r>
                </w:p>
              </w:tc>
              <w:tc>
                <w:tcPr>
                  <w:tcW w:w="437" w:type="pct"/>
                  <w:vAlign w:val="center"/>
                </w:tcPr>
                <w:p w14:paraId="1F9B3F8E">
                  <w:pPr>
                    <w:pStyle w:val="103"/>
                    <w:adjustRightInd w:val="0"/>
                    <w:snapToGrid w:val="0"/>
                    <w:rPr>
                      <w:rFonts w:ascii="Times New Roman" w:hAnsi="Times New Roman"/>
                      <w:b/>
                      <w:bCs/>
                    </w:rPr>
                  </w:pPr>
                  <w:r>
                    <w:rPr>
                      <w:rFonts w:ascii="Times New Roman" w:hAnsi="Times New Roman"/>
                      <w:b/>
                      <w:bCs/>
                    </w:rPr>
                    <w:t>保护对象</w:t>
                  </w:r>
                </w:p>
              </w:tc>
              <w:tc>
                <w:tcPr>
                  <w:tcW w:w="1174" w:type="pct"/>
                  <w:gridSpan w:val="2"/>
                  <w:vAlign w:val="center"/>
                </w:tcPr>
                <w:p w14:paraId="2F966D9A">
                  <w:pPr>
                    <w:pStyle w:val="103"/>
                    <w:adjustRightInd w:val="0"/>
                    <w:snapToGrid w:val="0"/>
                    <w:rPr>
                      <w:rFonts w:ascii="Times New Roman" w:hAnsi="Times New Roman"/>
                      <w:b/>
                      <w:bCs/>
                    </w:rPr>
                  </w:pPr>
                  <w:r>
                    <w:rPr>
                      <w:rFonts w:ascii="Times New Roman" w:hAnsi="Times New Roman"/>
                      <w:b/>
                      <w:bCs/>
                    </w:rPr>
                    <w:t>保护内容（规模）</w:t>
                  </w:r>
                </w:p>
              </w:tc>
              <w:tc>
                <w:tcPr>
                  <w:tcW w:w="516" w:type="pct"/>
                  <w:gridSpan w:val="2"/>
                  <w:vAlign w:val="center"/>
                </w:tcPr>
                <w:p w14:paraId="7816825F">
                  <w:pPr>
                    <w:pStyle w:val="103"/>
                    <w:adjustRightInd w:val="0"/>
                    <w:snapToGrid w:val="0"/>
                    <w:rPr>
                      <w:rFonts w:ascii="Times New Roman" w:hAnsi="Times New Roman"/>
                      <w:b/>
                      <w:bCs/>
                    </w:rPr>
                  </w:pPr>
                  <w:r>
                    <w:rPr>
                      <w:rFonts w:ascii="Times New Roman" w:hAnsi="Times New Roman"/>
                      <w:b/>
                      <w:bCs/>
                    </w:rPr>
                    <w:t>相对厂址方向</w:t>
                  </w:r>
                </w:p>
              </w:tc>
              <w:tc>
                <w:tcPr>
                  <w:tcW w:w="673" w:type="pct"/>
                  <w:gridSpan w:val="2"/>
                  <w:vAlign w:val="center"/>
                </w:tcPr>
                <w:p w14:paraId="40908F0F">
                  <w:pPr>
                    <w:pStyle w:val="103"/>
                    <w:adjustRightInd w:val="0"/>
                    <w:snapToGrid w:val="0"/>
                    <w:rPr>
                      <w:rFonts w:ascii="Times New Roman" w:hAnsi="Times New Roman"/>
                      <w:b/>
                      <w:bCs/>
                    </w:rPr>
                  </w:pPr>
                  <w:r>
                    <w:rPr>
                      <w:rFonts w:ascii="Times New Roman" w:hAnsi="Times New Roman"/>
                      <w:b/>
                      <w:bCs/>
                    </w:rPr>
                    <w:t>相对厂界最近距离（m）</w:t>
                  </w:r>
                </w:p>
              </w:tc>
              <w:tc>
                <w:tcPr>
                  <w:tcW w:w="895" w:type="pct"/>
                  <w:vAlign w:val="center"/>
                </w:tcPr>
                <w:p w14:paraId="20C664FD">
                  <w:pPr>
                    <w:pStyle w:val="103"/>
                    <w:adjustRightInd w:val="0"/>
                    <w:snapToGrid w:val="0"/>
                    <w:rPr>
                      <w:rFonts w:ascii="Times New Roman" w:hAnsi="Times New Roman"/>
                      <w:b/>
                      <w:bCs/>
                    </w:rPr>
                  </w:pPr>
                  <w:r>
                    <w:rPr>
                      <w:rFonts w:ascii="Times New Roman" w:hAnsi="Times New Roman"/>
                      <w:b/>
                      <w:bCs/>
                    </w:rPr>
                    <w:t>保护级别</w:t>
                  </w:r>
                </w:p>
              </w:tc>
            </w:tr>
            <w:tr w14:paraId="3BA0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141" w:hRule="atLeast"/>
                <w:jc w:val="center"/>
              </w:trPr>
              <w:tc>
                <w:tcPr>
                  <w:tcW w:w="435" w:type="pct"/>
                  <w:vMerge w:val="restart"/>
                  <w:vAlign w:val="center"/>
                </w:tcPr>
                <w:p w14:paraId="20957752">
                  <w:pPr>
                    <w:pStyle w:val="103"/>
                    <w:adjustRightInd w:val="0"/>
                    <w:snapToGrid w:val="0"/>
                    <w:rPr>
                      <w:rFonts w:ascii="Times New Roman" w:hAnsi="Times New Roman"/>
                    </w:rPr>
                  </w:pPr>
                  <w:r>
                    <w:rPr>
                      <w:rFonts w:ascii="Times New Roman" w:hAnsi="Times New Roman"/>
                    </w:rPr>
                    <w:t>环境空气</w:t>
                  </w:r>
                </w:p>
              </w:tc>
              <w:tc>
                <w:tcPr>
                  <w:tcW w:w="863" w:type="pct"/>
                  <w:vAlign w:val="center"/>
                </w:tcPr>
                <w:p w14:paraId="19CD41E5">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37FD805C">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27E8831C">
                  <w:pPr>
                    <w:pStyle w:val="103"/>
                    <w:adjustRightInd w:val="0"/>
                    <w:snapToGrid w:val="0"/>
                    <w:rPr>
                      <w:rFonts w:ascii="Times New Roman" w:hAnsi="Times New Roman"/>
                    </w:rPr>
                  </w:pPr>
                  <w:r>
                    <w:rPr>
                      <w:rFonts w:ascii="Times New Roman" w:hAnsi="Times New Roman"/>
                    </w:rPr>
                    <w:t>约5户（15人）</w:t>
                  </w:r>
                </w:p>
              </w:tc>
              <w:tc>
                <w:tcPr>
                  <w:tcW w:w="516" w:type="pct"/>
                  <w:gridSpan w:val="2"/>
                  <w:vAlign w:val="center"/>
                </w:tcPr>
                <w:p w14:paraId="1AF8B77C">
                  <w:pPr>
                    <w:pStyle w:val="103"/>
                    <w:adjustRightInd w:val="0"/>
                    <w:snapToGrid w:val="0"/>
                    <w:rPr>
                      <w:rFonts w:ascii="Times New Roman" w:hAnsi="Times New Roman"/>
                    </w:rPr>
                  </w:pPr>
                  <w:r>
                    <w:rPr>
                      <w:rFonts w:ascii="Times New Roman" w:hAnsi="Times New Roman"/>
                    </w:rPr>
                    <w:t>北</w:t>
                  </w:r>
                </w:p>
              </w:tc>
              <w:tc>
                <w:tcPr>
                  <w:tcW w:w="673" w:type="pct"/>
                  <w:gridSpan w:val="2"/>
                  <w:vAlign w:val="center"/>
                </w:tcPr>
                <w:p w14:paraId="65EC517B">
                  <w:pPr>
                    <w:pStyle w:val="103"/>
                    <w:adjustRightInd w:val="0"/>
                    <w:snapToGrid w:val="0"/>
                    <w:rPr>
                      <w:rFonts w:ascii="Times New Roman" w:hAnsi="Times New Roman"/>
                    </w:rPr>
                  </w:pPr>
                  <w:r>
                    <w:rPr>
                      <w:rFonts w:ascii="Times New Roman" w:hAnsi="Times New Roman"/>
                    </w:rPr>
                    <w:t>257</w:t>
                  </w:r>
                </w:p>
              </w:tc>
              <w:tc>
                <w:tcPr>
                  <w:tcW w:w="895" w:type="pct"/>
                  <w:vMerge w:val="restart"/>
                  <w:vAlign w:val="center"/>
                </w:tcPr>
                <w:p w14:paraId="65ED005F">
                  <w:pPr>
                    <w:pStyle w:val="103"/>
                    <w:adjustRightInd w:val="0"/>
                    <w:snapToGrid w:val="0"/>
                    <w:rPr>
                      <w:rFonts w:ascii="Times New Roman" w:hAnsi="Times New Roman"/>
                    </w:rPr>
                  </w:pPr>
                  <w:r>
                    <w:rPr>
                      <w:rFonts w:ascii="Times New Roman" w:hAnsi="Times New Roman"/>
                    </w:rPr>
                    <w:t>（GB3095-2012）二类量功能区</w:t>
                  </w:r>
                </w:p>
              </w:tc>
            </w:tr>
            <w:tr w14:paraId="580D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141" w:hRule="atLeast"/>
                <w:jc w:val="center"/>
              </w:trPr>
              <w:tc>
                <w:tcPr>
                  <w:tcW w:w="435" w:type="pct"/>
                  <w:vMerge w:val="continue"/>
                  <w:vAlign w:val="center"/>
                </w:tcPr>
                <w:p w14:paraId="6F9BECE7">
                  <w:pPr>
                    <w:pStyle w:val="103"/>
                    <w:adjustRightInd w:val="0"/>
                    <w:snapToGrid w:val="0"/>
                    <w:rPr>
                      <w:rFonts w:ascii="Times New Roman" w:hAnsi="Times New Roman"/>
                    </w:rPr>
                  </w:pPr>
                </w:p>
              </w:tc>
              <w:tc>
                <w:tcPr>
                  <w:tcW w:w="863" w:type="pct"/>
                  <w:vAlign w:val="center"/>
                </w:tcPr>
                <w:p w14:paraId="3EC5E179">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545BDAE9">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02CC786F">
                  <w:pPr>
                    <w:pStyle w:val="103"/>
                    <w:adjustRightInd w:val="0"/>
                    <w:snapToGrid w:val="0"/>
                    <w:rPr>
                      <w:rFonts w:ascii="Times New Roman" w:hAnsi="Times New Roman"/>
                    </w:rPr>
                  </w:pPr>
                  <w:r>
                    <w:rPr>
                      <w:rFonts w:ascii="Times New Roman" w:hAnsi="Times New Roman"/>
                    </w:rPr>
                    <w:t>约1户（3人）</w:t>
                  </w:r>
                </w:p>
              </w:tc>
              <w:tc>
                <w:tcPr>
                  <w:tcW w:w="516" w:type="pct"/>
                  <w:gridSpan w:val="2"/>
                  <w:vAlign w:val="center"/>
                </w:tcPr>
                <w:p w14:paraId="0E50BD5C">
                  <w:pPr>
                    <w:pStyle w:val="103"/>
                    <w:adjustRightInd w:val="0"/>
                    <w:snapToGrid w:val="0"/>
                    <w:rPr>
                      <w:rFonts w:ascii="Times New Roman" w:hAnsi="Times New Roman"/>
                    </w:rPr>
                  </w:pPr>
                  <w:r>
                    <w:rPr>
                      <w:rFonts w:ascii="Times New Roman" w:hAnsi="Times New Roman"/>
                    </w:rPr>
                    <w:t>北</w:t>
                  </w:r>
                </w:p>
              </w:tc>
              <w:tc>
                <w:tcPr>
                  <w:tcW w:w="673" w:type="pct"/>
                  <w:gridSpan w:val="2"/>
                  <w:vAlign w:val="center"/>
                </w:tcPr>
                <w:p w14:paraId="3C8718A3">
                  <w:pPr>
                    <w:pStyle w:val="103"/>
                    <w:adjustRightInd w:val="0"/>
                    <w:snapToGrid w:val="0"/>
                    <w:rPr>
                      <w:rFonts w:ascii="Times New Roman" w:hAnsi="Times New Roman"/>
                    </w:rPr>
                  </w:pPr>
                  <w:r>
                    <w:rPr>
                      <w:rFonts w:ascii="Times New Roman" w:hAnsi="Times New Roman"/>
                    </w:rPr>
                    <w:t>48</w:t>
                  </w:r>
                </w:p>
              </w:tc>
              <w:tc>
                <w:tcPr>
                  <w:tcW w:w="895" w:type="pct"/>
                  <w:vMerge w:val="continue"/>
                  <w:vAlign w:val="center"/>
                </w:tcPr>
                <w:p w14:paraId="4E006B6C">
                  <w:pPr>
                    <w:pStyle w:val="103"/>
                    <w:adjustRightInd w:val="0"/>
                    <w:snapToGrid w:val="0"/>
                    <w:rPr>
                      <w:rFonts w:ascii="Times New Roman" w:hAnsi="Times New Roman"/>
                    </w:rPr>
                  </w:pPr>
                </w:p>
              </w:tc>
            </w:tr>
            <w:tr w14:paraId="3469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01BB2834">
                  <w:pPr>
                    <w:pStyle w:val="103"/>
                    <w:adjustRightInd w:val="0"/>
                    <w:snapToGrid w:val="0"/>
                    <w:rPr>
                      <w:rFonts w:ascii="Times New Roman" w:hAnsi="Times New Roman"/>
                    </w:rPr>
                  </w:pPr>
                </w:p>
              </w:tc>
              <w:tc>
                <w:tcPr>
                  <w:tcW w:w="863" w:type="pct"/>
                  <w:vAlign w:val="center"/>
                </w:tcPr>
                <w:p w14:paraId="742B41D7">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7486A009">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5B25DCB0">
                  <w:pPr>
                    <w:pStyle w:val="103"/>
                    <w:adjustRightInd w:val="0"/>
                    <w:snapToGrid w:val="0"/>
                    <w:rPr>
                      <w:rFonts w:ascii="Times New Roman" w:hAnsi="Times New Roman"/>
                    </w:rPr>
                  </w:pPr>
                  <w:r>
                    <w:rPr>
                      <w:rFonts w:ascii="Times New Roman" w:hAnsi="Times New Roman"/>
                    </w:rPr>
                    <w:t>约2户（6人）</w:t>
                  </w:r>
                </w:p>
              </w:tc>
              <w:tc>
                <w:tcPr>
                  <w:tcW w:w="516" w:type="pct"/>
                  <w:gridSpan w:val="2"/>
                  <w:vAlign w:val="center"/>
                </w:tcPr>
                <w:p w14:paraId="7BBD3FE9">
                  <w:pPr>
                    <w:pStyle w:val="103"/>
                    <w:adjustRightInd w:val="0"/>
                    <w:snapToGrid w:val="0"/>
                    <w:rPr>
                      <w:rFonts w:ascii="Times New Roman" w:hAnsi="Times New Roman"/>
                    </w:rPr>
                  </w:pPr>
                  <w:r>
                    <w:rPr>
                      <w:rFonts w:ascii="Times New Roman" w:hAnsi="Times New Roman"/>
                    </w:rPr>
                    <w:t>北</w:t>
                  </w:r>
                </w:p>
              </w:tc>
              <w:tc>
                <w:tcPr>
                  <w:tcW w:w="673" w:type="pct"/>
                  <w:gridSpan w:val="2"/>
                  <w:vAlign w:val="center"/>
                </w:tcPr>
                <w:p w14:paraId="1A0E2A1B">
                  <w:pPr>
                    <w:pStyle w:val="103"/>
                    <w:adjustRightInd w:val="0"/>
                    <w:snapToGrid w:val="0"/>
                    <w:rPr>
                      <w:rFonts w:ascii="Times New Roman" w:hAnsi="Times New Roman"/>
                    </w:rPr>
                  </w:pPr>
                  <w:r>
                    <w:rPr>
                      <w:rFonts w:ascii="Times New Roman" w:hAnsi="Times New Roman"/>
                    </w:rPr>
                    <w:t>12</w:t>
                  </w:r>
                </w:p>
              </w:tc>
              <w:tc>
                <w:tcPr>
                  <w:tcW w:w="895" w:type="pct"/>
                  <w:vMerge w:val="continue"/>
                  <w:vAlign w:val="center"/>
                </w:tcPr>
                <w:p w14:paraId="76C0B3F1">
                  <w:pPr>
                    <w:pStyle w:val="103"/>
                    <w:adjustRightInd w:val="0"/>
                    <w:snapToGrid w:val="0"/>
                    <w:rPr>
                      <w:rFonts w:ascii="Times New Roman" w:hAnsi="Times New Roman"/>
                    </w:rPr>
                  </w:pPr>
                </w:p>
              </w:tc>
            </w:tr>
            <w:tr w14:paraId="71B6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5" w:hRule="atLeast"/>
                <w:jc w:val="center"/>
              </w:trPr>
              <w:tc>
                <w:tcPr>
                  <w:tcW w:w="435" w:type="pct"/>
                  <w:vMerge w:val="continue"/>
                  <w:vAlign w:val="center"/>
                </w:tcPr>
                <w:p w14:paraId="77FEF3EB">
                  <w:pPr>
                    <w:pStyle w:val="103"/>
                    <w:adjustRightInd w:val="0"/>
                    <w:snapToGrid w:val="0"/>
                    <w:rPr>
                      <w:rFonts w:ascii="Times New Roman" w:hAnsi="Times New Roman"/>
                    </w:rPr>
                  </w:pPr>
                </w:p>
              </w:tc>
              <w:tc>
                <w:tcPr>
                  <w:tcW w:w="863" w:type="pct"/>
                  <w:vAlign w:val="center"/>
                </w:tcPr>
                <w:p w14:paraId="168BB5C7">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2F9586DB">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5B987FD4">
                  <w:pPr>
                    <w:pStyle w:val="103"/>
                    <w:adjustRightInd w:val="0"/>
                    <w:snapToGrid w:val="0"/>
                    <w:rPr>
                      <w:rFonts w:ascii="Times New Roman" w:hAnsi="Times New Roman"/>
                    </w:rPr>
                  </w:pPr>
                  <w:r>
                    <w:rPr>
                      <w:rFonts w:ascii="Times New Roman" w:hAnsi="Times New Roman"/>
                    </w:rPr>
                    <w:t>约13户（40人）</w:t>
                  </w:r>
                </w:p>
              </w:tc>
              <w:tc>
                <w:tcPr>
                  <w:tcW w:w="516" w:type="pct"/>
                  <w:gridSpan w:val="2"/>
                  <w:vAlign w:val="center"/>
                </w:tcPr>
                <w:p w14:paraId="4EB5BD3C">
                  <w:pPr>
                    <w:pStyle w:val="103"/>
                    <w:adjustRightInd w:val="0"/>
                    <w:snapToGrid w:val="0"/>
                    <w:rPr>
                      <w:rFonts w:ascii="Times New Roman" w:hAnsi="Times New Roman"/>
                    </w:rPr>
                  </w:pPr>
                  <w:r>
                    <w:rPr>
                      <w:rFonts w:ascii="Times New Roman" w:hAnsi="Times New Roman"/>
                    </w:rPr>
                    <w:t>东北</w:t>
                  </w:r>
                </w:p>
              </w:tc>
              <w:tc>
                <w:tcPr>
                  <w:tcW w:w="673" w:type="pct"/>
                  <w:gridSpan w:val="2"/>
                  <w:vAlign w:val="center"/>
                </w:tcPr>
                <w:p w14:paraId="51525714">
                  <w:pPr>
                    <w:pStyle w:val="103"/>
                    <w:adjustRightInd w:val="0"/>
                    <w:snapToGrid w:val="0"/>
                    <w:rPr>
                      <w:rFonts w:ascii="Times New Roman" w:hAnsi="Times New Roman"/>
                    </w:rPr>
                  </w:pPr>
                  <w:r>
                    <w:rPr>
                      <w:rFonts w:ascii="Times New Roman" w:hAnsi="Times New Roman"/>
                    </w:rPr>
                    <w:t>256</w:t>
                  </w:r>
                </w:p>
              </w:tc>
              <w:tc>
                <w:tcPr>
                  <w:tcW w:w="895" w:type="pct"/>
                  <w:vMerge w:val="continue"/>
                  <w:vAlign w:val="center"/>
                </w:tcPr>
                <w:p w14:paraId="5FFBED86">
                  <w:pPr>
                    <w:pStyle w:val="103"/>
                    <w:adjustRightInd w:val="0"/>
                    <w:snapToGrid w:val="0"/>
                    <w:rPr>
                      <w:rFonts w:ascii="Times New Roman" w:hAnsi="Times New Roman"/>
                    </w:rPr>
                  </w:pPr>
                </w:p>
              </w:tc>
            </w:tr>
            <w:tr w14:paraId="644D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7BE5F6F9">
                  <w:pPr>
                    <w:pStyle w:val="103"/>
                    <w:adjustRightInd w:val="0"/>
                    <w:snapToGrid w:val="0"/>
                    <w:rPr>
                      <w:rFonts w:ascii="Times New Roman" w:hAnsi="Times New Roman"/>
                    </w:rPr>
                  </w:pPr>
                </w:p>
              </w:tc>
              <w:tc>
                <w:tcPr>
                  <w:tcW w:w="863" w:type="pct"/>
                  <w:vAlign w:val="center"/>
                </w:tcPr>
                <w:p w14:paraId="5F89336C">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102E19F6">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68724D80">
                  <w:pPr>
                    <w:pStyle w:val="103"/>
                    <w:adjustRightInd w:val="0"/>
                    <w:snapToGrid w:val="0"/>
                    <w:rPr>
                      <w:rFonts w:ascii="Times New Roman" w:hAnsi="Times New Roman"/>
                    </w:rPr>
                  </w:pPr>
                  <w:r>
                    <w:rPr>
                      <w:rFonts w:ascii="Times New Roman" w:hAnsi="Times New Roman"/>
                    </w:rPr>
                    <w:t>约3户（10人）</w:t>
                  </w:r>
                </w:p>
              </w:tc>
              <w:tc>
                <w:tcPr>
                  <w:tcW w:w="516" w:type="pct"/>
                  <w:gridSpan w:val="2"/>
                  <w:vAlign w:val="center"/>
                </w:tcPr>
                <w:p w14:paraId="02630260">
                  <w:pPr>
                    <w:pStyle w:val="103"/>
                    <w:adjustRightInd w:val="0"/>
                    <w:snapToGrid w:val="0"/>
                    <w:rPr>
                      <w:rFonts w:ascii="Times New Roman" w:hAnsi="Times New Roman"/>
                    </w:rPr>
                  </w:pPr>
                  <w:r>
                    <w:rPr>
                      <w:rFonts w:ascii="Times New Roman" w:hAnsi="Times New Roman"/>
                    </w:rPr>
                    <w:t>东北</w:t>
                  </w:r>
                </w:p>
              </w:tc>
              <w:tc>
                <w:tcPr>
                  <w:tcW w:w="673" w:type="pct"/>
                  <w:gridSpan w:val="2"/>
                  <w:vAlign w:val="center"/>
                </w:tcPr>
                <w:p w14:paraId="5A18FFC5">
                  <w:pPr>
                    <w:pStyle w:val="103"/>
                    <w:adjustRightInd w:val="0"/>
                    <w:snapToGrid w:val="0"/>
                    <w:rPr>
                      <w:rFonts w:ascii="Times New Roman" w:hAnsi="Times New Roman"/>
                    </w:rPr>
                  </w:pPr>
                  <w:r>
                    <w:rPr>
                      <w:rFonts w:ascii="Times New Roman" w:hAnsi="Times New Roman"/>
                    </w:rPr>
                    <w:t>218</w:t>
                  </w:r>
                </w:p>
              </w:tc>
              <w:tc>
                <w:tcPr>
                  <w:tcW w:w="895" w:type="pct"/>
                  <w:vMerge w:val="continue"/>
                  <w:vAlign w:val="center"/>
                </w:tcPr>
                <w:p w14:paraId="21C7EAED">
                  <w:pPr>
                    <w:pStyle w:val="103"/>
                    <w:adjustRightInd w:val="0"/>
                    <w:snapToGrid w:val="0"/>
                    <w:rPr>
                      <w:rFonts w:ascii="Times New Roman" w:hAnsi="Times New Roman"/>
                    </w:rPr>
                  </w:pPr>
                </w:p>
              </w:tc>
            </w:tr>
            <w:tr w14:paraId="7259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2FCC811D">
                  <w:pPr>
                    <w:pStyle w:val="103"/>
                    <w:adjustRightInd w:val="0"/>
                    <w:snapToGrid w:val="0"/>
                    <w:rPr>
                      <w:rFonts w:ascii="Times New Roman" w:hAnsi="Times New Roman"/>
                    </w:rPr>
                  </w:pPr>
                </w:p>
              </w:tc>
              <w:tc>
                <w:tcPr>
                  <w:tcW w:w="863" w:type="pct"/>
                  <w:vAlign w:val="center"/>
                </w:tcPr>
                <w:p w14:paraId="5B27A330">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41B185A8">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6594D294">
                  <w:pPr>
                    <w:pStyle w:val="103"/>
                    <w:adjustRightInd w:val="0"/>
                    <w:snapToGrid w:val="0"/>
                    <w:rPr>
                      <w:rFonts w:ascii="Times New Roman" w:hAnsi="Times New Roman"/>
                    </w:rPr>
                  </w:pPr>
                  <w:r>
                    <w:rPr>
                      <w:rFonts w:ascii="Times New Roman" w:hAnsi="Times New Roman"/>
                    </w:rPr>
                    <w:t>约10户（30人）</w:t>
                  </w:r>
                </w:p>
              </w:tc>
              <w:tc>
                <w:tcPr>
                  <w:tcW w:w="516" w:type="pct"/>
                  <w:gridSpan w:val="2"/>
                  <w:vAlign w:val="center"/>
                </w:tcPr>
                <w:p w14:paraId="27B8A688">
                  <w:pPr>
                    <w:pStyle w:val="103"/>
                    <w:adjustRightInd w:val="0"/>
                    <w:snapToGrid w:val="0"/>
                    <w:rPr>
                      <w:rFonts w:ascii="Times New Roman" w:hAnsi="Times New Roman"/>
                    </w:rPr>
                  </w:pPr>
                  <w:r>
                    <w:rPr>
                      <w:rFonts w:ascii="Times New Roman" w:hAnsi="Times New Roman"/>
                    </w:rPr>
                    <w:t>东北</w:t>
                  </w:r>
                </w:p>
              </w:tc>
              <w:tc>
                <w:tcPr>
                  <w:tcW w:w="673" w:type="pct"/>
                  <w:gridSpan w:val="2"/>
                  <w:vAlign w:val="center"/>
                </w:tcPr>
                <w:p w14:paraId="1B0C302D">
                  <w:pPr>
                    <w:pStyle w:val="103"/>
                    <w:adjustRightInd w:val="0"/>
                    <w:snapToGrid w:val="0"/>
                    <w:rPr>
                      <w:rFonts w:ascii="Times New Roman" w:hAnsi="Times New Roman"/>
                    </w:rPr>
                  </w:pPr>
                  <w:r>
                    <w:rPr>
                      <w:rFonts w:ascii="Times New Roman" w:hAnsi="Times New Roman"/>
                    </w:rPr>
                    <w:t>196</w:t>
                  </w:r>
                </w:p>
              </w:tc>
              <w:tc>
                <w:tcPr>
                  <w:tcW w:w="895" w:type="pct"/>
                  <w:vMerge w:val="continue"/>
                  <w:vAlign w:val="center"/>
                </w:tcPr>
                <w:p w14:paraId="16944111">
                  <w:pPr>
                    <w:pStyle w:val="103"/>
                    <w:adjustRightInd w:val="0"/>
                    <w:snapToGrid w:val="0"/>
                    <w:rPr>
                      <w:rFonts w:ascii="Times New Roman" w:hAnsi="Times New Roman"/>
                    </w:rPr>
                  </w:pPr>
                </w:p>
              </w:tc>
            </w:tr>
            <w:tr w14:paraId="36D9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4B932354">
                  <w:pPr>
                    <w:pStyle w:val="103"/>
                    <w:adjustRightInd w:val="0"/>
                    <w:snapToGrid w:val="0"/>
                    <w:rPr>
                      <w:rFonts w:ascii="Times New Roman" w:hAnsi="Times New Roman"/>
                    </w:rPr>
                  </w:pPr>
                </w:p>
              </w:tc>
              <w:tc>
                <w:tcPr>
                  <w:tcW w:w="863" w:type="pct"/>
                  <w:vAlign w:val="center"/>
                </w:tcPr>
                <w:p w14:paraId="5FB77A24">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6C396E8A">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217BC6D9">
                  <w:pPr>
                    <w:pStyle w:val="103"/>
                    <w:adjustRightInd w:val="0"/>
                    <w:snapToGrid w:val="0"/>
                    <w:rPr>
                      <w:rFonts w:ascii="Times New Roman" w:hAnsi="Times New Roman"/>
                    </w:rPr>
                  </w:pPr>
                  <w:r>
                    <w:rPr>
                      <w:rFonts w:ascii="Times New Roman" w:hAnsi="Times New Roman"/>
                    </w:rPr>
                    <w:t>约13户（39人）</w:t>
                  </w:r>
                </w:p>
              </w:tc>
              <w:tc>
                <w:tcPr>
                  <w:tcW w:w="516" w:type="pct"/>
                  <w:gridSpan w:val="2"/>
                  <w:vAlign w:val="center"/>
                </w:tcPr>
                <w:p w14:paraId="35C88AFD">
                  <w:pPr>
                    <w:pStyle w:val="103"/>
                    <w:adjustRightInd w:val="0"/>
                    <w:snapToGrid w:val="0"/>
                    <w:rPr>
                      <w:rFonts w:ascii="Times New Roman" w:hAnsi="Times New Roman"/>
                    </w:rPr>
                  </w:pPr>
                  <w:r>
                    <w:rPr>
                      <w:rFonts w:ascii="Times New Roman" w:hAnsi="Times New Roman"/>
                    </w:rPr>
                    <w:t>东北</w:t>
                  </w:r>
                </w:p>
              </w:tc>
              <w:tc>
                <w:tcPr>
                  <w:tcW w:w="673" w:type="pct"/>
                  <w:gridSpan w:val="2"/>
                  <w:vAlign w:val="center"/>
                </w:tcPr>
                <w:p w14:paraId="3C5A6049">
                  <w:pPr>
                    <w:pStyle w:val="103"/>
                    <w:adjustRightInd w:val="0"/>
                    <w:snapToGrid w:val="0"/>
                    <w:rPr>
                      <w:rFonts w:ascii="Times New Roman" w:hAnsi="Times New Roman"/>
                    </w:rPr>
                  </w:pPr>
                  <w:r>
                    <w:rPr>
                      <w:rFonts w:ascii="Times New Roman" w:hAnsi="Times New Roman"/>
                    </w:rPr>
                    <w:t>516</w:t>
                  </w:r>
                </w:p>
              </w:tc>
              <w:tc>
                <w:tcPr>
                  <w:tcW w:w="895" w:type="pct"/>
                  <w:vMerge w:val="continue"/>
                  <w:vAlign w:val="center"/>
                </w:tcPr>
                <w:p w14:paraId="25E2739D">
                  <w:pPr>
                    <w:pStyle w:val="103"/>
                    <w:adjustRightInd w:val="0"/>
                    <w:snapToGrid w:val="0"/>
                    <w:rPr>
                      <w:rFonts w:ascii="Times New Roman" w:hAnsi="Times New Roman"/>
                    </w:rPr>
                  </w:pPr>
                </w:p>
              </w:tc>
            </w:tr>
            <w:tr w14:paraId="6F71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44E84E3D">
                  <w:pPr>
                    <w:pStyle w:val="103"/>
                    <w:adjustRightInd w:val="0"/>
                    <w:snapToGrid w:val="0"/>
                    <w:rPr>
                      <w:rFonts w:ascii="Times New Roman" w:hAnsi="Times New Roman"/>
                    </w:rPr>
                  </w:pPr>
                </w:p>
              </w:tc>
              <w:tc>
                <w:tcPr>
                  <w:tcW w:w="863" w:type="pct"/>
                  <w:vAlign w:val="center"/>
                </w:tcPr>
                <w:p w14:paraId="7C0C4211">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3B5798BF">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4BBC966C">
                  <w:pPr>
                    <w:pStyle w:val="103"/>
                    <w:adjustRightInd w:val="0"/>
                    <w:snapToGrid w:val="0"/>
                    <w:rPr>
                      <w:rFonts w:ascii="Times New Roman" w:hAnsi="Times New Roman"/>
                    </w:rPr>
                  </w:pPr>
                  <w:r>
                    <w:rPr>
                      <w:rFonts w:ascii="Times New Roman" w:hAnsi="Times New Roman"/>
                    </w:rPr>
                    <w:t>约1户（3人）</w:t>
                  </w:r>
                </w:p>
              </w:tc>
              <w:tc>
                <w:tcPr>
                  <w:tcW w:w="516" w:type="pct"/>
                  <w:gridSpan w:val="2"/>
                  <w:vAlign w:val="center"/>
                </w:tcPr>
                <w:p w14:paraId="2CB95A67">
                  <w:pPr>
                    <w:pStyle w:val="103"/>
                    <w:adjustRightInd w:val="0"/>
                    <w:snapToGrid w:val="0"/>
                    <w:rPr>
                      <w:rFonts w:ascii="Times New Roman" w:hAnsi="Times New Roman"/>
                    </w:rPr>
                  </w:pPr>
                  <w:r>
                    <w:rPr>
                      <w:rFonts w:ascii="Times New Roman" w:hAnsi="Times New Roman"/>
                    </w:rPr>
                    <w:t>东</w:t>
                  </w:r>
                </w:p>
              </w:tc>
              <w:tc>
                <w:tcPr>
                  <w:tcW w:w="673" w:type="pct"/>
                  <w:gridSpan w:val="2"/>
                  <w:vAlign w:val="center"/>
                </w:tcPr>
                <w:p w14:paraId="72829473">
                  <w:pPr>
                    <w:pStyle w:val="103"/>
                    <w:adjustRightInd w:val="0"/>
                    <w:snapToGrid w:val="0"/>
                    <w:rPr>
                      <w:rFonts w:ascii="Times New Roman" w:hAnsi="Times New Roman"/>
                    </w:rPr>
                  </w:pPr>
                  <w:r>
                    <w:rPr>
                      <w:rFonts w:ascii="Times New Roman" w:hAnsi="Times New Roman"/>
                    </w:rPr>
                    <w:t>7</w:t>
                  </w:r>
                </w:p>
              </w:tc>
              <w:tc>
                <w:tcPr>
                  <w:tcW w:w="895" w:type="pct"/>
                  <w:vMerge w:val="continue"/>
                  <w:vAlign w:val="center"/>
                </w:tcPr>
                <w:p w14:paraId="11FCF652">
                  <w:pPr>
                    <w:pStyle w:val="103"/>
                    <w:adjustRightInd w:val="0"/>
                    <w:snapToGrid w:val="0"/>
                    <w:rPr>
                      <w:rFonts w:ascii="Times New Roman" w:hAnsi="Times New Roman"/>
                    </w:rPr>
                  </w:pPr>
                </w:p>
              </w:tc>
            </w:tr>
            <w:tr w14:paraId="4E56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230" w:hRule="atLeast"/>
                <w:jc w:val="center"/>
              </w:trPr>
              <w:tc>
                <w:tcPr>
                  <w:tcW w:w="435" w:type="pct"/>
                  <w:vMerge w:val="continue"/>
                  <w:vAlign w:val="center"/>
                </w:tcPr>
                <w:p w14:paraId="4D7FBBA0">
                  <w:pPr>
                    <w:pStyle w:val="103"/>
                    <w:adjustRightInd w:val="0"/>
                    <w:snapToGrid w:val="0"/>
                    <w:rPr>
                      <w:rFonts w:ascii="Times New Roman" w:hAnsi="Times New Roman"/>
                    </w:rPr>
                  </w:pPr>
                </w:p>
              </w:tc>
              <w:tc>
                <w:tcPr>
                  <w:tcW w:w="863" w:type="pct"/>
                  <w:vAlign w:val="center"/>
                </w:tcPr>
                <w:p w14:paraId="255BB36A">
                  <w:pPr>
                    <w:pStyle w:val="103"/>
                    <w:adjustRightInd w:val="0"/>
                    <w:snapToGrid w:val="0"/>
                    <w:rPr>
                      <w:rFonts w:ascii="Times New Roman" w:hAnsi="Times New Roman"/>
                    </w:rPr>
                  </w:pPr>
                  <w:r>
                    <w:rPr>
                      <w:rFonts w:ascii="Times New Roman" w:hAnsi="Times New Roman"/>
                    </w:rPr>
                    <w:t>虎林村村委会</w:t>
                  </w:r>
                </w:p>
              </w:tc>
              <w:tc>
                <w:tcPr>
                  <w:tcW w:w="437" w:type="pct"/>
                  <w:vAlign w:val="center"/>
                </w:tcPr>
                <w:p w14:paraId="51F9EDC5">
                  <w:pPr>
                    <w:pStyle w:val="103"/>
                    <w:adjustRightInd w:val="0"/>
                    <w:snapToGrid w:val="0"/>
                    <w:rPr>
                      <w:rFonts w:ascii="Times New Roman" w:hAnsi="Times New Roman"/>
                    </w:rPr>
                  </w:pPr>
                  <w:r>
                    <w:rPr>
                      <w:rFonts w:ascii="Times New Roman" w:hAnsi="Times New Roman"/>
                    </w:rPr>
                    <w:t>行政办公</w:t>
                  </w:r>
                </w:p>
              </w:tc>
              <w:tc>
                <w:tcPr>
                  <w:tcW w:w="1174" w:type="pct"/>
                  <w:gridSpan w:val="2"/>
                  <w:vAlign w:val="center"/>
                </w:tcPr>
                <w:p w14:paraId="73770457">
                  <w:pPr>
                    <w:pStyle w:val="103"/>
                    <w:adjustRightInd w:val="0"/>
                    <w:snapToGrid w:val="0"/>
                    <w:rPr>
                      <w:rFonts w:ascii="Times New Roman" w:hAnsi="Times New Roman"/>
                    </w:rPr>
                  </w:pPr>
                  <w:r>
                    <w:rPr>
                      <w:rFonts w:ascii="Times New Roman" w:hAnsi="Times New Roman"/>
                    </w:rPr>
                    <w:t>约6人</w:t>
                  </w:r>
                </w:p>
              </w:tc>
              <w:tc>
                <w:tcPr>
                  <w:tcW w:w="516" w:type="pct"/>
                  <w:gridSpan w:val="2"/>
                  <w:vAlign w:val="center"/>
                </w:tcPr>
                <w:p w14:paraId="1FE33319">
                  <w:pPr>
                    <w:pStyle w:val="103"/>
                    <w:adjustRightInd w:val="0"/>
                    <w:snapToGrid w:val="0"/>
                    <w:rPr>
                      <w:rFonts w:ascii="Times New Roman" w:hAnsi="Times New Roman"/>
                    </w:rPr>
                  </w:pPr>
                  <w:r>
                    <w:rPr>
                      <w:rFonts w:ascii="Times New Roman" w:hAnsi="Times New Roman"/>
                    </w:rPr>
                    <w:t>东</w:t>
                  </w:r>
                </w:p>
              </w:tc>
              <w:tc>
                <w:tcPr>
                  <w:tcW w:w="673" w:type="pct"/>
                  <w:gridSpan w:val="2"/>
                  <w:vAlign w:val="center"/>
                </w:tcPr>
                <w:p w14:paraId="17498E01">
                  <w:pPr>
                    <w:pStyle w:val="103"/>
                    <w:adjustRightInd w:val="0"/>
                    <w:snapToGrid w:val="0"/>
                    <w:rPr>
                      <w:rFonts w:ascii="Times New Roman" w:hAnsi="Times New Roman"/>
                    </w:rPr>
                  </w:pPr>
                  <w:r>
                    <w:rPr>
                      <w:rFonts w:ascii="Times New Roman" w:hAnsi="Times New Roman"/>
                    </w:rPr>
                    <w:t>37</w:t>
                  </w:r>
                </w:p>
              </w:tc>
              <w:tc>
                <w:tcPr>
                  <w:tcW w:w="895" w:type="pct"/>
                  <w:vMerge w:val="continue"/>
                  <w:vAlign w:val="center"/>
                </w:tcPr>
                <w:p w14:paraId="3E6B5D92">
                  <w:pPr>
                    <w:pStyle w:val="103"/>
                    <w:adjustRightInd w:val="0"/>
                    <w:snapToGrid w:val="0"/>
                    <w:rPr>
                      <w:rFonts w:ascii="Times New Roman" w:hAnsi="Times New Roman"/>
                    </w:rPr>
                  </w:pPr>
                </w:p>
              </w:tc>
            </w:tr>
            <w:tr w14:paraId="43B1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49AED45C">
                  <w:pPr>
                    <w:pStyle w:val="103"/>
                    <w:adjustRightInd w:val="0"/>
                    <w:snapToGrid w:val="0"/>
                    <w:rPr>
                      <w:rFonts w:ascii="Times New Roman" w:hAnsi="Times New Roman"/>
                    </w:rPr>
                  </w:pPr>
                </w:p>
              </w:tc>
              <w:tc>
                <w:tcPr>
                  <w:tcW w:w="863" w:type="pct"/>
                  <w:vAlign w:val="center"/>
                </w:tcPr>
                <w:p w14:paraId="2EFA7049">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48507C0A">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16ECBCC5">
                  <w:pPr>
                    <w:pStyle w:val="103"/>
                    <w:adjustRightInd w:val="0"/>
                    <w:snapToGrid w:val="0"/>
                    <w:rPr>
                      <w:rFonts w:ascii="Times New Roman" w:hAnsi="Times New Roman"/>
                    </w:rPr>
                  </w:pPr>
                  <w:r>
                    <w:rPr>
                      <w:rFonts w:ascii="Times New Roman" w:hAnsi="Times New Roman"/>
                    </w:rPr>
                    <w:t>约12户（35人）</w:t>
                  </w:r>
                </w:p>
              </w:tc>
              <w:tc>
                <w:tcPr>
                  <w:tcW w:w="516" w:type="pct"/>
                  <w:gridSpan w:val="2"/>
                  <w:vAlign w:val="center"/>
                </w:tcPr>
                <w:p w14:paraId="40632319">
                  <w:pPr>
                    <w:pStyle w:val="103"/>
                    <w:adjustRightInd w:val="0"/>
                    <w:snapToGrid w:val="0"/>
                    <w:rPr>
                      <w:rFonts w:ascii="Times New Roman" w:hAnsi="Times New Roman"/>
                    </w:rPr>
                  </w:pPr>
                  <w:r>
                    <w:rPr>
                      <w:rFonts w:ascii="Times New Roman" w:hAnsi="Times New Roman"/>
                    </w:rPr>
                    <w:t>东</w:t>
                  </w:r>
                </w:p>
              </w:tc>
              <w:tc>
                <w:tcPr>
                  <w:tcW w:w="673" w:type="pct"/>
                  <w:gridSpan w:val="2"/>
                  <w:vAlign w:val="center"/>
                </w:tcPr>
                <w:p w14:paraId="5434E4ED">
                  <w:pPr>
                    <w:pStyle w:val="103"/>
                    <w:adjustRightInd w:val="0"/>
                    <w:snapToGrid w:val="0"/>
                    <w:rPr>
                      <w:rFonts w:ascii="Times New Roman" w:hAnsi="Times New Roman"/>
                    </w:rPr>
                  </w:pPr>
                  <w:r>
                    <w:rPr>
                      <w:rFonts w:ascii="Times New Roman" w:hAnsi="Times New Roman"/>
                    </w:rPr>
                    <w:t>48</w:t>
                  </w:r>
                </w:p>
              </w:tc>
              <w:tc>
                <w:tcPr>
                  <w:tcW w:w="895" w:type="pct"/>
                  <w:vMerge w:val="continue"/>
                  <w:vAlign w:val="center"/>
                </w:tcPr>
                <w:p w14:paraId="023B4415">
                  <w:pPr>
                    <w:pStyle w:val="103"/>
                    <w:adjustRightInd w:val="0"/>
                    <w:snapToGrid w:val="0"/>
                    <w:rPr>
                      <w:rFonts w:ascii="Times New Roman" w:hAnsi="Times New Roman"/>
                    </w:rPr>
                  </w:pPr>
                </w:p>
              </w:tc>
            </w:tr>
            <w:tr w14:paraId="1D3D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4E0C78E6">
                  <w:pPr>
                    <w:pStyle w:val="103"/>
                    <w:adjustRightInd w:val="0"/>
                    <w:snapToGrid w:val="0"/>
                    <w:rPr>
                      <w:rFonts w:ascii="Times New Roman" w:hAnsi="Times New Roman"/>
                    </w:rPr>
                  </w:pPr>
                </w:p>
              </w:tc>
              <w:tc>
                <w:tcPr>
                  <w:tcW w:w="863" w:type="pct"/>
                  <w:vAlign w:val="center"/>
                </w:tcPr>
                <w:p w14:paraId="67B2D5A0">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7CDB480F">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1821CC80">
                  <w:pPr>
                    <w:pStyle w:val="103"/>
                    <w:adjustRightInd w:val="0"/>
                    <w:snapToGrid w:val="0"/>
                    <w:rPr>
                      <w:rFonts w:ascii="Times New Roman" w:hAnsi="Times New Roman"/>
                    </w:rPr>
                  </w:pPr>
                  <w:r>
                    <w:rPr>
                      <w:rFonts w:ascii="Times New Roman" w:hAnsi="Times New Roman"/>
                    </w:rPr>
                    <w:t>约4户（12人）</w:t>
                  </w:r>
                </w:p>
              </w:tc>
              <w:tc>
                <w:tcPr>
                  <w:tcW w:w="516" w:type="pct"/>
                  <w:gridSpan w:val="2"/>
                  <w:vAlign w:val="center"/>
                </w:tcPr>
                <w:p w14:paraId="2AB41F43">
                  <w:pPr>
                    <w:pStyle w:val="103"/>
                    <w:adjustRightInd w:val="0"/>
                    <w:snapToGrid w:val="0"/>
                    <w:rPr>
                      <w:rFonts w:ascii="Times New Roman" w:hAnsi="Times New Roman"/>
                    </w:rPr>
                  </w:pPr>
                  <w:r>
                    <w:rPr>
                      <w:rFonts w:ascii="Times New Roman" w:hAnsi="Times New Roman"/>
                    </w:rPr>
                    <w:t>东南</w:t>
                  </w:r>
                </w:p>
              </w:tc>
              <w:tc>
                <w:tcPr>
                  <w:tcW w:w="673" w:type="pct"/>
                  <w:gridSpan w:val="2"/>
                  <w:vAlign w:val="center"/>
                </w:tcPr>
                <w:p w14:paraId="431F256B">
                  <w:pPr>
                    <w:pStyle w:val="103"/>
                    <w:adjustRightInd w:val="0"/>
                    <w:snapToGrid w:val="0"/>
                    <w:rPr>
                      <w:rFonts w:ascii="Times New Roman" w:hAnsi="Times New Roman"/>
                    </w:rPr>
                  </w:pPr>
                  <w:r>
                    <w:rPr>
                      <w:rFonts w:ascii="Times New Roman" w:hAnsi="Times New Roman"/>
                    </w:rPr>
                    <w:t>344</w:t>
                  </w:r>
                </w:p>
              </w:tc>
              <w:tc>
                <w:tcPr>
                  <w:tcW w:w="895" w:type="pct"/>
                  <w:vMerge w:val="continue"/>
                  <w:vAlign w:val="center"/>
                </w:tcPr>
                <w:p w14:paraId="414E6B7C">
                  <w:pPr>
                    <w:pStyle w:val="103"/>
                    <w:adjustRightInd w:val="0"/>
                    <w:snapToGrid w:val="0"/>
                    <w:rPr>
                      <w:rFonts w:ascii="Times New Roman" w:hAnsi="Times New Roman"/>
                    </w:rPr>
                  </w:pPr>
                </w:p>
              </w:tc>
            </w:tr>
            <w:tr w14:paraId="2A8D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4F4166E9">
                  <w:pPr>
                    <w:pStyle w:val="103"/>
                    <w:adjustRightInd w:val="0"/>
                    <w:snapToGrid w:val="0"/>
                    <w:rPr>
                      <w:rFonts w:ascii="Times New Roman" w:hAnsi="Times New Roman"/>
                    </w:rPr>
                  </w:pPr>
                </w:p>
              </w:tc>
              <w:tc>
                <w:tcPr>
                  <w:tcW w:w="863" w:type="pct"/>
                  <w:vAlign w:val="center"/>
                </w:tcPr>
                <w:p w14:paraId="47A298FE">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25CACC1B">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60FAB757">
                  <w:pPr>
                    <w:pStyle w:val="103"/>
                    <w:adjustRightInd w:val="0"/>
                    <w:snapToGrid w:val="0"/>
                    <w:rPr>
                      <w:rFonts w:ascii="Times New Roman" w:hAnsi="Times New Roman"/>
                    </w:rPr>
                  </w:pPr>
                  <w:r>
                    <w:rPr>
                      <w:rFonts w:ascii="Times New Roman" w:hAnsi="Times New Roman"/>
                    </w:rPr>
                    <w:t>约17户（50人）</w:t>
                  </w:r>
                </w:p>
              </w:tc>
              <w:tc>
                <w:tcPr>
                  <w:tcW w:w="516" w:type="pct"/>
                  <w:gridSpan w:val="2"/>
                  <w:vAlign w:val="center"/>
                </w:tcPr>
                <w:p w14:paraId="6203F585">
                  <w:pPr>
                    <w:pStyle w:val="103"/>
                    <w:adjustRightInd w:val="0"/>
                    <w:snapToGrid w:val="0"/>
                    <w:rPr>
                      <w:rFonts w:ascii="Times New Roman" w:hAnsi="Times New Roman"/>
                    </w:rPr>
                  </w:pPr>
                  <w:r>
                    <w:rPr>
                      <w:rFonts w:ascii="Times New Roman" w:hAnsi="Times New Roman"/>
                    </w:rPr>
                    <w:t>南侧</w:t>
                  </w:r>
                </w:p>
              </w:tc>
              <w:tc>
                <w:tcPr>
                  <w:tcW w:w="673" w:type="pct"/>
                  <w:gridSpan w:val="2"/>
                  <w:vAlign w:val="center"/>
                </w:tcPr>
                <w:p w14:paraId="0059F21F">
                  <w:pPr>
                    <w:pStyle w:val="103"/>
                    <w:adjustRightInd w:val="0"/>
                    <w:snapToGrid w:val="0"/>
                    <w:rPr>
                      <w:rFonts w:ascii="Times New Roman" w:hAnsi="Times New Roman"/>
                    </w:rPr>
                  </w:pPr>
                  <w:r>
                    <w:rPr>
                      <w:rFonts w:ascii="Times New Roman" w:hAnsi="Times New Roman"/>
                    </w:rPr>
                    <w:t>267</w:t>
                  </w:r>
                </w:p>
              </w:tc>
              <w:tc>
                <w:tcPr>
                  <w:tcW w:w="895" w:type="pct"/>
                  <w:vMerge w:val="continue"/>
                  <w:vAlign w:val="center"/>
                </w:tcPr>
                <w:p w14:paraId="5757D397">
                  <w:pPr>
                    <w:pStyle w:val="103"/>
                    <w:adjustRightInd w:val="0"/>
                    <w:snapToGrid w:val="0"/>
                    <w:rPr>
                      <w:rFonts w:ascii="Times New Roman" w:hAnsi="Times New Roman"/>
                    </w:rPr>
                  </w:pPr>
                </w:p>
              </w:tc>
            </w:tr>
            <w:tr w14:paraId="60BE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2326DB0B">
                  <w:pPr>
                    <w:pStyle w:val="103"/>
                    <w:adjustRightInd w:val="0"/>
                    <w:snapToGrid w:val="0"/>
                    <w:rPr>
                      <w:rFonts w:ascii="Times New Roman" w:hAnsi="Times New Roman"/>
                    </w:rPr>
                  </w:pPr>
                </w:p>
              </w:tc>
              <w:tc>
                <w:tcPr>
                  <w:tcW w:w="863" w:type="pct"/>
                  <w:vAlign w:val="center"/>
                </w:tcPr>
                <w:p w14:paraId="17A45BB9">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4B17F93B">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256E2246">
                  <w:pPr>
                    <w:pStyle w:val="103"/>
                    <w:adjustRightInd w:val="0"/>
                    <w:snapToGrid w:val="0"/>
                    <w:rPr>
                      <w:rFonts w:ascii="Times New Roman" w:hAnsi="Times New Roman"/>
                    </w:rPr>
                  </w:pPr>
                  <w:r>
                    <w:rPr>
                      <w:rFonts w:ascii="Times New Roman" w:hAnsi="Times New Roman"/>
                    </w:rPr>
                    <w:t>约6户（18人）</w:t>
                  </w:r>
                </w:p>
              </w:tc>
              <w:tc>
                <w:tcPr>
                  <w:tcW w:w="516" w:type="pct"/>
                  <w:gridSpan w:val="2"/>
                  <w:vAlign w:val="center"/>
                </w:tcPr>
                <w:p w14:paraId="44857F77">
                  <w:pPr>
                    <w:pStyle w:val="103"/>
                    <w:adjustRightInd w:val="0"/>
                    <w:snapToGrid w:val="0"/>
                    <w:rPr>
                      <w:rFonts w:ascii="Times New Roman" w:hAnsi="Times New Roman"/>
                    </w:rPr>
                  </w:pPr>
                  <w:r>
                    <w:rPr>
                      <w:rFonts w:ascii="Times New Roman" w:hAnsi="Times New Roman"/>
                    </w:rPr>
                    <w:t>南侧</w:t>
                  </w:r>
                </w:p>
              </w:tc>
              <w:tc>
                <w:tcPr>
                  <w:tcW w:w="673" w:type="pct"/>
                  <w:gridSpan w:val="2"/>
                  <w:vAlign w:val="center"/>
                </w:tcPr>
                <w:p w14:paraId="28F3E003">
                  <w:pPr>
                    <w:pStyle w:val="103"/>
                    <w:adjustRightInd w:val="0"/>
                    <w:snapToGrid w:val="0"/>
                    <w:rPr>
                      <w:rFonts w:ascii="Times New Roman" w:hAnsi="Times New Roman"/>
                    </w:rPr>
                  </w:pPr>
                  <w:r>
                    <w:rPr>
                      <w:rFonts w:ascii="Times New Roman" w:hAnsi="Times New Roman"/>
                    </w:rPr>
                    <w:t>378</w:t>
                  </w:r>
                </w:p>
              </w:tc>
              <w:tc>
                <w:tcPr>
                  <w:tcW w:w="895" w:type="pct"/>
                  <w:vMerge w:val="continue"/>
                  <w:vAlign w:val="center"/>
                </w:tcPr>
                <w:p w14:paraId="1081C126">
                  <w:pPr>
                    <w:pStyle w:val="103"/>
                    <w:adjustRightInd w:val="0"/>
                    <w:snapToGrid w:val="0"/>
                    <w:rPr>
                      <w:rFonts w:ascii="Times New Roman" w:hAnsi="Times New Roman"/>
                    </w:rPr>
                  </w:pPr>
                </w:p>
              </w:tc>
            </w:tr>
            <w:tr w14:paraId="7F2C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633F851C">
                  <w:pPr>
                    <w:pStyle w:val="103"/>
                    <w:adjustRightInd w:val="0"/>
                    <w:snapToGrid w:val="0"/>
                    <w:rPr>
                      <w:rFonts w:ascii="Times New Roman" w:hAnsi="Times New Roman"/>
                    </w:rPr>
                  </w:pPr>
                </w:p>
              </w:tc>
              <w:tc>
                <w:tcPr>
                  <w:tcW w:w="863" w:type="pct"/>
                  <w:vAlign w:val="center"/>
                </w:tcPr>
                <w:p w14:paraId="6342F683">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7EBE5220">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36A47077">
                  <w:pPr>
                    <w:pStyle w:val="103"/>
                    <w:adjustRightInd w:val="0"/>
                    <w:snapToGrid w:val="0"/>
                    <w:rPr>
                      <w:rFonts w:ascii="Times New Roman" w:hAnsi="Times New Roman"/>
                    </w:rPr>
                  </w:pPr>
                  <w:r>
                    <w:rPr>
                      <w:rFonts w:ascii="Times New Roman" w:hAnsi="Times New Roman"/>
                    </w:rPr>
                    <w:t>约8户（25人）</w:t>
                  </w:r>
                </w:p>
              </w:tc>
              <w:tc>
                <w:tcPr>
                  <w:tcW w:w="516" w:type="pct"/>
                  <w:gridSpan w:val="2"/>
                  <w:vAlign w:val="center"/>
                </w:tcPr>
                <w:p w14:paraId="73978B9C">
                  <w:pPr>
                    <w:pStyle w:val="103"/>
                    <w:adjustRightInd w:val="0"/>
                    <w:snapToGrid w:val="0"/>
                    <w:rPr>
                      <w:rFonts w:ascii="Times New Roman" w:hAnsi="Times New Roman"/>
                    </w:rPr>
                  </w:pPr>
                  <w:r>
                    <w:rPr>
                      <w:rFonts w:ascii="Times New Roman" w:hAnsi="Times New Roman"/>
                    </w:rPr>
                    <w:t>南侧</w:t>
                  </w:r>
                </w:p>
              </w:tc>
              <w:tc>
                <w:tcPr>
                  <w:tcW w:w="673" w:type="pct"/>
                  <w:gridSpan w:val="2"/>
                  <w:vAlign w:val="center"/>
                </w:tcPr>
                <w:p w14:paraId="29C669FC">
                  <w:pPr>
                    <w:pStyle w:val="103"/>
                    <w:adjustRightInd w:val="0"/>
                    <w:snapToGrid w:val="0"/>
                    <w:rPr>
                      <w:rFonts w:ascii="Times New Roman" w:hAnsi="Times New Roman"/>
                    </w:rPr>
                  </w:pPr>
                  <w:r>
                    <w:rPr>
                      <w:rFonts w:ascii="Times New Roman" w:hAnsi="Times New Roman"/>
                    </w:rPr>
                    <w:t>363</w:t>
                  </w:r>
                </w:p>
              </w:tc>
              <w:tc>
                <w:tcPr>
                  <w:tcW w:w="895" w:type="pct"/>
                  <w:vMerge w:val="continue"/>
                  <w:vAlign w:val="center"/>
                </w:tcPr>
                <w:p w14:paraId="18339007">
                  <w:pPr>
                    <w:pStyle w:val="103"/>
                    <w:adjustRightInd w:val="0"/>
                    <w:snapToGrid w:val="0"/>
                    <w:rPr>
                      <w:rFonts w:ascii="Times New Roman" w:hAnsi="Times New Roman"/>
                    </w:rPr>
                  </w:pPr>
                </w:p>
              </w:tc>
            </w:tr>
            <w:tr w14:paraId="5878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263B9CF5">
                  <w:pPr>
                    <w:pStyle w:val="103"/>
                    <w:adjustRightInd w:val="0"/>
                    <w:snapToGrid w:val="0"/>
                    <w:rPr>
                      <w:rFonts w:ascii="Times New Roman" w:hAnsi="Times New Roman"/>
                    </w:rPr>
                  </w:pPr>
                </w:p>
              </w:tc>
              <w:tc>
                <w:tcPr>
                  <w:tcW w:w="863" w:type="pct"/>
                  <w:vAlign w:val="center"/>
                </w:tcPr>
                <w:p w14:paraId="1A67058B">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5E467A91">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3733004F">
                  <w:pPr>
                    <w:pStyle w:val="103"/>
                    <w:adjustRightInd w:val="0"/>
                    <w:snapToGrid w:val="0"/>
                    <w:rPr>
                      <w:rFonts w:ascii="Times New Roman" w:hAnsi="Times New Roman"/>
                    </w:rPr>
                  </w:pPr>
                  <w:r>
                    <w:rPr>
                      <w:rFonts w:ascii="Times New Roman" w:hAnsi="Times New Roman"/>
                    </w:rPr>
                    <w:t>约8户（25人）</w:t>
                  </w:r>
                </w:p>
              </w:tc>
              <w:tc>
                <w:tcPr>
                  <w:tcW w:w="516" w:type="pct"/>
                  <w:gridSpan w:val="2"/>
                  <w:vAlign w:val="center"/>
                </w:tcPr>
                <w:p w14:paraId="74DDF4C7">
                  <w:pPr>
                    <w:pStyle w:val="103"/>
                    <w:adjustRightInd w:val="0"/>
                    <w:snapToGrid w:val="0"/>
                    <w:rPr>
                      <w:rFonts w:ascii="Times New Roman" w:hAnsi="Times New Roman"/>
                    </w:rPr>
                  </w:pPr>
                  <w:r>
                    <w:rPr>
                      <w:rFonts w:ascii="Times New Roman" w:hAnsi="Times New Roman"/>
                    </w:rPr>
                    <w:t>西侧</w:t>
                  </w:r>
                </w:p>
              </w:tc>
              <w:tc>
                <w:tcPr>
                  <w:tcW w:w="673" w:type="pct"/>
                  <w:gridSpan w:val="2"/>
                  <w:vAlign w:val="center"/>
                </w:tcPr>
                <w:p w14:paraId="5C47F7AA">
                  <w:pPr>
                    <w:pStyle w:val="103"/>
                    <w:adjustRightInd w:val="0"/>
                    <w:snapToGrid w:val="0"/>
                    <w:rPr>
                      <w:rFonts w:ascii="Times New Roman" w:hAnsi="Times New Roman"/>
                    </w:rPr>
                  </w:pPr>
                  <w:r>
                    <w:rPr>
                      <w:rFonts w:ascii="Times New Roman" w:hAnsi="Times New Roman"/>
                    </w:rPr>
                    <w:t>281</w:t>
                  </w:r>
                </w:p>
              </w:tc>
              <w:tc>
                <w:tcPr>
                  <w:tcW w:w="895" w:type="pct"/>
                  <w:vMerge w:val="continue"/>
                  <w:vAlign w:val="center"/>
                </w:tcPr>
                <w:p w14:paraId="33800B73">
                  <w:pPr>
                    <w:pStyle w:val="103"/>
                    <w:adjustRightInd w:val="0"/>
                    <w:snapToGrid w:val="0"/>
                    <w:rPr>
                      <w:rFonts w:ascii="Times New Roman" w:hAnsi="Times New Roman"/>
                    </w:rPr>
                  </w:pPr>
                </w:p>
              </w:tc>
            </w:tr>
            <w:tr w14:paraId="3524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52F88B28">
                  <w:pPr>
                    <w:pStyle w:val="103"/>
                    <w:adjustRightInd w:val="0"/>
                    <w:snapToGrid w:val="0"/>
                    <w:rPr>
                      <w:rFonts w:ascii="Times New Roman" w:hAnsi="Times New Roman"/>
                    </w:rPr>
                  </w:pPr>
                </w:p>
              </w:tc>
              <w:tc>
                <w:tcPr>
                  <w:tcW w:w="863" w:type="pct"/>
                  <w:vAlign w:val="center"/>
                </w:tcPr>
                <w:p w14:paraId="2D4DC0AE">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56811D39">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5F44CF17">
                  <w:pPr>
                    <w:pStyle w:val="103"/>
                    <w:adjustRightInd w:val="0"/>
                    <w:snapToGrid w:val="0"/>
                    <w:rPr>
                      <w:rFonts w:ascii="Times New Roman" w:hAnsi="Times New Roman"/>
                    </w:rPr>
                  </w:pPr>
                  <w:r>
                    <w:rPr>
                      <w:rFonts w:ascii="Times New Roman" w:hAnsi="Times New Roman"/>
                    </w:rPr>
                    <w:t>约2户（6人）</w:t>
                  </w:r>
                </w:p>
              </w:tc>
              <w:tc>
                <w:tcPr>
                  <w:tcW w:w="516" w:type="pct"/>
                  <w:gridSpan w:val="2"/>
                  <w:vAlign w:val="center"/>
                </w:tcPr>
                <w:p w14:paraId="2D3899D0">
                  <w:pPr>
                    <w:pStyle w:val="103"/>
                    <w:adjustRightInd w:val="0"/>
                    <w:snapToGrid w:val="0"/>
                    <w:rPr>
                      <w:rFonts w:ascii="Times New Roman" w:hAnsi="Times New Roman"/>
                    </w:rPr>
                  </w:pPr>
                  <w:r>
                    <w:rPr>
                      <w:rFonts w:ascii="Times New Roman" w:hAnsi="Times New Roman"/>
                    </w:rPr>
                    <w:t>西侧</w:t>
                  </w:r>
                </w:p>
              </w:tc>
              <w:tc>
                <w:tcPr>
                  <w:tcW w:w="673" w:type="pct"/>
                  <w:gridSpan w:val="2"/>
                  <w:vAlign w:val="center"/>
                </w:tcPr>
                <w:p w14:paraId="6C28BBE6">
                  <w:pPr>
                    <w:pStyle w:val="103"/>
                    <w:adjustRightInd w:val="0"/>
                    <w:snapToGrid w:val="0"/>
                    <w:rPr>
                      <w:rFonts w:ascii="Times New Roman" w:hAnsi="Times New Roman"/>
                    </w:rPr>
                  </w:pPr>
                  <w:r>
                    <w:rPr>
                      <w:rFonts w:ascii="Times New Roman" w:hAnsi="Times New Roman"/>
                    </w:rPr>
                    <w:t>386</w:t>
                  </w:r>
                </w:p>
              </w:tc>
              <w:tc>
                <w:tcPr>
                  <w:tcW w:w="895" w:type="pct"/>
                  <w:vMerge w:val="continue"/>
                  <w:vAlign w:val="center"/>
                </w:tcPr>
                <w:p w14:paraId="4376F2F4">
                  <w:pPr>
                    <w:pStyle w:val="103"/>
                    <w:adjustRightInd w:val="0"/>
                    <w:snapToGrid w:val="0"/>
                    <w:rPr>
                      <w:rFonts w:ascii="Times New Roman" w:hAnsi="Times New Roman"/>
                    </w:rPr>
                  </w:pPr>
                </w:p>
              </w:tc>
            </w:tr>
            <w:tr w14:paraId="645B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5CC81FBB">
                  <w:pPr>
                    <w:pStyle w:val="103"/>
                    <w:adjustRightInd w:val="0"/>
                    <w:snapToGrid w:val="0"/>
                    <w:rPr>
                      <w:rFonts w:ascii="Times New Roman" w:hAnsi="Times New Roman"/>
                    </w:rPr>
                  </w:pPr>
                </w:p>
              </w:tc>
              <w:tc>
                <w:tcPr>
                  <w:tcW w:w="863" w:type="pct"/>
                  <w:vAlign w:val="center"/>
                </w:tcPr>
                <w:p w14:paraId="515338D1">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47E47E7B">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0FF27533">
                  <w:pPr>
                    <w:pStyle w:val="103"/>
                    <w:adjustRightInd w:val="0"/>
                    <w:snapToGrid w:val="0"/>
                    <w:rPr>
                      <w:rFonts w:ascii="Times New Roman" w:hAnsi="Times New Roman"/>
                    </w:rPr>
                  </w:pPr>
                  <w:r>
                    <w:rPr>
                      <w:rFonts w:ascii="Times New Roman" w:hAnsi="Times New Roman"/>
                    </w:rPr>
                    <w:t>约1户（2人）</w:t>
                  </w:r>
                </w:p>
              </w:tc>
              <w:tc>
                <w:tcPr>
                  <w:tcW w:w="516" w:type="pct"/>
                  <w:gridSpan w:val="2"/>
                  <w:vAlign w:val="center"/>
                </w:tcPr>
                <w:p w14:paraId="04B20F18">
                  <w:pPr>
                    <w:pStyle w:val="103"/>
                    <w:adjustRightInd w:val="0"/>
                    <w:snapToGrid w:val="0"/>
                    <w:rPr>
                      <w:rFonts w:ascii="Times New Roman" w:hAnsi="Times New Roman"/>
                    </w:rPr>
                  </w:pPr>
                  <w:r>
                    <w:rPr>
                      <w:rFonts w:ascii="Times New Roman" w:hAnsi="Times New Roman"/>
                    </w:rPr>
                    <w:t>西侧</w:t>
                  </w:r>
                </w:p>
              </w:tc>
              <w:tc>
                <w:tcPr>
                  <w:tcW w:w="673" w:type="pct"/>
                  <w:gridSpan w:val="2"/>
                  <w:vAlign w:val="center"/>
                </w:tcPr>
                <w:p w14:paraId="305DEC8E">
                  <w:pPr>
                    <w:pStyle w:val="103"/>
                    <w:adjustRightInd w:val="0"/>
                    <w:snapToGrid w:val="0"/>
                    <w:rPr>
                      <w:rFonts w:ascii="Times New Roman" w:hAnsi="Times New Roman"/>
                    </w:rPr>
                  </w:pPr>
                  <w:r>
                    <w:rPr>
                      <w:rFonts w:ascii="Times New Roman" w:hAnsi="Times New Roman"/>
                    </w:rPr>
                    <w:t>306</w:t>
                  </w:r>
                </w:p>
              </w:tc>
              <w:tc>
                <w:tcPr>
                  <w:tcW w:w="895" w:type="pct"/>
                  <w:vMerge w:val="continue"/>
                  <w:vAlign w:val="center"/>
                </w:tcPr>
                <w:p w14:paraId="04C6D37A">
                  <w:pPr>
                    <w:pStyle w:val="103"/>
                    <w:adjustRightInd w:val="0"/>
                    <w:snapToGrid w:val="0"/>
                    <w:rPr>
                      <w:rFonts w:ascii="Times New Roman" w:hAnsi="Times New Roman"/>
                    </w:rPr>
                  </w:pPr>
                </w:p>
              </w:tc>
            </w:tr>
            <w:tr w14:paraId="18E3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jc w:val="center"/>
              </w:trPr>
              <w:tc>
                <w:tcPr>
                  <w:tcW w:w="435" w:type="pct"/>
                  <w:vMerge w:val="continue"/>
                  <w:vAlign w:val="center"/>
                </w:tcPr>
                <w:p w14:paraId="6870524F">
                  <w:pPr>
                    <w:pStyle w:val="103"/>
                    <w:adjustRightInd w:val="0"/>
                    <w:snapToGrid w:val="0"/>
                    <w:rPr>
                      <w:rFonts w:ascii="Times New Roman" w:hAnsi="Times New Roman"/>
                    </w:rPr>
                  </w:pPr>
                </w:p>
              </w:tc>
              <w:tc>
                <w:tcPr>
                  <w:tcW w:w="863" w:type="pct"/>
                  <w:vAlign w:val="center"/>
                </w:tcPr>
                <w:p w14:paraId="7101FA9A">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24E1C356">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054F7F2E">
                  <w:pPr>
                    <w:pStyle w:val="103"/>
                    <w:adjustRightInd w:val="0"/>
                    <w:snapToGrid w:val="0"/>
                    <w:rPr>
                      <w:rFonts w:ascii="Times New Roman" w:hAnsi="Times New Roman"/>
                    </w:rPr>
                  </w:pPr>
                  <w:r>
                    <w:rPr>
                      <w:rFonts w:ascii="Times New Roman" w:hAnsi="Times New Roman"/>
                    </w:rPr>
                    <w:t>约18户（60人）</w:t>
                  </w:r>
                </w:p>
              </w:tc>
              <w:tc>
                <w:tcPr>
                  <w:tcW w:w="516" w:type="pct"/>
                  <w:gridSpan w:val="2"/>
                  <w:vAlign w:val="center"/>
                </w:tcPr>
                <w:p w14:paraId="673C321B">
                  <w:pPr>
                    <w:pStyle w:val="103"/>
                    <w:adjustRightInd w:val="0"/>
                    <w:snapToGrid w:val="0"/>
                    <w:rPr>
                      <w:rFonts w:ascii="Times New Roman" w:hAnsi="Times New Roman"/>
                    </w:rPr>
                  </w:pPr>
                  <w:r>
                    <w:rPr>
                      <w:rFonts w:ascii="Times New Roman" w:hAnsi="Times New Roman"/>
                    </w:rPr>
                    <w:t>西北</w:t>
                  </w:r>
                </w:p>
              </w:tc>
              <w:tc>
                <w:tcPr>
                  <w:tcW w:w="673" w:type="pct"/>
                  <w:gridSpan w:val="2"/>
                  <w:vAlign w:val="center"/>
                </w:tcPr>
                <w:p w14:paraId="33EF7CAD">
                  <w:pPr>
                    <w:pStyle w:val="103"/>
                    <w:adjustRightInd w:val="0"/>
                    <w:snapToGrid w:val="0"/>
                    <w:rPr>
                      <w:rFonts w:ascii="Times New Roman" w:hAnsi="Times New Roman"/>
                    </w:rPr>
                  </w:pPr>
                  <w:r>
                    <w:rPr>
                      <w:rFonts w:ascii="Times New Roman" w:hAnsi="Times New Roman"/>
                    </w:rPr>
                    <w:t>332</w:t>
                  </w:r>
                </w:p>
              </w:tc>
              <w:tc>
                <w:tcPr>
                  <w:tcW w:w="895" w:type="pct"/>
                  <w:vMerge w:val="continue"/>
                  <w:vAlign w:val="center"/>
                </w:tcPr>
                <w:p w14:paraId="0DA2A971">
                  <w:pPr>
                    <w:pStyle w:val="103"/>
                    <w:adjustRightInd w:val="0"/>
                    <w:snapToGrid w:val="0"/>
                    <w:rPr>
                      <w:rFonts w:ascii="Times New Roman" w:hAnsi="Times New Roman"/>
                    </w:rPr>
                  </w:pPr>
                </w:p>
              </w:tc>
            </w:tr>
            <w:tr w14:paraId="4317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258" w:hRule="atLeast"/>
                <w:jc w:val="center"/>
              </w:trPr>
              <w:tc>
                <w:tcPr>
                  <w:tcW w:w="435" w:type="pct"/>
                  <w:vMerge w:val="continue"/>
                  <w:vAlign w:val="center"/>
                </w:tcPr>
                <w:p w14:paraId="4EF73F7F">
                  <w:pPr>
                    <w:pStyle w:val="103"/>
                    <w:adjustRightInd w:val="0"/>
                    <w:snapToGrid w:val="0"/>
                    <w:rPr>
                      <w:rFonts w:ascii="Times New Roman" w:hAnsi="Times New Roman"/>
                    </w:rPr>
                  </w:pPr>
                </w:p>
              </w:tc>
              <w:tc>
                <w:tcPr>
                  <w:tcW w:w="863" w:type="pct"/>
                  <w:vAlign w:val="center"/>
                </w:tcPr>
                <w:p w14:paraId="00775014">
                  <w:pPr>
                    <w:pStyle w:val="103"/>
                    <w:adjustRightInd w:val="0"/>
                    <w:snapToGrid w:val="0"/>
                    <w:rPr>
                      <w:rFonts w:ascii="Times New Roman" w:hAnsi="Times New Roman"/>
                    </w:rPr>
                  </w:pPr>
                  <w:r>
                    <w:rPr>
                      <w:rFonts w:ascii="Times New Roman" w:hAnsi="Times New Roman"/>
                    </w:rPr>
                    <w:t>散居农户</w:t>
                  </w:r>
                </w:p>
              </w:tc>
              <w:tc>
                <w:tcPr>
                  <w:tcW w:w="437" w:type="pct"/>
                  <w:vAlign w:val="center"/>
                </w:tcPr>
                <w:p w14:paraId="38A8A5E4">
                  <w:pPr>
                    <w:pStyle w:val="103"/>
                    <w:adjustRightInd w:val="0"/>
                    <w:snapToGrid w:val="0"/>
                    <w:rPr>
                      <w:rFonts w:ascii="Times New Roman" w:hAnsi="Times New Roman"/>
                    </w:rPr>
                  </w:pPr>
                  <w:r>
                    <w:rPr>
                      <w:rFonts w:ascii="Times New Roman" w:hAnsi="Times New Roman"/>
                    </w:rPr>
                    <w:t>农户</w:t>
                  </w:r>
                </w:p>
              </w:tc>
              <w:tc>
                <w:tcPr>
                  <w:tcW w:w="1174" w:type="pct"/>
                  <w:gridSpan w:val="2"/>
                  <w:vAlign w:val="center"/>
                </w:tcPr>
                <w:p w14:paraId="38D3332D">
                  <w:pPr>
                    <w:pStyle w:val="103"/>
                    <w:adjustRightInd w:val="0"/>
                    <w:snapToGrid w:val="0"/>
                    <w:rPr>
                      <w:rFonts w:ascii="Times New Roman" w:hAnsi="Times New Roman"/>
                    </w:rPr>
                  </w:pPr>
                  <w:r>
                    <w:rPr>
                      <w:rFonts w:ascii="Times New Roman" w:hAnsi="Times New Roman"/>
                    </w:rPr>
                    <w:t>约1户（3人）</w:t>
                  </w:r>
                </w:p>
              </w:tc>
              <w:tc>
                <w:tcPr>
                  <w:tcW w:w="516" w:type="pct"/>
                  <w:gridSpan w:val="2"/>
                  <w:vAlign w:val="center"/>
                </w:tcPr>
                <w:p w14:paraId="7A5F4FB4">
                  <w:pPr>
                    <w:pStyle w:val="103"/>
                    <w:adjustRightInd w:val="0"/>
                    <w:snapToGrid w:val="0"/>
                    <w:rPr>
                      <w:rFonts w:ascii="Times New Roman" w:hAnsi="Times New Roman"/>
                    </w:rPr>
                  </w:pPr>
                  <w:r>
                    <w:rPr>
                      <w:rFonts w:ascii="Times New Roman" w:hAnsi="Times New Roman"/>
                    </w:rPr>
                    <w:t>西北</w:t>
                  </w:r>
                </w:p>
              </w:tc>
              <w:tc>
                <w:tcPr>
                  <w:tcW w:w="673" w:type="pct"/>
                  <w:gridSpan w:val="2"/>
                  <w:vAlign w:val="center"/>
                </w:tcPr>
                <w:p w14:paraId="47B8ADC6">
                  <w:pPr>
                    <w:pStyle w:val="103"/>
                    <w:adjustRightInd w:val="0"/>
                    <w:snapToGrid w:val="0"/>
                    <w:rPr>
                      <w:rFonts w:ascii="Times New Roman" w:hAnsi="Times New Roman"/>
                    </w:rPr>
                  </w:pPr>
                  <w:r>
                    <w:rPr>
                      <w:rFonts w:ascii="Times New Roman" w:hAnsi="Times New Roman"/>
                    </w:rPr>
                    <w:t>58</w:t>
                  </w:r>
                </w:p>
              </w:tc>
              <w:tc>
                <w:tcPr>
                  <w:tcW w:w="895" w:type="pct"/>
                  <w:vMerge w:val="continue"/>
                  <w:vAlign w:val="center"/>
                </w:tcPr>
                <w:p w14:paraId="6B0304C5">
                  <w:pPr>
                    <w:pStyle w:val="103"/>
                    <w:adjustRightInd w:val="0"/>
                    <w:snapToGrid w:val="0"/>
                    <w:rPr>
                      <w:rFonts w:ascii="Times New Roman" w:hAnsi="Times New Roman"/>
                    </w:rPr>
                  </w:pPr>
                </w:p>
              </w:tc>
            </w:tr>
            <w:tr w14:paraId="67A3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35" w:type="pct"/>
                  <w:vMerge w:val="restart"/>
                  <w:vAlign w:val="center"/>
                </w:tcPr>
                <w:p w14:paraId="04635CCD">
                  <w:pPr>
                    <w:pStyle w:val="103"/>
                    <w:adjustRightInd w:val="0"/>
                    <w:snapToGrid w:val="0"/>
                    <w:rPr>
                      <w:rFonts w:ascii="Times New Roman" w:hAnsi="Times New Roman"/>
                    </w:rPr>
                  </w:pPr>
                  <w:r>
                    <w:rPr>
                      <w:rFonts w:ascii="Times New Roman" w:hAnsi="Times New Roman"/>
                    </w:rPr>
                    <w:t>地表水</w:t>
                  </w:r>
                </w:p>
              </w:tc>
              <w:tc>
                <w:tcPr>
                  <w:tcW w:w="1307" w:type="pct"/>
                  <w:gridSpan w:val="3"/>
                  <w:vAlign w:val="center"/>
                </w:tcPr>
                <w:p w14:paraId="759715B5">
                  <w:pPr>
                    <w:pStyle w:val="103"/>
                    <w:adjustRightInd w:val="0"/>
                    <w:snapToGrid w:val="0"/>
                    <w:rPr>
                      <w:rFonts w:ascii="Times New Roman" w:hAnsi="Times New Roman"/>
                    </w:rPr>
                  </w:pPr>
                  <w:r>
                    <w:rPr>
                      <w:rFonts w:ascii="Times New Roman" w:hAnsi="Times New Roman"/>
                    </w:rPr>
                    <w:t>通仙溪</w:t>
                  </w:r>
                </w:p>
              </w:tc>
              <w:tc>
                <w:tcPr>
                  <w:tcW w:w="1174" w:type="pct"/>
                  <w:gridSpan w:val="2"/>
                  <w:vAlign w:val="center"/>
                </w:tcPr>
                <w:p w14:paraId="528F7D19">
                  <w:pPr>
                    <w:pStyle w:val="103"/>
                    <w:adjustRightInd w:val="0"/>
                    <w:snapToGrid w:val="0"/>
                    <w:rPr>
                      <w:rFonts w:ascii="Times New Roman" w:hAnsi="Times New Roman"/>
                    </w:rPr>
                  </w:pPr>
                  <w:r>
                    <w:rPr>
                      <w:rFonts w:ascii="Times New Roman" w:hAnsi="Times New Roman"/>
                    </w:rPr>
                    <w:t>行洪灌溉</w:t>
                  </w:r>
                </w:p>
              </w:tc>
              <w:tc>
                <w:tcPr>
                  <w:tcW w:w="516" w:type="pct"/>
                  <w:gridSpan w:val="2"/>
                  <w:vAlign w:val="center"/>
                </w:tcPr>
                <w:p w14:paraId="19C8EB73">
                  <w:pPr>
                    <w:pStyle w:val="103"/>
                    <w:adjustRightInd w:val="0"/>
                    <w:snapToGrid w:val="0"/>
                    <w:rPr>
                      <w:rFonts w:ascii="Times New Roman" w:hAnsi="Times New Roman"/>
                    </w:rPr>
                  </w:pPr>
                  <w:r>
                    <w:rPr>
                      <w:rFonts w:ascii="Times New Roman" w:hAnsi="Times New Roman"/>
                    </w:rPr>
                    <w:t>东北</w:t>
                  </w:r>
                </w:p>
              </w:tc>
              <w:tc>
                <w:tcPr>
                  <w:tcW w:w="666" w:type="pct"/>
                  <w:vAlign w:val="center"/>
                </w:tcPr>
                <w:p w14:paraId="7FC4FCC1">
                  <w:pPr>
                    <w:pStyle w:val="103"/>
                    <w:adjustRightInd w:val="0"/>
                    <w:snapToGrid w:val="0"/>
                    <w:rPr>
                      <w:rFonts w:ascii="Times New Roman" w:hAnsi="Times New Roman"/>
                    </w:rPr>
                  </w:pPr>
                  <w:r>
                    <w:rPr>
                      <w:rFonts w:ascii="Times New Roman" w:hAnsi="Times New Roman"/>
                      <w:lang w:val="en-US"/>
                    </w:rPr>
                    <w:t>130</w:t>
                  </w:r>
                </w:p>
              </w:tc>
              <w:tc>
                <w:tcPr>
                  <w:tcW w:w="902" w:type="pct"/>
                  <w:gridSpan w:val="2"/>
                  <w:vMerge w:val="restart"/>
                  <w:vAlign w:val="center"/>
                </w:tcPr>
                <w:p w14:paraId="66E4D161">
                  <w:pPr>
                    <w:pStyle w:val="103"/>
                    <w:adjustRightInd w:val="0"/>
                    <w:snapToGrid w:val="0"/>
                    <w:rPr>
                      <w:rFonts w:ascii="Times New Roman" w:hAnsi="Times New Roman"/>
                    </w:rPr>
                  </w:pPr>
                  <w:r>
                    <w:rPr>
                      <w:rFonts w:ascii="Times New Roman" w:hAnsi="Times New Roman"/>
                    </w:rPr>
                    <w:t>（GB3838-2002）Ⅲ类标准</w:t>
                  </w:r>
                </w:p>
              </w:tc>
            </w:tr>
            <w:tr w14:paraId="3C76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5" w:type="pct"/>
                  <w:vMerge w:val="continue"/>
                  <w:vAlign w:val="center"/>
                </w:tcPr>
                <w:p w14:paraId="33B517B1">
                  <w:pPr>
                    <w:pStyle w:val="103"/>
                    <w:adjustRightInd w:val="0"/>
                    <w:snapToGrid w:val="0"/>
                    <w:rPr>
                      <w:rFonts w:ascii="Times New Roman" w:hAnsi="Times New Roman"/>
                    </w:rPr>
                  </w:pPr>
                </w:p>
              </w:tc>
              <w:tc>
                <w:tcPr>
                  <w:tcW w:w="1307" w:type="pct"/>
                  <w:gridSpan w:val="3"/>
                  <w:vAlign w:val="center"/>
                </w:tcPr>
                <w:p w14:paraId="016EB57F">
                  <w:pPr>
                    <w:pStyle w:val="103"/>
                    <w:adjustRightInd w:val="0"/>
                    <w:snapToGrid w:val="0"/>
                    <w:rPr>
                      <w:rFonts w:ascii="Times New Roman" w:hAnsi="Times New Roman"/>
                    </w:rPr>
                  </w:pPr>
                  <w:r>
                    <w:rPr>
                      <w:rFonts w:ascii="Times New Roman" w:hAnsi="Times New Roman"/>
                    </w:rPr>
                    <w:t>郪江</w:t>
                  </w:r>
                </w:p>
              </w:tc>
              <w:tc>
                <w:tcPr>
                  <w:tcW w:w="1174" w:type="pct"/>
                  <w:gridSpan w:val="2"/>
                  <w:vAlign w:val="center"/>
                </w:tcPr>
                <w:p w14:paraId="49B88BD4">
                  <w:pPr>
                    <w:pStyle w:val="103"/>
                    <w:adjustRightInd w:val="0"/>
                    <w:snapToGrid w:val="0"/>
                    <w:rPr>
                      <w:rFonts w:ascii="Times New Roman" w:hAnsi="Times New Roman"/>
                    </w:rPr>
                  </w:pPr>
                  <w:r>
                    <w:rPr>
                      <w:rFonts w:ascii="Times New Roman" w:hAnsi="Times New Roman"/>
                    </w:rPr>
                    <w:t>行洪灌溉</w:t>
                  </w:r>
                </w:p>
              </w:tc>
              <w:tc>
                <w:tcPr>
                  <w:tcW w:w="516" w:type="pct"/>
                  <w:gridSpan w:val="2"/>
                  <w:vAlign w:val="center"/>
                </w:tcPr>
                <w:p w14:paraId="0FDB164A">
                  <w:pPr>
                    <w:pStyle w:val="103"/>
                    <w:adjustRightInd w:val="0"/>
                    <w:snapToGrid w:val="0"/>
                    <w:rPr>
                      <w:rFonts w:ascii="Times New Roman" w:hAnsi="Times New Roman"/>
                    </w:rPr>
                  </w:pPr>
                  <w:r>
                    <w:rPr>
                      <w:rFonts w:ascii="Times New Roman" w:hAnsi="Times New Roman"/>
                    </w:rPr>
                    <w:t>南</w:t>
                  </w:r>
                </w:p>
              </w:tc>
              <w:tc>
                <w:tcPr>
                  <w:tcW w:w="666" w:type="pct"/>
                  <w:vAlign w:val="center"/>
                </w:tcPr>
                <w:p w14:paraId="3862AFE1">
                  <w:pPr>
                    <w:pStyle w:val="103"/>
                    <w:adjustRightInd w:val="0"/>
                    <w:snapToGrid w:val="0"/>
                    <w:rPr>
                      <w:rFonts w:ascii="Times New Roman" w:hAnsi="Times New Roman"/>
                    </w:rPr>
                  </w:pPr>
                  <w:r>
                    <w:rPr>
                      <w:rFonts w:ascii="Times New Roman" w:hAnsi="Times New Roman"/>
                      <w:lang w:val="en-US"/>
                    </w:rPr>
                    <w:t>200</w:t>
                  </w:r>
                </w:p>
              </w:tc>
              <w:tc>
                <w:tcPr>
                  <w:tcW w:w="902" w:type="pct"/>
                  <w:gridSpan w:val="2"/>
                  <w:vMerge w:val="continue"/>
                  <w:vAlign w:val="center"/>
                </w:tcPr>
                <w:p w14:paraId="7A74359C">
                  <w:pPr>
                    <w:pStyle w:val="103"/>
                    <w:adjustRightInd w:val="0"/>
                    <w:snapToGrid w:val="0"/>
                    <w:rPr>
                      <w:rFonts w:ascii="Times New Roman" w:hAnsi="Times New Roman"/>
                    </w:rPr>
                  </w:pPr>
                </w:p>
              </w:tc>
            </w:tr>
            <w:tr w14:paraId="4578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5" w:type="pct"/>
                  <w:vAlign w:val="center"/>
                </w:tcPr>
                <w:p w14:paraId="5A597D74">
                  <w:pPr>
                    <w:pStyle w:val="103"/>
                    <w:adjustRightInd w:val="0"/>
                    <w:snapToGrid w:val="0"/>
                    <w:rPr>
                      <w:rFonts w:ascii="Times New Roman" w:hAnsi="Times New Roman"/>
                    </w:rPr>
                  </w:pPr>
                  <w:r>
                    <w:rPr>
                      <w:rFonts w:ascii="Times New Roman" w:hAnsi="Times New Roman"/>
                    </w:rPr>
                    <w:t>声环境</w:t>
                  </w:r>
                </w:p>
              </w:tc>
              <w:tc>
                <w:tcPr>
                  <w:tcW w:w="3663" w:type="pct"/>
                  <w:gridSpan w:val="8"/>
                  <w:vAlign w:val="center"/>
                </w:tcPr>
                <w:p w14:paraId="0910BD5E">
                  <w:pPr>
                    <w:pStyle w:val="103"/>
                    <w:adjustRightInd w:val="0"/>
                    <w:snapToGrid w:val="0"/>
                    <w:rPr>
                      <w:rFonts w:ascii="Times New Roman" w:hAnsi="Times New Roman"/>
                    </w:rPr>
                  </w:pPr>
                  <w:r>
                    <w:rPr>
                      <w:rFonts w:ascii="Times New Roman" w:hAnsi="Times New Roman"/>
                    </w:rPr>
                    <w:t>厂界外200m范围内的散居农户和行政</w:t>
                  </w:r>
                </w:p>
              </w:tc>
              <w:tc>
                <w:tcPr>
                  <w:tcW w:w="902" w:type="pct"/>
                  <w:gridSpan w:val="2"/>
                  <w:vAlign w:val="center"/>
                </w:tcPr>
                <w:p w14:paraId="65E72F3A">
                  <w:pPr>
                    <w:pStyle w:val="103"/>
                    <w:adjustRightInd w:val="0"/>
                    <w:snapToGrid w:val="0"/>
                    <w:rPr>
                      <w:rFonts w:ascii="Times New Roman" w:hAnsi="Times New Roman"/>
                    </w:rPr>
                  </w:pPr>
                  <w:r>
                    <w:rPr>
                      <w:rFonts w:ascii="Times New Roman" w:hAnsi="Times New Roman"/>
                    </w:rPr>
                    <w:t>（GB3096-2008）2类功能区</w:t>
                  </w:r>
                </w:p>
              </w:tc>
            </w:tr>
          </w:tbl>
          <w:p w14:paraId="21BE2C68">
            <w:pPr>
              <w:spacing w:line="480" w:lineRule="exact"/>
              <w:rPr>
                <w:color w:val="000000" w:themeColor="text1"/>
                <w:kern w:val="0"/>
                <w:szCs w:val="21"/>
                <w14:textFill>
                  <w14:solidFill>
                    <w14:schemeClr w14:val="tx1"/>
                  </w14:solidFill>
                </w14:textFill>
              </w:rPr>
            </w:pPr>
          </w:p>
        </w:tc>
      </w:tr>
    </w:tbl>
    <w:p w14:paraId="78301C7C">
      <w:pPr>
        <w:rPr>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p w14:paraId="1C47D91F">
      <w:pPr>
        <w:rPr>
          <w:color w:val="000000" w:themeColor="text1"/>
          <w14:textFill>
            <w14:solidFill>
              <w14:schemeClr w14:val="tx1"/>
            </w14:solidFill>
          </w14:textFill>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14:paraId="39B5F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vAlign w:val="center"/>
          </w:tcPr>
          <w:p w14:paraId="0A629194">
            <w:pPr>
              <w:adjustRightInd w:val="0"/>
              <w:snapToGrid w:val="0"/>
              <w:jc w:val="center"/>
              <w:rPr>
                <w:b/>
                <w:bCs/>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污染物排放控制标准</w:t>
            </w:r>
          </w:p>
        </w:tc>
      </w:tr>
      <w:tr w14:paraId="60E2C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2" w:hRule="atLeast"/>
          <w:jc w:val="center"/>
        </w:trPr>
        <w:tc>
          <w:tcPr>
            <w:tcW w:w="8825" w:type="dxa"/>
            <w:tcMar>
              <w:left w:w="28" w:type="dxa"/>
              <w:right w:w="28" w:type="dxa"/>
            </w:tcMar>
            <w:vAlign w:val="center"/>
          </w:tcPr>
          <w:p w14:paraId="7901B01B">
            <w:pPr>
              <w:autoSpaceDE w:val="0"/>
              <w:autoSpaceDN w:val="0"/>
              <w:adjustRightInd w:val="0"/>
              <w:snapToGrid w:val="0"/>
              <w:spacing w:line="480" w:lineRule="exact"/>
              <w:rPr>
                <w:b/>
                <w:color w:val="000000" w:themeColor="text1"/>
                <w:spacing w:val="-4"/>
                <w:sz w:val="24"/>
                <w14:textFill>
                  <w14:solidFill>
                    <w14:schemeClr w14:val="tx1"/>
                  </w14:solidFill>
                </w14:textFill>
              </w:rPr>
            </w:pPr>
            <w:r>
              <w:rPr>
                <w:b/>
                <w:color w:val="000000" w:themeColor="text1"/>
                <w:spacing w:val="-4"/>
                <w:sz w:val="24"/>
                <w14:textFill>
                  <w14:solidFill>
                    <w14:schemeClr w14:val="tx1"/>
                  </w14:solidFill>
                </w14:textFill>
              </w:rPr>
              <w:t>1</w:t>
            </w:r>
            <w:r>
              <w:rPr>
                <w:rFonts w:eastAsiaTheme="minorEastAsia"/>
                <w:b/>
                <w:bCs/>
                <w:color w:val="000000" w:themeColor="text1"/>
                <w:sz w:val="24"/>
                <w14:textFill>
                  <w14:solidFill>
                    <w14:schemeClr w14:val="tx1"/>
                  </w14:solidFill>
                </w14:textFill>
              </w:rPr>
              <w:t>、</w:t>
            </w:r>
            <w:r>
              <w:rPr>
                <w:b/>
                <w:color w:val="000000" w:themeColor="text1"/>
                <w:spacing w:val="-4"/>
                <w:sz w:val="24"/>
                <w14:textFill>
                  <w14:solidFill>
                    <w14:schemeClr w14:val="tx1"/>
                  </w14:solidFill>
                </w14:textFill>
              </w:rPr>
              <w:t>大气污染物排放标准</w:t>
            </w:r>
          </w:p>
          <w:p w14:paraId="4585FC89">
            <w:pPr>
              <w:kinsoku w:val="0"/>
              <w:overflowPunct w:val="0"/>
              <w:autoSpaceDE w:val="0"/>
              <w:autoSpaceDN w:val="0"/>
              <w:adjustRightInd w:val="0"/>
              <w:snapToGrid w:val="0"/>
              <w:spacing w:line="48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粉尘排放执行《水泥工业大气污染物排放标准》（GB4915-2013）中大气污染物的相关排放标准。</w:t>
            </w:r>
          </w:p>
          <w:p w14:paraId="7EAD2218">
            <w:pPr>
              <w:overflowPunct w:val="0"/>
              <w:adjustRightInd w:val="0"/>
              <w:snapToGrid w:val="0"/>
              <w:spacing w:before="120" w:beforeLines="50"/>
              <w:ind w:firstLine="42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表3-8 《水泥工业大气污染物排放标准》（GB4915-2013）</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654"/>
              <w:gridCol w:w="1655"/>
              <w:gridCol w:w="1496"/>
              <w:gridCol w:w="1410"/>
              <w:gridCol w:w="1412"/>
            </w:tblGrid>
            <w:tr w14:paraId="7509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646" w:type="pct"/>
                  <w:vMerge w:val="restart"/>
                  <w:vAlign w:val="center"/>
                </w:tcPr>
                <w:p w14:paraId="0D354346">
                  <w:pPr>
                    <w:overflowPunct w:val="0"/>
                    <w:adjustRightInd w:val="0"/>
                    <w:snapToGrid w:val="0"/>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污染物</w:t>
                  </w:r>
                </w:p>
              </w:tc>
              <w:tc>
                <w:tcPr>
                  <w:tcW w:w="944" w:type="pct"/>
                  <w:vMerge w:val="restart"/>
                  <w:vAlign w:val="center"/>
                </w:tcPr>
                <w:p w14:paraId="64051B04">
                  <w:pPr>
                    <w:overflowPunct w:val="0"/>
                    <w:adjustRightInd w:val="0"/>
                    <w:snapToGrid w:val="0"/>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最高允许排放浓度（mg/m</w:t>
                  </w:r>
                  <w:r>
                    <w:rPr>
                      <w:b/>
                      <w:bCs/>
                      <w:color w:val="000000" w:themeColor="text1"/>
                      <w:kern w:val="0"/>
                      <w:vertAlign w:val="superscript"/>
                      <w14:textFill>
                        <w14:solidFill>
                          <w14:schemeClr w14:val="tx1"/>
                        </w14:solidFill>
                      </w14:textFill>
                    </w:rPr>
                    <w:t>3</w:t>
                  </w:r>
                  <w:r>
                    <w:rPr>
                      <w:b/>
                      <w:bCs/>
                      <w:color w:val="000000" w:themeColor="text1"/>
                      <w:kern w:val="0"/>
                      <w14:textFill>
                        <w14:solidFill>
                          <w14:schemeClr w14:val="tx1"/>
                        </w14:solidFill>
                      </w14:textFill>
                    </w:rPr>
                    <w:t>）</w:t>
                  </w:r>
                </w:p>
              </w:tc>
              <w:tc>
                <w:tcPr>
                  <w:tcW w:w="1799" w:type="pct"/>
                  <w:gridSpan w:val="2"/>
                  <w:vAlign w:val="center"/>
                </w:tcPr>
                <w:p w14:paraId="6B01DBCB">
                  <w:pPr>
                    <w:overflowPunct w:val="0"/>
                    <w:adjustRightInd w:val="0"/>
                    <w:snapToGrid w:val="0"/>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最高允许排放速率（kg/h）</w:t>
                  </w:r>
                </w:p>
              </w:tc>
              <w:tc>
                <w:tcPr>
                  <w:tcW w:w="1611" w:type="pct"/>
                  <w:gridSpan w:val="2"/>
                  <w:vMerge w:val="restart"/>
                  <w:vAlign w:val="center"/>
                </w:tcPr>
                <w:p w14:paraId="58E4A049">
                  <w:pPr>
                    <w:overflowPunct w:val="0"/>
                    <w:adjustRightInd w:val="0"/>
                    <w:snapToGrid w:val="0"/>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无组织排放监控浓度限值（mg/m</w:t>
                  </w:r>
                  <w:r>
                    <w:rPr>
                      <w:b/>
                      <w:bCs/>
                      <w:color w:val="000000" w:themeColor="text1"/>
                      <w:kern w:val="0"/>
                      <w:vertAlign w:val="superscript"/>
                      <w14:textFill>
                        <w14:solidFill>
                          <w14:schemeClr w14:val="tx1"/>
                        </w14:solidFill>
                      </w14:textFill>
                    </w:rPr>
                    <w:t>3</w:t>
                  </w:r>
                  <w:r>
                    <w:rPr>
                      <w:b/>
                      <w:bCs/>
                      <w:color w:val="000000" w:themeColor="text1"/>
                      <w:kern w:val="0"/>
                      <w14:textFill>
                        <w14:solidFill>
                          <w14:schemeClr w14:val="tx1"/>
                        </w14:solidFill>
                      </w14:textFill>
                    </w:rPr>
                    <w:t>）</w:t>
                  </w:r>
                </w:p>
              </w:tc>
            </w:tr>
            <w:tr w14:paraId="6FCA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646" w:type="pct"/>
                  <w:vMerge w:val="continue"/>
                  <w:shd w:val="clear" w:color="auto" w:fill="CCFFCC"/>
                  <w:vAlign w:val="center"/>
                </w:tcPr>
                <w:p w14:paraId="44178C8A">
                  <w:pPr>
                    <w:overflowPunct w:val="0"/>
                    <w:adjustRightInd w:val="0"/>
                    <w:snapToGrid w:val="0"/>
                    <w:jc w:val="center"/>
                    <w:rPr>
                      <w:color w:val="000000" w:themeColor="text1"/>
                      <w:kern w:val="0"/>
                      <w14:textFill>
                        <w14:solidFill>
                          <w14:schemeClr w14:val="tx1"/>
                        </w14:solidFill>
                      </w14:textFill>
                    </w:rPr>
                  </w:pPr>
                </w:p>
              </w:tc>
              <w:tc>
                <w:tcPr>
                  <w:tcW w:w="944" w:type="pct"/>
                  <w:vMerge w:val="continue"/>
                  <w:shd w:val="clear" w:color="auto" w:fill="CCFFCC"/>
                  <w:vAlign w:val="center"/>
                </w:tcPr>
                <w:p w14:paraId="37D3001B">
                  <w:pPr>
                    <w:overflowPunct w:val="0"/>
                    <w:adjustRightInd w:val="0"/>
                    <w:snapToGrid w:val="0"/>
                    <w:jc w:val="center"/>
                    <w:rPr>
                      <w:color w:val="000000" w:themeColor="text1"/>
                      <w:kern w:val="0"/>
                      <w14:textFill>
                        <w14:solidFill>
                          <w14:schemeClr w14:val="tx1"/>
                        </w14:solidFill>
                      </w14:textFill>
                    </w:rPr>
                  </w:pPr>
                </w:p>
              </w:tc>
              <w:tc>
                <w:tcPr>
                  <w:tcW w:w="945" w:type="pct"/>
                  <w:shd w:val="clear" w:color="auto" w:fill="auto"/>
                  <w:vAlign w:val="center"/>
                </w:tcPr>
                <w:p w14:paraId="7CED4F96">
                  <w:pPr>
                    <w:overflowPunct w:val="0"/>
                    <w:adjustRightInd w:val="0"/>
                    <w:snapToGrid w:val="0"/>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排气筒（m）</w:t>
                  </w:r>
                </w:p>
              </w:tc>
              <w:tc>
                <w:tcPr>
                  <w:tcW w:w="854" w:type="pct"/>
                  <w:shd w:val="clear" w:color="auto" w:fill="auto"/>
                  <w:vAlign w:val="center"/>
                </w:tcPr>
                <w:p w14:paraId="77C5E037">
                  <w:pPr>
                    <w:overflowPunct w:val="0"/>
                    <w:adjustRightInd w:val="0"/>
                    <w:snapToGrid w:val="0"/>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二级</w:t>
                  </w:r>
                </w:p>
              </w:tc>
              <w:tc>
                <w:tcPr>
                  <w:tcW w:w="1611" w:type="pct"/>
                  <w:gridSpan w:val="2"/>
                  <w:vMerge w:val="continue"/>
                  <w:shd w:val="clear" w:color="auto" w:fill="CCFFCC"/>
                  <w:vAlign w:val="center"/>
                </w:tcPr>
                <w:p w14:paraId="3DD2725E">
                  <w:pPr>
                    <w:overflowPunct w:val="0"/>
                    <w:adjustRightInd w:val="0"/>
                    <w:snapToGrid w:val="0"/>
                    <w:jc w:val="center"/>
                    <w:rPr>
                      <w:color w:val="000000" w:themeColor="text1"/>
                      <w:kern w:val="0"/>
                      <w14:textFill>
                        <w14:solidFill>
                          <w14:schemeClr w14:val="tx1"/>
                        </w14:solidFill>
                      </w14:textFill>
                    </w:rPr>
                  </w:pPr>
                </w:p>
              </w:tc>
            </w:tr>
            <w:tr w14:paraId="24E6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46" w:type="pct"/>
                  <w:vAlign w:val="center"/>
                </w:tcPr>
                <w:p w14:paraId="2306FBFC">
                  <w:pPr>
                    <w:overflowPunct w:val="0"/>
                    <w:adjustRightInd w:val="0"/>
                    <w:snapToGrid w:val="0"/>
                    <w:jc w:val="center"/>
                    <w:rPr>
                      <w:color w:val="000000" w:themeColor="text1"/>
                      <w:kern w:val="0"/>
                      <w14:textFill>
                        <w14:solidFill>
                          <w14:schemeClr w14:val="tx1"/>
                        </w14:solidFill>
                      </w14:textFill>
                    </w:rPr>
                  </w:pPr>
                  <w:r>
                    <w:rPr>
                      <w:bCs/>
                      <w:color w:val="000000" w:themeColor="text1"/>
                      <w14:textFill>
                        <w14:solidFill>
                          <w14:schemeClr w14:val="tx1"/>
                        </w14:solidFill>
                      </w14:textFill>
                    </w:rPr>
                    <w:t>颗粒物</w:t>
                  </w:r>
                </w:p>
              </w:tc>
              <w:tc>
                <w:tcPr>
                  <w:tcW w:w="944" w:type="pct"/>
                  <w:vAlign w:val="center"/>
                </w:tcPr>
                <w:p w14:paraId="5776616E">
                  <w:pPr>
                    <w:overflowPunct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10</w:t>
                  </w:r>
                </w:p>
              </w:tc>
              <w:tc>
                <w:tcPr>
                  <w:tcW w:w="1799" w:type="pct"/>
                  <w:gridSpan w:val="2"/>
                  <w:vAlign w:val="center"/>
                </w:tcPr>
                <w:p w14:paraId="7650D83C">
                  <w:pPr>
                    <w:overflowPunct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05" w:type="pct"/>
                  <w:vAlign w:val="center"/>
                </w:tcPr>
                <w:p w14:paraId="4304678D">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周围外浓度最高点</w:t>
                  </w:r>
                </w:p>
              </w:tc>
              <w:tc>
                <w:tcPr>
                  <w:tcW w:w="805" w:type="pct"/>
                  <w:vAlign w:val="center"/>
                </w:tcPr>
                <w:p w14:paraId="429CC20C">
                  <w:pPr>
                    <w:overflowPunct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bl>
          <w:p w14:paraId="38AE19A3">
            <w:pPr>
              <w:kinsoku w:val="0"/>
              <w:overflowPunct w:val="0"/>
              <w:autoSpaceDE w:val="0"/>
              <w:autoSpaceDN w:val="0"/>
              <w:adjustRightInd w:val="0"/>
              <w:snapToGrid w:val="0"/>
              <w:spacing w:line="48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锅炉采用天然气加热，各项指标执行《锅炉大气污染物排放标准》（GB13271-2014）表3燃气特别排放限值。</w:t>
            </w:r>
          </w:p>
          <w:p w14:paraId="65720AA0">
            <w:pPr>
              <w:spacing w:before="120" w:beforeLines="5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表3-9锅炉大气污染物排放标准</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253"/>
              <w:gridCol w:w="1855"/>
              <w:gridCol w:w="4185"/>
            </w:tblGrid>
            <w:tr w14:paraId="6570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35" w:type="pct"/>
                  <w:vAlign w:val="center"/>
                </w:tcPr>
                <w:p w14:paraId="5E56310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715" w:type="pct"/>
                  <w:vAlign w:val="center"/>
                </w:tcPr>
                <w:p w14:paraId="56545C4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排气筒高度（m）</w:t>
                  </w:r>
                </w:p>
              </w:tc>
              <w:tc>
                <w:tcPr>
                  <w:tcW w:w="1059" w:type="pct"/>
                  <w:vAlign w:val="center"/>
                </w:tcPr>
                <w:p w14:paraId="48014AB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2389" w:type="pct"/>
                  <w:vAlign w:val="center"/>
                </w:tcPr>
                <w:p w14:paraId="776C069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r>
            <w:tr w14:paraId="0799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5" w:type="pct"/>
                  <w:vAlign w:val="center"/>
                </w:tcPr>
                <w:p w14:paraId="502557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715" w:type="pct"/>
                  <w:vAlign w:val="center"/>
                </w:tcPr>
                <w:p w14:paraId="5B32B4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059" w:type="pct"/>
                  <w:vAlign w:val="center"/>
                </w:tcPr>
                <w:p w14:paraId="4235E02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389" w:type="pct"/>
                  <w:vMerge w:val="restart"/>
                  <w:vAlign w:val="center"/>
                </w:tcPr>
                <w:p w14:paraId="664FA2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《锅炉大气污染物排放标准》（</w:t>
                  </w:r>
                  <w:r>
                    <w:rPr>
                      <w:color w:val="000000" w:themeColor="text1"/>
                      <w:szCs w:val="21"/>
                      <w:shd w:val="clear" w:color="auto" w:fill="FFFFFF"/>
                      <w14:textFill>
                        <w14:solidFill>
                          <w14:schemeClr w14:val="tx1"/>
                        </w14:solidFill>
                      </w14:textFill>
                    </w:rPr>
                    <w:t>GB13271-2014</w:t>
                  </w:r>
                  <w:r>
                    <w:rPr>
                      <w:color w:val="000000" w:themeColor="text1"/>
                      <w:szCs w:val="21"/>
                      <w14:textFill>
                        <w14:solidFill>
                          <w14:schemeClr w14:val="tx1"/>
                        </w14:solidFill>
                      </w14:textFill>
                    </w:rPr>
                    <w:t>）表3 中燃气锅炉特别排放限值</w:t>
                  </w:r>
                </w:p>
              </w:tc>
            </w:tr>
            <w:tr w14:paraId="3E97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35" w:type="pct"/>
                  <w:vAlign w:val="center"/>
                </w:tcPr>
                <w:p w14:paraId="12DD19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715" w:type="pct"/>
                  <w:vAlign w:val="center"/>
                </w:tcPr>
                <w:p w14:paraId="6F628F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059" w:type="pct"/>
                  <w:vAlign w:val="center"/>
                </w:tcPr>
                <w:p w14:paraId="73951B9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2389" w:type="pct"/>
                  <w:vMerge w:val="continue"/>
                  <w:vAlign w:val="center"/>
                </w:tcPr>
                <w:p w14:paraId="226A546C">
                  <w:pPr>
                    <w:widowControl/>
                    <w:jc w:val="left"/>
                    <w:rPr>
                      <w:color w:val="000000" w:themeColor="text1"/>
                      <w:szCs w:val="21"/>
                      <w14:textFill>
                        <w14:solidFill>
                          <w14:schemeClr w14:val="tx1"/>
                        </w14:solidFill>
                      </w14:textFill>
                    </w:rPr>
                  </w:pPr>
                </w:p>
              </w:tc>
            </w:tr>
            <w:tr w14:paraId="6BB4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35" w:type="pct"/>
                  <w:vAlign w:val="center"/>
                </w:tcPr>
                <w:p w14:paraId="72917E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林格曼黑度</w:t>
                  </w:r>
                </w:p>
              </w:tc>
              <w:tc>
                <w:tcPr>
                  <w:tcW w:w="715" w:type="pct"/>
                  <w:vAlign w:val="center"/>
                </w:tcPr>
                <w:p w14:paraId="6CD7F7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059" w:type="pct"/>
                  <w:vAlign w:val="center"/>
                </w:tcPr>
                <w:p w14:paraId="0BAEC0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89" w:type="pct"/>
                  <w:vMerge w:val="continue"/>
                  <w:vAlign w:val="center"/>
                </w:tcPr>
                <w:p w14:paraId="5E9DBEAC">
                  <w:pPr>
                    <w:widowControl/>
                    <w:jc w:val="left"/>
                    <w:rPr>
                      <w:color w:val="000000" w:themeColor="text1"/>
                      <w:szCs w:val="21"/>
                      <w14:textFill>
                        <w14:solidFill>
                          <w14:schemeClr w14:val="tx1"/>
                        </w14:solidFill>
                      </w14:textFill>
                    </w:rPr>
                  </w:pPr>
                </w:p>
              </w:tc>
            </w:tr>
            <w:tr w14:paraId="13DD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35" w:type="pct"/>
                  <w:vAlign w:val="center"/>
                </w:tcPr>
                <w:p w14:paraId="17B25D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715" w:type="pct"/>
                  <w:vAlign w:val="center"/>
                </w:tcPr>
                <w:p w14:paraId="51B8BE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059" w:type="pct"/>
                  <w:vAlign w:val="center"/>
                </w:tcPr>
                <w:p w14:paraId="2EBB60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2389" w:type="pct"/>
                  <w:vMerge w:val="continue"/>
                  <w:vAlign w:val="center"/>
                </w:tcPr>
                <w:p w14:paraId="78778435">
                  <w:pPr>
                    <w:widowControl/>
                    <w:jc w:val="center"/>
                    <w:rPr>
                      <w:color w:val="000000" w:themeColor="text1"/>
                      <w:szCs w:val="21"/>
                      <w14:textFill>
                        <w14:solidFill>
                          <w14:schemeClr w14:val="tx1"/>
                        </w14:solidFill>
                      </w14:textFill>
                    </w:rPr>
                  </w:pPr>
                </w:p>
              </w:tc>
            </w:tr>
          </w:tbl>
          <w:p w14:paraId="24C70D2F">
            <w:pPr>
              <w:autoSpaceDE w:val="0"/>
              <w:autoSpaceDN w:val="0"/>
              <w:adjustRightInd w:val="0"/>
              <w:snapToGrid w:val="0"/>
              <w:spacing w:line="480" w:lineRule="exact"/>
              <w:rPr>
                <w:b/>
                <w:color w:val="000000" w:themeColor="text1"/>
                <w:sz w:val="24"/>
                <w14:textFill>
                  <w14:solidFill>
                    <w14:schemeClr w14:val="tx1"/>
                  </w14:solidFill>
                </w14:textFill>
              </w:rPr>
            </w:pPr>
            <w:r>
              <w:rPr>
                <w:b/>
                <w:color w:val="000000" w:themeColor="text1"/>
                <w:spacing w:val="-4"/>
                <w:sz w:val="24"/>
                <w14:textFill>
                  <w14:solidFill>
                    <w14:schemeClr w14:val="tx1"/>
                  </w14:solidFill>
                </w14:textFill>
              </w:rPr>
              <w:t>2</w:t>
            </w:r>
            <w:r>
              <w:rPr>
                <w:rFonts w:eastAsiaTheme="minorEastAsia"/>
                <w:b/>
                <w:bCs/>
                <w:color w:val="000000" w:themeColor="text1"/>
                <w:sz w:val="24"/>
                <w14:textFill>
                  <w14:solidFill>
                    <w14:schemeClr w14:val="tx1"/>
                  </w14:solidFill>
                </w14:textFill>
              </w:rPr>
              <w:t>、</w:t>
            </w:r>
            <w:r>
              <w:rPr>
                <w:b/>
                <w:color w:val="000000" w:themeColor="text1"/>
                <w:sz w:val="24"/>
                <w14:textFill>
                  <w14:solidFill>
                    <w14:schemeClr w14:val="tx1"/>
                  </w14:solidFill>
                </w14:textFill>
              </w:rPr>
              <w:t>噪声排放标准</w:t>
            </w:r>
          </w:p>
          <w:p w14:paraId="32E78E61">
            <w:pPr>
              <w:kinsoku w:val="0"/>
              <w:overflowPunct w:val="0"/>
              <w:autoSpaceDE w:val="0"/>
              <w:autoSpaceDN w:val="0"/>
              <w:adjustRightInd w:val="0"/>
              <w:snapToGrid w:val="0"/>
              <w:spacing w:line="48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营运期执行《工业企业厂界环境噪声排放标准》（GB 12348-2008）2类标准。</w:t>
            </w:r>
          </w:p>
          <w:p w14:paraId="649D2A8D">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表3-10噪声排放标准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0"/>
              <w:gridCol w:w="2135"/>
              <w:gridCol w:w="2474"/>
            </w:tblGrid>
            <w:tr w14:paraId="375C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2369" w:type="pct"/>
                  <w:vAlign w:val="center"/>
                </w:tcPr>
                <w:p w14:paraId="79D7944E">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厂界外声环境功能区类别</w:t>
                  </w:r>
                </w:p>
              </w:tc>
              <w:tc>
                <w:tcPr>
                  <w:tcW w:w="1219" w:type="pct"/>
                  <w:vAlign w:val="center"/>
                </w:tcPr>
                <w:p w14:paraId="7565A869">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昼间</w:t>
                  </w:r>
                </w:p>
              </w:tc>
              <w:tc>
                <w:tcPr>
                  <w:tcW w:w="1412" w:type="pct"/>
                  <w:vAlign w:val="center"/>
                </w:tcPr>
                <w:p w14:paraId="081D2DE5">
                  <w:pPr>
                    <w:autoSpaceDE w:val="0"/>
                    <w:autoSpaceDN w:val="0"/>
                    <w:adjustRightIn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夜间</w:t>
                  </w:r>
                </w:p>
              </w:tc>
            </w:tr>
            <w:tr w14:paraId="2D9F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369" w:type="pct"/>
                  <w:vAlign w:val="center"/>
                </w:tcPr>
                <w:p w14:paraId="452C24DD">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2类</w:t>
                  </w:r>
                </w:p>
              </w:tc>
              <w:tc>
                <w:tcPr>
                  <w:tcW w:w="1219" w:type="pct"/>
                  <w:vAlign w:val="center"/>
                </w:tcPr>
                <w:p w14:paraId="70F5E5A2">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412" w:type="pct"/>
                  <w:vAlign w:val="center"/>
                </w:tcPr>
                <w:p w14:paraId="6F792A70">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bl>
          <w:p w14:paraId="193F92D6">
            <w:pPr>
              <w:spacing w:before="120"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eastAsiaTheme="minor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固体废物：</w:t>
            </w:r>
          </w:p>
          <w:p w14:paraId="1740BB03">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固体废物处置依据《国家危险废物名录》（2021年版）和《危险废物鉴别标准》来鉴别一般工业废物和危险废物；一般固废执行《一般工业固体废物贮存、处置场污染物控制标准》（GB18599-2001）及环境保护部公告2013年第36号修改单、《中华人民共和国固体废物污染环境防治法》（2020年9月1日实施）的相关规定。危险废物执行《危险废物贮存污染控制标准》（GB 18597-2023）的相关规定。</w:t>
            </w:r>
          </w:p>
        </w:tc>
      </w:tr>
    </w:tbl>
    <w:p w14:paraId="374280F6">
      <w:pPr>
        <w:rPr>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14:paraId="592EC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tcMar>
              <w:left w:w="28" w:type="dxa"/>
              <w:right w:w="28" w:type="dxa"/>
            </w:tcMar>
            <w:vAlign w:val="center"/>
          </w:tcPr>
          <w:p w14:paraId="70A08592">
            <w:pPr>
              <w:adjustRightInd w:val="0"/>
              <w:snapToGrid w:val="0"/>
              <w:jc w:val="center"/>
              <w:rPr>
                <w:b/>
                <w:bCs/>
                <w:color w:val="000000" w:themeColor="text1"/>
                <w:spacing w:val="-4"/>
                <w:sz w:val="24"/>
                <w14:textFill>
                  <w14:solidFill>
                    <w14:schemeClr w14:val="tx1"/>
                  </w14:solidFill>
                </w14:textFill>
              </w:rPr>
            </w:pPr>
            <w:r>
              <w:rPr>
                <w:b/>
                <w:bCs/>
                <w:color w:val="000000" w:themeColor="text1"/>
                <w:kern w:val="0"/>
                <w:sz w:val="24"/>
                <w14:textFill>
                  <w14:solidFill>
                    <w14:schemeClr w14:val="tx1"/>
                  </w14:solidFill>
                </w14:textFill>
              </w:rPr>
              <w:t>总量控制指标</w:t>
            </w:r>
          </w:p>
        </w:tc>
      </w:tr>
      <w:tr w14:paraId="7C1B8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825" w:type="dxa"/>
            <w:vAlign w:val="center"/>
          </w:tcPr>
          <w:p w14:paraId="0390E43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本项目生活污水经预处理池处理后用作农肥施用于周边农田耕地，生产废水沉淀后回用于生产，不外排。</w:t>
            </w:r>
            <w:r>
              <w:rPr>
                <w:color w:val="000000" w:themeColor="text1"/>
                <w:sz w:val="24"/>
                <w14:textFill>
                  <w14:solidFill>
                    <w14:schemeClr w14:val="tx1"/>
                  </w14:solidFill>
                </w14:textFill>
              </w:rPr>
              <w:t>结合本项目的污染物排放特征，确定本项目所涉及的总量控制污染物为锅炉废气中的SO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、NOx和颗粒物，生产过程中产生的颗粒物。</w:t>
            </w:r>
          </w:p>
          <w:p w14:paraId="77D98F0C">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锅炉废气：</w:t>
            </w:r>
          </w:p>
          <w:p w14:paraId="09FC56A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总量控制指标为：0.24t/a；</w:t>
            </w:r>
          </w:p>
          <w:p w14:paraId="4D7B7FA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NOx总量控制指标为：0.42t/a；</w:t>
            </w:r>
          </w:p>
          <w:p w14:paraId="63151356">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颗粒物（烟尘）总量控制指标为：0.072t/a；</w:t>
            </w:r>
          </w:p>
          <w:p w14:paraId="358FD389">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生产工序</w:t>
            </w:r>
          </w:p>
          <w:p w14:paraId="360471D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颗粒物有组织总量控制指标为：0.0132 t/a；</w:t>
            </w:r>
          </w:p>
          <w:p w14:paraId="05FC2DB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颗粒物无组织总量控制指标为：0.1551 t/a</w:t>
            </w:r>
          </w:p>
          <w:p w14:paraId="6D923BA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总的颗粒物产生量为：0.072 t/a +0.0132 t/a +0.1551 t/a =0.2403 t/a</w:t>
            </w:r>
          </w:p>
          <w:p w14:paraId="773A2E31">
            <w:pPr>
              <w:pStyle w:val="6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表3-11 项目废气排放总量指标   单位：t/a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2162"/>
              <w:gridCol w:w="4406"/>
            </w:tblGrid>
            <w:tr w14:paraId="4A3E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Align w:val="center"/>
                </w:tcPr>
                <w:p w14:paraId="2FB22BFA">
                  <w:pPr>
                    <w:pStyle w:val="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污染物类型</w:t>
                  </w:r>
                </w:p>
              </w:tc>
              <w:tc>
                <w:tcPr>
                  <w:tcW w:w="1257" w:type="pct"/>
                  <w:vAlign w:val="center"/>
                </w:tcPr>
                <w:p w14:paraId="4E7CC544">
                  <w:pPr>
                    <w:pStyle w:val="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污染物</w:t>
                  </w:r>
                </w:p>
              </w:tc>
              <w:tc>
                <w:tcPr>
                  <w:tcW w:w="2562" w:type="pct"/>
                  <w:vAlign w:val="center"/>
                </w:tcPr>
                <w:p w14:paraId="0C1AFF38">
                  <w:pPr>
                    <w:pStyle w:val="8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建议总量指标</w:t>
                  </w:r>
                </w:p>
              </w:tc>
            </w:tr>
            <w:tr w14:paraId="64B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Merge w:val="restart"/>
                  <w:vAlign w:val="center"/>
                </w:tcPr>
                <w:p w14:paraId="01C8BE51">
                  <w:pPr>
                    <w:pStyle w:val="79"/>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大气污染</w:t>
                  </w:r>
                </w:p>
              </w:tc>
              <w:tc>
                <w:tcPr>
                  <w:tcW w:w="1257" w:type="pct"/>
                  <w:vAlign w:val="center"/>
                </w:tcPr>
                <w:p w14:paraId="19AF8E15">
                  <w:pPr>
                    <w:pStyle w:val="79"/>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颗粒物</w:t>
                  </w:r>
                </w:p>
              </w:tc>
              <w:tc>
                <w:tcPr>
                  <w:tcW w:w="2562" w:type="pct"/>
                  <w:vAlign w:val="center"/>
                </w:tcPr>
                <w:p w14:paraId="6D48BCCD">
                  <w:pPr>
                    <w:pStyle w:val="79"/>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0.2403</w:t>
                  </w:r>
                </w:p>
              </w:tc>
            </w:tr>
            <w:tr w14:paraId="3F43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Merge w:val="continue"/>
                  <w:vAlign w:val="center"/>
                </w:tcPr>
                <w:p w14:paraId="330B8BB4">
                  <w:pPr>
                    <w:pStyle w:val="79"/>
                    <w:rPr>
                      <w:rFonts w:ascii="Times New Roman" w:hAnsi="Times New Roman"/>
                      <w:color w:val="000000" w:themeColor="text1"/>
                      <w:sz w:val="24"/>
                      <w:szCs w:val="24"/>
                      <w14:textFill>
                        <w14:solidFill>
                          <w14:schemeClr w14:val="tx1"/>
                        </w14:solidFill>
                      </w14:textFill>
                    </w:rPr>
                  </w:pPr>
                </w:p>
              </w:tc>
              <w:tc>
                <w:tcPr>
                  <w:tcW w:w="1257" w:type="pct"/>
                  <w:vAlign w:val="center"/>
                </w:tcPr>
                <w:p w14:paraId="19236905">
                  <w:pPr>
                    <w:pStyle w:val="79"/>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SO</w:t>
                  </w:r>
                  <w:r>
                    <w:rPr>
                      <w:rFonts w:ascii="Times New Roman" w:hAnsi="Times New Roman"/>
                      <w:color w:val="000000" w:themeColor="text1"/>
                      <w:sz w:val="24"/>
                      <w:szCs w:val="24"/>
                      <w:vertAlign w:val="subscript"/>
                      <w14:textFill>
                        <w14:solidFill>
                          <w14:schemeClr w14:val="tx1"/>
                        </w14:solidFill>
                      </w14:textFill>
                    </w:rPr>
                    <w:t>2</w:t>
                  </w:r>
                </w:p>
              </w:tc>
              <w:tc>
                <w:tcPr>
                  <w:tcW w:w="2562" w:type="pct"/>
                  <w:vAlign w:val="center"/>
                </w:tcPr>
                <w:p w14:paraId="41FF6F85">
                  <w:pPr>
                    <w:pStyle w:val="79"/>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0.24</w:t>
                  </w:r>
                </w:p>
              </w:tc>
            </w:tr>
            <w:tr w14:paraId="431B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pct"/>
                  <w:vMerge w:val="continue"/>
                  <w:vAlign w:val="center"/>
                </w:tcPr>
                <w:p w14:paraId="6BDCFFD0">
                  <w:pPr>
                    <w:pStyle w:val="79"/>
                    <w:rPr>
                      <w:rFonts w:ascii="Times New Roman" w:hAnsi="Times New Roman"/>
                      <w:color w:val="000000" w:themeColor="text1"/>
                      <w:sz w:val="24"/>
                      <w:szCs w:val="24"/>
                      <w14:textFill>
                        <w14:solidFill>
                          <w14:schemeClr w14:val="tx1"/>
                        </w14:solidFill>
                      </w14:textFill>
                    </w:rPr>
                  </w:pPr>
                </w:p>
              </w:tc>
              <w:tc>
                <w:tcPr>
                  <w:tcW w:w="1257" w:type="pct"/>
                  <w:vAlign w:val="center"/>
                </w:tcPr>
                <w:p w14:paraId="4D1BEECA">
                  <w:pPr>
                    <w:pStyle w:val="79"/>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NOx</w:t>
                  </w:r>
                </w:p>
              </w:tc>
              <w:tc>
                <w:tcPr>
                  <w:tcW w:w="2562" w:type="pct"/>
                  <w:vAlign w:val="center"/>
                </w:tcPr>
                <w:p w14:paraId="4F7556BB">
                  <w:pPr>
                    <w:pStyle w:val="79"/>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0.42</w:t>
                  </w:r>
                </w:p>
              </w:tc>
            </w:tr>
          </w:tbl>
          <w:p w14:paraId="6AD54096">
            <w:pPr>
              <w:pStyle w:val="61"/>
              <w:spacing w:before="120" w:beforeLines="5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表3-12项目技改前后总量指标变化情况      单位：t/a</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0"/>
              <w:gridCol w:w="1333"/>
              <w:gridCol w:w="1366"/>
              <w:gridCol w:w="1319"/>
              <w:gridCol w:w="1173"/>
              <w:gridCol w:w="1465"/>
              <w:gridCol w:w="1393"/>
            </w:tblGrid>
            <w:tr w14:paraId="4678F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320" w:type="pct"/>
                  <w:shd w:val="clear" w:color="auto" w:fill="auto"/>
                  <w:vAlign w:val="center"/>
                </w:tcPr>
                <w:p w14:paraId="33914275">
                  <w:pPr>
                    <w:jc w:val="center"/>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775" w:type="pct"/>
                  <w:shd w:val="clear" w:color="auto" w:fill="auto"/>
                  <w:vAlign w:val="center"/>
                </w:tcPr>
                <w:p w14:paraId="5FB4242D">
                  <w:pPr>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794" w:type="pct"/>
                  <w:shd w:val="clear" w:color="auto" w:fill="auto"/>
                  <w:vAlign w:val="center"/>
                </w:tcPr>
                <w:p w14:paraId="31841EE0">
                  <w:pPr>
                    <w:jc w:val="center"/>
                    <w:rPr>
                      <w:b/>
                      <w:color w:val="000000" w:themeColor="text1"/>
                      <w14:textFill>
                        <w14:solidFill>
                          <w14:schemeClr w14:val="tx1"/>
                        </w14:solidFill>
                      </w14:textFill>
                    </w:rPr>
                  </w:pPr>
                  <w:r>
                    <w:rPr>
                      <w:b/>
                      <w:color w:val="000000" w:themeColor="text1"/>
                      <w14:textFill>
                        <w14:solidFill>
                          <w14:schemeClr w14:val="tx1"/>
                        </w14:solidFill>
                      </w14:textFill>
                    </w:rPr>
                    <w:t>改建前项目拟排放量（t/a）</w:t>
                  </w:r>
                </w:p>
              </w:tc>
              <w:tc>
                <w:tcPr>
                  <w:tcW w:w="767" w:type="pct"/>
                  <w:shd w:val="clear" w:color="auto" w:fill="auto"/>
                  <w:vAlign w:val="center"/>
                </w:tcPr>
                <w:p w14:paraId="4997FD38">
                  <w:pPr>
                    <w:jc w:val="center"/>
                    <w:rPr>
                      <w:b/>
                      <w:color w:val="000000" w:themeColor="text1"/>
                      <w14:textFill>
                        <w14:solidFill>
                          <w14:schemeClr w14:val="tx1"/>
                        </w14:solidFill>
                      </w14:textFill>
                    </w:rPr>
                  </w:pPr>
                  <w:r>
                    <w:rPr>
                      <w:b/>
                      <w:color w:val="000000" w:themeColor="text1"/>
                      <w14:textFill>
                        <w14:solidFill>
                          <w14:schemeClr w14:val="tx1"/>
                        </w14:solidFill>
                      </w14:textFill>
                    </w:rPr>
                    <w:t>拟建项目排放量（t/a）</w:t>
                  </w:r>
                </w:p>
              </w:tc>
              <w:tc>
                <w:tcPr>
                  <w:tcW w:w="682" w:type="pct"/>
                  <w:shd w:val="clear" w:color="auto" w:fill="auto"/>
                  <w:vAlign w:val="center"/>
                </w:tcPr>
                <w:p w14:paraId="48C9DDC3">
                  <w:pPr>
                    <w:jc w:val="center"/>
                    <w:rPr>
                      <w:b/>
                      <w:color w:val="000000" w:themeColor="text1"/>
                      <w14:textFill>
                        <w14:solidFill>
                          <w14:schemeClr w14:val="tx1"/>
                        </w14:solidFill>
                      </w14:textFill>
                    </w:rPr>
                  </w:pPr>
                  <w:r>
                    <w:rPr>
                      <w:b/>
                      <w:color w:val="000000" w:themeColor="text1"/>
                      <w14:textFill>
                        <w14:solidFill>
                          <w14:schemeClr w14:val="tx1"/>
                        </w14:solidFill>
                      </w14:textFill>
                    </w:rPr>
                    <w:t>以新带老削减量（t/a）</w:t>
                  </w:r>
                </w:p>
              </w:tc>
              <w:tc>
                <w:tcPr>
                  <w:tcW w:w="852" w:type="pct"/>
                  <w:shd w:val="clear" w:color="auto" w:fill="auto"/>
                  <w:vAlign w:val="center"/>
                </w:tcPr>
                <w:p w14:paraId="56415A56">
                  <w:pPr>
                    <w:jc w:val="center"/>
                    <w:rPr>
                      <w:b/>
                      <w:color w:val="000000" w:themeColor="text1"/>
                      <w14:textFill>
                        <w14:solidFill>
                          <w14:schemeClr w14:val="tx1"/>
                        </w14:solidFill>
                      </w14:textFill>
                    </w:rPr>
                  </w:pPr>
                  <w:r>
                    <w:rPr>
                      <w:b/>
                      <w:color w:val="000000" w:themeColor="text1"/>
                      <w14:textFill>
                        <w14:solidFill>
                          <w14:schemeClr w14:val="tx1"/>
                        </w14:solidFill>
                      </w14:textFill>
                    </w:rPr>
                    <w:t>改建工程完成后总排放量（t/a）</w:t>
                  </w:r>
                </w:p>
              </w:tc>
              <w:tc>
                <w:tcPr>
                  <w:tcW w:w="810" w:type="pct"/>
                  <w:shd w:val="clear" w:color="auto" w:fill="auto"/>
                  <w:vAlign w:val="center"/>
                </w:tcPr>
                <w:p w14:paraId="7CCB8276">
                  <w:pPr>
                    <w:jc w:val="center"/>
                    <w:rPr>
                      <w:b/>
                      <w:color w:val="000000" w:themeColor="text1"/>
                      <w14:textFill>
                        <w14:solidFill>
                          <w14:schemeClr w14:val="tx1"/>
                        </w14:solidFill>
                      </w14:textFill>
                    </w:rPr>
                  </w:pPr>
                  <w:r>
                    <w:rPr>
                      <w:b/>
                      <w:color w:val="000000" w:themeColor="text1"/>
                      <w14:textFill>
                        <w14:solidFill>
                          <w14:schemeClr w14:val="tx1"/>
                        </w14:solidFill>
                      </w14:textFill>
                    </w:rPr>
                    <w:t>增减量变化（t/a）</w:t>
                  </w:r>
                </w:p>
              </w:tc>
            </w:tr>
            <w:tr w14:paraId="3750C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0" w:type="pct"/>
                  <w:vMerge w:val="restart"/>
                  <w:shd w:val="clear" w:color="auto" w:fill="auto"/>
                  <w:vAlign w:val="center"/>
                </w:tcPr>
                <w:p w14:paraId="5BCE2DBD">
                  <w:pPr>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775" w:type="pct"/>
                  <w:shd w:val="clear" w:color="auto" w:fill="auto"/>
                  <w:vAlign w:val="center"/>
                </w:tcPr>
                <w:p w14:paraId="022EF6D1">
                  <w:pPr>
                    <w:jc w:val="center"/>
                    <w:rPr>
                      <w:color w:val="000000" w:themeColor="text1"/>
                      <w:spacing w:val="-20"/>
                      <w14:textFill>
                        <w14:solidFill>
                          <w14:schemeClr w14:val="tx1"/>
                        </w14:solidFill>
                      </w14:textFill>
                    </w:rPr>
                  </w:pPr>
                  <w:r>
                    <w:rPr>
                      <w:color w:val="000000" w:themeColor="text1"/>
                      <w:spacing w:val="-20"/>
                      <w14:textFill>
                        <w14:solidFill>
                          <w14:schemeClr w14:val="tx1"/>
                        </w14:solidFill>
                      </w14:textFill>
                    </w:rPr>
                    <w:t>颗粒物</w:t>
                  </w:r>
                </w:p>
              </w:tc>
              <w:tc>
                <w:tcPr>
                  <w:tcW w:w="794" w:type="pct"/>
                  <w:shd w:val="clear" w:color="auto" w:fill="auto"/>
                  <w:vAlign w:val="center"/>
                </w:tcPr>
                <w:p w14:paraId="3B6F122F">
                  <w:pPr>
                    <w:pStyle w:val="15"/>
                    <w:spacing w:line="240" w:lineRule="auto"/>
                    <w:ind w:firstLine="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0.3042</w:t>
                  </w:r>
                </w:p>
              </w:tc>
              <w:tc>
                <w:tcPr>
                  <w:tcW w:w="767" w:type="pct"/>
                  <w:shd w:val="clear" w:color="auto" w:fill="auto"/>
                  <w:vAlign w:val="center"/>
                </w:tcPr>
                <w:p w14:paraId="63DA3114">
                  <w:pPr>
                    <w:widowControl/>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0.2403</w:t>
                  </w:r>
                </w:p>
              </w:tc>
              <w:tc>
                <w:tcPr>
                  <w:tcW w:w="682" w:type="pct"/>
                  <w:shd w:val="clear" w:color="auto" w:fill="auto"/>
                  <w:vAlign w:val="center"/>
                </w:tcPr>
                <w:p w14:paraId="58A09932">
                  <w:pPr>
                    <w:widowControl/>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0.0639</w:t>
                  </w:r>
                </w:p>
              </w:tc>
              <w:tc>
                <w:tcPr>
                  <w:tcW w:w="852" w:type="pct"/>
                  <w:shd w:val="clear" w:color="auto" w:fill="auto"/>
                  <w:vAlign w:val="center"/>
                </w:tcPr>
                <w:p w14:paraId="43165FCF">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0.2403</w:t>
                  </w:r>
                </w:p>
              </w:tc>
              <w:tc>
                <w:tcPr>
                  <w:tcW w:w="810" w:type="pct"/>
                  <w:shd w:val="clear" w:color="auto" w:fill="auto"/>
                  <w:vAlign w:val="center"/>
                </w:tcPr>
                <w:p w14:paraId="76D5E4E3">
                  <w:pPr>
                    <w:jc w:val="center"/>
                    <w:rPr>
                      <w:rFonts w:eastAsia="等线"/>
                      <w:b/>
                      <w:bCs/>
                      <w:color w:val="000000" w:themeColor="text1"/>
                      <w:sz w:val="24"/>
                      <w14:textFill>
                        <w14:solidFill>
                          <w14:schemeClr w14:val="tx1"/>
                        </w14:solidFill>
                      </w14:textFill>
                    </w:rPr>
                  </w:pPr>
                  <w:r>
                    <w:rPr>
                      <w:rFonts w:eastAsia="等线"/>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0.0639</w:t>
                  </w:r>
                </w:p>
              </w:tc>
            </w:tr>
            <w:tr w14:paraId="5D1F1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1AE7A043">
                  <w:pPr>
                    <w:ind w:firstLine="420"/>
                    <w:jc w:val="center"/>
                    <w:rPr>
                      <w:color w:val="000000" w:themeColor="text1"/>
                      <w14:textFill>
                        <w14:solidFill>
                          <w14:schemeClr w14:val="tx1"/>
                        </w14:solidFill>
                      </w14:textFill>
                    </w:rPr>
                  </w:pPr>
                </w:p>
              </w:tc>
              <w:tc>
                <w:tcPr>
                  <w:tcW w:w="775" w:type="pct"/>
                  <w:shd w:val="clear" w:color="auto" w:fill="auto"/>
                  <w:vAlign w:val="center"/>
                </w:tcPr>
                <w:p w14:paraId="7E5ADDE1">
                  <w:pPr>
                    <w:jc w:val="center"/>
                    <w:rPr>
                      <w:color w:val="000000" w:themeColor="text1"/>
                      <w:spacing w:val="-20"/>
                      <w14:textFill>
                        <w14:solidFill>
                          <w14:schemeClr w14:val="tx1"/>
                        </w14:solidFill>
                      </w14:textFill>
                    </w:rPr>
                  </w:pP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p>
              </w:tc>
              <w:tc>
                <w:tcPr>
                  <w:tcW w:w="794" w:type="pct"/>
                  <w:shd w:val="clear" w:color="auto" w:fill="auto"/>
                  <w:vAlign w:val="center"/>
                </w:tcPr>
                <w:p w14:paraId="74EDF4DA">
                  <w:pPr>
                    <w:pStyle w:val="15"/>
                    <w:spacing w:line="240" w:lineRule="auto"/>
                    <w:ind w:firstLine="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0.24</w:t>
                  </w:r>
                </w:p>
              </w:tc>
              <w:tc>
                <w:tcPr>
                  <w:tcW w:w="767" w:type="pct"/>
                  <w:shd w:val="clear" w:color="auto" w:fill="auto"/>
                  <w:vAlign w:val="center"/>
                </w:tcPr>
                <w:p w14:paraId="0E676A1C">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0.24</w:t>
                  </w:r>
                </w:p>
              </w:tc>
              <w:tc>
                <w:tcPr>
                  <w:tcW w:w="682" w:type="pct"/>
                  <w:shd w:val="clear" w:color="auto" w:fill="auto"/>
                  <w:vAlign w:val="center"/>
                </w:tcPr>
                <w:p w14:paraId="2B23455B">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w:t>
                  </w:r>
                </w:p>
              </w:tc>
              <w:tc>
                <w:tcPr>
                  <w:tcW w:w="852" w:type="pct"/>
                  <w:shd w:val="clear" w:color="auto" w:fill="auto"/>
                  <w:vAlign w:val="center"/>
                </w:tcPr>
                <w:p w14:paraId="5B0759F7">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0.24</w:t>
                  </w:r>
                </w:p>
              </w:tc>
              <w:tc>
                <w:tcPr>
                  <w:tcW w:w="810" w:type="pct"/>
                  <w:shd w:val="clear" w:color="auto" w:fill="auto"/>
                  <w:vAlign w:val="center"/>
                </w:tcPr>
                <w:p w14:paraId="52814B80">
                  <w:pPr>
                    <w:jc w:val="center"/>
                    <w:rPr>
                      <w:b/>
                      <w:bCs/>
                      <w:color w:val="000000" w:themeColor="text1"/>
                      <w:sz w:val="24"/>
                      <w14:textFill>
                        <w14:solidFill>
                          <w14:schemeClr w14:val="tx1"/>
                        </w14:solidFill>
                      </w14:textFill>
                    </w:rPr>
                  </w:pPr>
                  <w:r>
                    <w:rPr>
                      <w:rFonts w:eastAsia="等线"/>
                      <w:b/>
                      <w:bCs/>
                      <w:color w:val="000000" w:themeColor="text1"/>
                      <w:sz w:val="24"/>
                      <w14:textFill>
                        <w14:solidFill>
                          <w14:schemeClr w14:val="tx1"/>
                        </w14:solidFill>
                      </w14:textFill>
                    </w:rPr>
                    <w:t>0</w:t>
                  </w:r>
                </w:p>
              </w:tc>
            </w:tr>
            <w:tr w14:paraId="7EBE1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5D7CD31A">
                  <w:pPr>
                    <w:ind w:firstLine="420"/>
                    <w:jc w:val="center"/>
                    <w:rPr>
                      <w:color w:val="000000" w:themeColor="text1"/>
                      <w14:textFill>
                        <w14:solidFill>
                          <w14:schemeClr w14:val="tx1"/>
                        </w14:solidFill>
                      </w14:textFill>
                    </w:rPr>
                  </w:pPr>
                </w:p>
              </w:tc>
              <w:tc>
                <w:tcPr>
                  <w:tcW w:w="775" w:type="pct"/>
                  <w:shd w:val="clear" w:color="auto" w:fill="auto"/>
                  <w:vAlign w:val="center"/>
                </w:tcPr>
                <w:p w14:paraId="4CBDA4BB">
                  <w:pPr>
                    <w:jc w:val="center"/>
                    <w:rPr>
                      <w:color w:val="000000" w:themeColor="text1"/>
                      <w:spacing w:val="-20"/>
                      <w14:textFill>
                        <w14:solidFill>
                          <w14:schemeClr w14:val="tx1"/>
                        </w14:solidFill>
                      </w14:textFill>
                    </w:rPr>
                  </w:pPr>
                  <w:r>
                    <w:rPr>
                      <w:color w:val="000000" w:themeColor="text1"/>
                      <w:sz w:val="24"/>
                      <w14:textFill>
                        <w14:solidFill>
                          <w14:schemeClr w14:val="tx1"/>
                        </w14:solidFill>
                      </w14:textFill>
                    </w:rPr>
                    <w:t>NOx</w:t>
                  </w:r>
                </w:p>
              </w:tc>
              <w:tc>
                <w:tcPr>
                  <w:tcW w:w="794" w:type="pct"/>
                  <w:shd w:val="clear" w:color="auto" w:fill="auto"/>
                  <w:vAlign w:val="center"/>
                </w:tcPr>
                <w:p w14:paraId="64578F7C">
                  <w:pPr>
                    <w:pStyle w:val="15"/>
                    <w:spacing w:line="240" w:lineRule="auto"/>
                    <w:ind w:firstLine="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0.42</w:t>
                  </w:r>
                </w:p>
              </w:tc>
              <w:tc>
                <w:tcPr>
                  <w:tcW w:w="767" w:type="pct"/>
                  <w:shd w:val="clear" w:color="auto" w:fill="auto"/>
                  <w:vAlign w:val="center"/>
                </w:tcPr>
                <w:p w14:paraId="53280742">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0.42</w:t>
                  </w:r>
                </w:p>
              </w:tc>
              <w:tc>
                <w:tcPr>
                  <w:tcW w:w="682" w:type="pct"/>
                  <w:shd w:val="clear" w:color="auto" w:fill="auto"/>
                  <w:vAlign w:val="center"/>
                </w:tcPr>
                <w:p w14:paraId="42E1FE7E">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w:t>
                  </w:r>
                </w:p>
              </w:tc>
              <w:tc>
                <w:tcPr>
                  <w:tcW w:w="852" w:type="pct"/>
                  <w:shd w:val="clear" w:color="auto" w:fill="auto"/>
                  <w:vAlign w:val="center"/>
                </w:tcPr>
                <w:p w14:paraId="7B111E71">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0.42</w:t>
                  </w:r>
                </w:p>
              </w:tc>
              <w:tc>
                <w:tcPr>
                  <w:tcW w:w="810" w:type="pct"/>
                  <w:shd w:val="clear" w:color="auto" w:fill="auto"/>
                  <w:vAlign w:val="center"/>
                </w:tcPr>
                <w:p w14:paraId="4FD5ACC8">
                  <w:pPr>
                    <w:jc w:val="center"/>
                    <w:rPr>
                      <w:b/>
                      <w:bCs/>
                      <w:color w:val="000000" w:themeColor="text1"/>
                      <w:sz w:val="24"/>
                      <w14:textFill>
                        <w14:solidFill>
                          <w14:schemeClr w14:val="tx1"/>
                        </w14:solidFill>
                      </w14:textFill>
                    </w:rPr>
                  </w:pPr>
                  <w:r>
                    <w:rPr>
                      <w:rFonts w:eastAsia="等线"/>
                      <w:b/>
                      <w:bCs/>
                      <w:color w:val="000000" w:themeColor="text1"/>
                      <w:sz w:val="24"/>
                      <w14:textFill>
                        <w14:solidFill>
                          <w14:schemeClr w14:val="tx1"/>
                        </w14:solidFill>
                      </w14:textFill>
                    </w:rPr>
                    <w:t>0</w:t>
                  </w:r>
                </w:p>
              </w:tc>
            </w:tr>
          </w:tbl>
          <w:p w14:paraId="4963DA6D">
            <w:pPr>
              <w:pStyle w:val="2"/>
              <w:ind w:left="0" w:leftChars="0" w:firstLine="0" w:firstLineChars="0"/>
              <w:rPr>
                <w:color w:val="000000" w:themeColor="text1"/>
                <w:szCs w:val="21"/>
                <w14:textFill>
                  <w14:solidFill>
                    <w14:schemeClr w14:val="tx1"/>
                  </w14:solidFill>
                </w14:textFill>
              </w:rPr>
            </w:pPr>
          </w:p>
          <w:p w14:paraId="2F6EE863">
            <w:pPr>
              <w:pStyle w:val="2"/>
              <w:ind w:left="0" w:leftChars="0" w:firstLine="0" w:firstLineChars="0"/>
              <w:rPr>
                <w:color w:val="000000" w:themeColor="text1"/>
                <w:szCs w:val="21"/>
                <w14:textFill>
                  <w14:solidFill>
                    <w14:schemeClr w14:val="tx1"/>
                  </w14:solidFill>
                </w14:textFill>
              </w:rPr>
            </w:pPr>
          </w:p>
        </w:tc>
      </w:tr>
    </w:tbl>
    <w:p w14:paraId="36302F99">
      <w:pPr>
        <w:pStyle w:val="23"/>
        <w:spacing w:before="0" w:beforeAutospacing="0" w:after="0" w:afterAutospacing="0"/>
        <w:ind w:firstLine="720" w:firstLineChars="200"/>
        <w:jc w:val="center"/>
        <w:outlineLvl w:val="0"/>
        <w:rPr>
          <w:rFonts w:ascii="Times New Roman" w:hAnsi="Times New Roman"/>
          <w:snapToGrid w:val="0"/>
          <w:color w:val="000000" w:themeColor="text1"/>
          <w:sz w:val="36"/>
          <w:szCs w:val="36"/>
          <w14:textFill>
            <w14:solidFill>
              <w14:schemeClr w14:val="tx1"/>
            </w14:solidFill>
          </w14:textFill>
        </w:rPr>
        <w:sectPr>
          <w:pgSz w:w="11907" w:h="16840"/>
          <w:pgMar w:top="1701" w:right="1531" w:bottom="2127" w:left="1531" w:header="851" w:footer="851" w:gutter="0"/>
          <w:cols w:space="720" w:num="1"/>
          <w:docGrid w:linePitch="312" w:charSpace="0"/>
        </w:sectPr>
      </w:pPr>
    </w:p>
    <w:p w14:paraId="47E6EE28">
      <w:pPr>
        <w:pStyle w:val="23"/>
        <w:spacing w:before="0" w:beforeAutospacing="0" w:after="0" w:afterAutospacing="0"/>
        <w:ind w:firstLine="602" w:firstLineChars="200"/>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四、主要环境影响和保护措施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25"/>
      </w:tblGrid>
      <w:tr w14:paraId="2DE00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825" w:type="dxa"/>
            <w:tcMar>
              <w:left w:w="28" w:type="dxa"/>
              <w:right w:w="28" w:type="dxa"/>
            </w:tcMar>
            <w:vAlign w:val="center"/>
          </w:tcPr>
          <w:p w14:paraId="12698039">
            <w:pPr>
              <w:pStyle w:val="23"/>
              <w:adjustRightInd w:val="0"/>
              <w:snapToGrid w:val="0"/>
              <w:spacing w:before="0" w:beforeAutospacing="0" w:after="0" w:afterAutospacing="0"/>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施工期环境保护措施</w:t>
            </w:r>
          </w:p>
        </w:tc>
      </w:tr>
      <w:tr w14:paraId="13BFA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8825" w:type="dxa"/>
            <w:tcMar>
              <w:left w:w="28" w:type="dxa"/>
              <w:right w:w="28" w:type="dxa"/>
            </w:tcMar>
            <w:vAlign w:val="center"/>
          </w:tcPr>
          <w:p w14:paraId="2F237D28">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项目租用砖厂空地进行建设，主要建设内容为厂房的搭建与设备的安装，不进行大规模的土石方开挖，施工期的环境影响与保护措施如下：</w:t>
            </w:r>
          </w:p>
          <w:p w14:paraId="1531FAE1">
            <w:pPr>
              <w:spacing w:line="360" w:lineRule="auto"/>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1、废气排放及治理措施</w:t>
            </w:r>
          </w:p>
          <w:p w14:paraId="433F9EAA">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本项目施工期废气主要为基础施工、主体工程及附属工程等产生的扬尘，施工机械废气等。</w:t>
            </w:r>
          </w:p>
          <w:p w14:paraId="05124B7D">
            <w:pPr>
              <w:spacing w:line="360" w:lineRule="auto"/>
              <w:ind w:firstLine="482" w:firstLineChars="200"/>
              <w:contextualSpacing/>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1.1扬尘</w:t>
            </w:r>
          </w:p>
          <w:p w14:paraId="73E13991">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本项目施工期对拟建地块所在区域环境空气质量的影响主要是扬尘，其易造成大气中TSP浓度增高，形成扬尘污染。经类比分析，扬尘浓度一般约为3.5mg/m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。在进行场地基础开挖、地基处理、土地平整等施工作业时，如遇大风天气，易造成粉尘、扬尘等大气污染情况，其次运输砂石、水泥等建筑材料时发生散落等情况，则会增加施工区域地面起尘量。</w:t>
            </w:r>
          </w:p>
          <w:p w14:paraId="13207C87">
            <w:pPr>
              <w:tabs>
                <w:tab w:val="left" w:pos="645"/>
                <w:tab w:val="left" w:pos="850"/>
                <w:tab w:val="left" w:pos="1275"/>
                <w:tab w:val="left" w:pos="2235"/>
              </w:tabs>
              <w:spacing w:line="360" w:lineRule="auto"/>
              <w:ind w:firstLine="482" w:firstLineChars="200"/>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环评要求：</w:t>
            </w:r>
            <w:r>
              <w:rPr>
                <w:bCs/>
                <w:color w:val="000000" w:themeColor="text1"/>
                <w:sz w:val="24"/>
                <w14:textFill>
                  <w14:solidFill>
                    <w14:schemeClr w14:val="tx1"/>
                  </w14:solidFill>
                </w14:textFill>
              </w:rPr>
              <w:t>建设单位在施工建设中做到规范管理，文明施工，必须严格按照《国务院关于印发大气污染防治行动计划的通知》（国发〔2013〕37号）、《四川省打赢蓝天保卫战实施方案》等一系列扬尘防治管理规定进行施工建设，最大程度减少扬尘产生污染环境。</w:t>
            </w:r>
          </w:p>
          <w:p w14:paraId="6E2A83DA">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结合本项目的实际情况，</w:t>
            </w:r>
            <w:r>
              <w:rPr>
                <w:color w:val="000000" w:themeColor="text1"/>
                <w:sz w:val="24"/>
                <w14:textFill>
                  <w14:solidFill>
                    <w14:schemeClr w14:val="tx1"/>
                  </w14:solidFill>
                </w14:textFill>
              </w:rPr>
              <w:t>为减少扬尘对周边环境的影响，</w:t>
            </w:r>
            <w:r>
              <w:rPr>
                <w:bCs/>
                <w:color w:val="000000" w:themeColor="text1"/>
                <w:sz w:val="24"/>
                <w14:textFill>
                  <w14:solidFill>
                    <w14:schemeClr w14:val="tx1"/>
                  </w14:solidFill>
                </w14:textFill>
              </w:rPr>
              <w:t>施工单位必须严格遵守“六必须”、“六不准”要求，在施工时采取以下防治措施：</w:t>
            </w:r>
          </w:p>
          <w:p w14:paraId="068D23D6">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rFonts w:ascii="Segoe UI Symbol" w:hAnsi="Segoe UI Symbol" w:cs="Segoe UI Symbol"/>
                <w:bCs/>
                <w:color w:val="000000" w:themeColor="text1"/>
                <w:sz w:val="24"/>
                <w14:textFill>
                  <w14:solidFill>
                    <w14:schemeClr w14:val="tx1"/>
                  </w14:solidFill>
                </w14:textFill>
              </w:rPr>
              <w:t>★</w:t>
            </w:r>
            <w:r>
              <w:rPr>
                <w:bCs/>
                <w:color w:val="000000" w:themeColor="text1"/>
                <w:sz w:val="24"/>
                <w14:textFill>
                  <w14:solidFill>
                    <w14:schemeClr w14:val="tx1"/>
                  </w14:solidFill>
                </w14:textFill>
              </w:rPr>
              <w:t>六必须</w:t>
            </w:r>
          </w:p>
          <w:p w14:paraId="18D24171">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●打围作业：项目施工现场应架设2.5-3m高墙，封闭施工现场，以减少结构和装修过程中的粉尘飞扬现象，降低粉尘向大气中的排放；</w:t>
            </w:r>
          </w:p>
          <w:p w14:paraId="1E46A4B9">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●硬化路面：施工现场主要运输道路需进行硬化，有效减少及防治扬尘产生量，并经常进行洒水抑尘；</w:t>
            </w:r>
          </w:p>
          <w:p w14:paraId="41328685">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●设置冲洗设施：对运输车辆现场设置洗车场，用水清洗车体和轮胎，防止车辆带泥上路；</w:t>
            </w:r>
          </w:p>
          <w:p w14:paraId="12F395B1">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●湿法作业：施工机械采用湿法作业，减少机械运作时粉尘的产生；</w:t>
            </w:r>
          </w:p>
          <w:p w14:paraId="033C39D3">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●施工现场配备保洁人员，定时清扫施工现场，脚手架在拆除前，先将脚手板上的垃圾清理干净，清理时应避免扬尘；</w:t>
            </w:r>
          </w:p>
          <w:p w14:paraId="4197873E">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rFonts w:ascii="Segoe UI Symbol" w:hAnsi="Segoe UI Symbol" w:cs="Segoe UI Symbol"/>
                <w:bCs/>
                <w:color w:val="000000" w:themeColor="text1"/>
                <w:sz w:val="24"/>
                <w14:textFill>
                  <w14:solidFill>
                    <w14:schemeClr w14:val="tx1"/>
                  </w14:solidFill>
                </w14:textFill>
              </w:rPr>
              <w:t>★</w:t>
            </w:r>
            <w:r>
              <w:rPr>
                <w:bCs/>
                <w:color w:val="000000" w:themeColor="text1"/>
                <w:sz w:val="24"/>
                <w14:textFill>
                  <w14:solidFill>
                    <w14:schemeClr w14:val="tx1"/>
                  </w14:solidFill>
                </w14:textFill>
              </w:rPr>
              <w:t>六不准</w:t>
            </w:r>
          </w:p>
          <w:p w14:paraId="3DF3029E">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●在施工场地出口放置防尘垫，对运输车辆现场设置洗车场，用水清洗车体和轮胎，不准车辆带泥出门；</w:t>
            </w:r>
          </w:p>
          <w:p w14:paraId="4B379CD6">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禁止运渣车辆冒顶装载，自卸车、垃圾运输车等运输车辆不允许超载，选择对周围环境影响较小的运输路线，严禁穿越周边住宅小区密集区域，定时对该运输路线进行清扫，运输车辆出场时必须封闭，避免在运输过程中的抛洒现象；</w:t>
            </w:r>
          </w:p>
          <w:p w14:paraId="116755BA">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●不准高空抛撒建渣，施工过程中，楼上施工产生的建筑渣土，不得在楼上向下倾倒，必须运送地面；</w:t>
            </w:r>
          </w:p>
          <w:p w14:paraId="34F5A7A0">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●不准现场搅拌混凝土：本项目使用混凝土为商品混凝土，不需设置混凝土搅拌站；</w:t>
            </w:r>
          </w:p>
          <w:p w14:paraId="139F736D">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●要求施工单位文明施工，定期对地面洒水，并对撒落在路面的渣土及时清除，清理阶段做到先洒水后清扫；施工废水应及时通过沉淀池处理回用，禁止现场场地积水；</w:t>
            </w:r>
          </w:p>
          <w:p w14:paraId="236CBBF6">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●本项目施工期产生的固体废弃物均得到了妥善处理（详见</w:t>
            </w:r>
            <w:r>
              <w:rPr>
                <w:b/>
                <w:bCs/>
                <w:color w:val="000000" w:themeColor="text1"/>
                <w:sz w:val="24"/>
                <w14:textFill>
                  <w14:solidFill>
                    <w14:schemeClr w14:val="tx1"/>
                  </w14:solidFill>
                </w14:textFill>
              </w:rPr>
              <w:t>“</w:t>
            </w:r>
            <w:r>
              <w:rPr>
                <w:b/>
                <w:color w:val="000000" w:themeColor="text1"/>
                <w:kern w:val="0"/>
                <w:sz w:val="24"/>
                <w14:textFill>
                  <w14:solidFill>
                    <w14:schemeClr w14:val="tx1"/>
                  </w14:solidFill>
                </w14:textFill>
              </w:rPr>
              <w:t>固废排放及治理措施”章节</w:t>
            </w:r>
            <w:r>
              <w:rPr>
                <w:bCs/>
                <w:color w:val="000000" w:themeColor="text1"/>
                <w:sz w:val="24"/>
                <w14:textFill>
                  <w14:solidFill>
                    <w14:schemeClr w14:val="tx1"/>
                  </w14:solidFill>
                </w14:textFill>
              </w:rPr>
              <w:t>），严禁在施工现场焚烧废弃物。</w:t>
            </w:r>
          </w:p>
          <w:p w14:paraId="4D1262A2">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此外，</w:t>
            </w:r>
            <w:r>
              <w:rPr>
                <w:b/>
                <w:bCs/>
                <w:color w:val="000000" w:themeColor="text1"/>
                <w:sz w:val="24"/>
                <w14:textFill>
                  <w14:solidFill>
                    <w14:schemeClr w14:val="tx1"/>
                  </w14:solidFill>
                </w14:textFill>
              </w:rPr>
              <w:t>环评要求</w:t>
            </w:r>
            <w:r>
              <w:rPr>
                <w:bCs/>
                <w:color w:val="000000" w:themeColor="text1"/>
                <w:sz w:val="24"/>
                <w14:textFill>
                  <w14:solidFill>
                    <w14:schemeClr w14:val="tx1"/>
                  </w14:solidFill>
                </w14:textFill>
              </w:rPr>
              <w:t>：</w:t>
            </w:r>
          </w:p>
          <w:p w14:paraId="5B00A36E">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●在施工场地对施工车辆实施限速行驶；</w:t>
            </w:r>
          </w:p>
          <w:p w14:paraId="7CA5C6A5">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●建材堆放地点要相对集中，临时堆场及时清运处置，严禁弃置于城建、规划部门非指定堆放点。</w:t>
            </w:r>
          </w:p>
          <w:p w14:paraId="235ED70D">
            <w:pPr>
              <w:tabs>
                <w:tab w:val="left" w:pos="645"/>
                <w:tab w:val="left" w:pos="850"/>
                <w:tab w:val="left" w:pos="1275"/>
                <w:tab w:val="left" w:pos="2235"/>
              </w:tabs>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1.2施工机械废气</w:t>
            </w:r>
          </w:p>
          <w:p w14:paraId="4358D9DF">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施工期施工单位在运输原材料、施工设备以及施工机械设备在运行过程中均会排放一定量的CO、NO</w:t>
            </w:r>
            <w:r>
              <w:rPr>
                <w:bCs/>
                <w:color w:val="000000" w:themeColor="text1"/>
                <w:sz w:val="24"/>
                <w:vertAlign w:val="subscript"/>
                <w14:textFill>
                  <w14:solidFill>
                    <w14:schemeClr w14:val="tx1"/>
                  </w14:solidFill>
                </w14:textFill>
              </w:rPr>
              <w:t>x</w:t>
            </w:r>
            <w:r>
              <w:rPr>
                <w:bCs/>
                <w:color w:val="000000" w:themeColor="text1"/>
                <w:sz w:val="24"/>
                <w14:textFill>
                  <w14:solidFill>
                    <w14:schemeClr w14:val="tx1"/>
                  </w14:solidFill>
                </w14:textFill>
              </w:rPr>
              <w:t>以及未完全燃烧的THC等，其特点是排放量小，属间断性排放。加之本项目施工场地开阔，扩散条件良好，因此施工机械废气可实现达标排放。</w:t>
            </w:r>
          </w:p>
          <w:p w14:paraId="220D7D2E">
            <w:pPr>
              <w:tabs>
                <w:tab w:val="left" w:pos="645"/>
                <w:tab w:val="left" w:pos="850"/>
                <w:tab w:val="left" w:pos="1275"/>
                <w:tab w:val="left" w:pos="2235"/>
              </w:tabs>
              <w:spacing w:line="360" w:lineRule="auto"/>
              <w:ind w:firstLine="482" w:firstLineChars="200"/>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环评要求</w:t>
            </w:r>
            <w:r>
              <w:rPr>
                <w:bCs/>
                <w:color w:val="000000" w:themeColor="text1"/>
                <w:sz w:val="24"/>
                <w14:textFill>
                  <w14:solidFill>
                    <w14:schemeClr w14:val="tx1"/>
                  </w14:solidFill>
                </w14:textFill>
              </w:rPr>
              <w:t>施工单位在施工期内安排专人注意加强施工机械维护，确保机械设备正常运行。</w:t>
            </w:r>
          </w:p>
          <w:p w14:paraId="1670D25D">
            <w:pPr>
              <w:tabs>
                <w:tab w:val="left" w:pos="645"/>
                <w:tab w:val="left" w:pos="850"/>
                <w:tab w:val="left" w:pos="1275"/>
                <w:tab w:val="left" w:pos="2235"/>
              </w:tabs>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综上所述，施工期间建设方根据上述要求和建议采取必要的防治措施，能有效减少施工废气的产生。</w:t>
            </w:r>
          </w:p>
          <w:p w14:paraId="264B40FE">
            <w:pPr>
              <w:tabs>
                <w:tab w:val="left" w:pos="3519"/>
              </w:tabs>
              <w:spacing w:line="360" w:lineRule="auto"/>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2、废水排放及治理措施</w:t>
            </w:r>
          </w:p>
          <w:p w14:paraId="4301D25F">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本项目施工期的废水主要为施工废水和施工人员生活污水。</w:t>
            </w:r>
          </w:p>
          <w:p w14:paraId="35E1D7A1">
            <w:pPr>
              <w:tabs>
                <w:tab w:val="left" w:pos="645"/>
                <w:tab w:val="left" w:pos="850"/>
                <w:tab w:val="left" w:pos="1275"/>
                <w:tab w:val="left" w:pos="2235"/>
              </w:tabs>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1.1施工废水</w:t>
            </w:r>
          </w:p>
          <w:p w14:paraId="38D44C88">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废水主要来自于施工机械冲洗水，该类废水含大量泥砂等，悬浮物浓度较高，pH值呈弱碱性，并带有少量的油污。环评要求建设单位在建筑施工现场开挖修建临时废水沉淀池，对施工废水进行隔油、沉淀除渣处理后循环使用，严格做到不外排。</w:t>
            </w:r>
          </w:p>
          <w:p w14:paraId="7EF0E751">
            <w:pPr>
              <w:tabs>
                <w:tab w:val="left" w:pos="645"/>
                <w:tab w:val="left" w:pos="850"/>
                <w:tab w:val="left" w:pos="1275"/>
                <w:tab w:val="left" w:pos="2235"/>
              </w:tabs>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1.2施工人员生活污水</w:t>
            </w:r>
          </w:p>
          <w:p w14:paraId="75F87CEE">
            <w:pPr>
              <w:tabs>
                <w:tab w:val="left" w:pos="645"/>
                <w:tab w:val="left" w:pos="850"/>
                <w:tab w:val="left" w:pos="1275"/>
                <w:tab w:val="left" w:pos="2235"/>
              </w:tabs>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施工单位不安排现场食宿，施工人员均为当地居民，食宿均各自自行回家解决。根据类比分析，拟建项目施工高峰施工人员约15人，按照每人每天50L计算，污水排放系数0.85，生活污水产生量为0.64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bCs/>
                <w:color w:val="000000" w:themeColor="text1"/>
                <w:sz w:val="24"/>
                <w14:textFill>
                  <w14:solidFill>
                    <w14:schemeClr w14:val="tx1"/>
                  </w14:solidFill>
                </w14:textFill>
              </w:rPr>
              <w:t>。施工期为12个月，施工期生活污水</w:t>
            </w:r>
            <w:r>
              <w:rPr>
                <w:color w:val="000000" w:themeColor="text1"/>
                <w:sz w:val="24"/>
                <w14:textFill>
                  <w14:solidFill>
                    <w14:schemeClr w14:val="tx1"/>
                  </w14:solidFill>
                </w14:textFill>
              </w:rPr>
              <w:t>产生量为230m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生活污水主要污染物包括BOD</w:t>
            </w:r>
            <w:r>
              <w:rPr>
                <w:bCs/>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、COD、NH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-N、SS等</w:t>
            </w:r>
            <w:r>
              <w:rPr>
                <w:color w:val="000000" w:themeColor="text1"/>
                <w:sz w:val="24"/>
                <w14:textFill>
                  <w14:solidFill>
                    <w14:schemeClr w14:val="tx1"/>
                  </w14:solidFill>
                </w14:textFill>
              </w:rPr>
              <w:t>。</w:t>
            </w:r>
          </w:p>
          <w:p w14:paraId="77675B3C">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施工人员大部分为当地居民，施工人员生活污水利用企业现有的预处理池处理后用作农肥，不外排。</w:t>
            </w:r>
          </w:p>
          <w:p w14:paraId="270E1FC9">
            <w:pPr>
              <w:tabs>
                <w:tab w:val="left" w:pos="645"/>
                <w:tab w:val="left" w:pos="850"/>
                <w:tab w:val="left" w:pos="1275"/>
                <w:tab w:val="left" w:pos="2235"/>
              </w:tabs>
              <w:spacing w:line="360" w:lineRule="auto"/>
              <w:rPr>
                <w:bCs/>
                <w:color w:val="000000" w:themeColor="text1"/>
                <w:sz w:val="24"/>
                <w14:textFill>
                  <w14:solidFill>
                    <w14:schemeClr w14:val="tx1"/>
                  </w14:solidFill>
                </w14:textFill>
              </w:rPr>
            </w:pPr>
            <w:r>
              <w:rPr>
                <w:b/>
                <w:color w:val="000000" w:themeColor="text1"/>
                <w:sz w:val="24"/>
                <w14:textFill>
                  <w14:solidFill>
                    <w14:schemeClr w14:val="tx1"/>
                  </w14:solidFill>
                </w14:textFill>
              </w:rPr>
              <w:t>3、噪声排放及治理措施</w:t>
            </w:r>
          </w:p>
          <w:p w14:paraId="1ECB690D">
            <w:pPr>
              <w:tabs>
                <w:tab w:val="left" w:pos="3780"/>
              </w:tabs>
              <w:spacing w:line="360" w:lineRule="auto"/>
              <w:ind w:firstLine="480" w:firstLineChars="200"/>
              <w:rPr>
                <w:rFonts w:eastAsia="黑体"/>
                <w:bCs/>
                <w:color w:val="000000" w:themeColor="text1"/>
                <w:szCs w:val="21"/>
                <w14:textFill>
                  <w14:solidFill>
                    <w14:schemeClr w14:val="tx1"/>
                  </w14:solidFill>
                </w14:textFill>
              </w:rPr>
            </w:pPr>
            <w:r>
              <w:rPr>
                <w:color w:val="000000" w:themeColor="text1"/>
                <w:kern w:val="0"/>
                <w:sz w:val="24"/>
                <w14:textFill>
                  <w14:solidFill>
                    <w14:schemeClr w14:val="tx1"/>
                  </w14:solidFill>
                </w14:textFill>
              </w:rPr>
              <w:t>本项目在建设施工过程中，主要噪声源有推土机、装载机、电锯和各种运输车辆等，其运行噪声值一般在75~115dB(A)之间。由于这些设备的运作是间歇性的，因此其所产生的噪声也是间歇性和短暂性的。</w:t>
            </w:r>
          </w:p>
          <w:p w14:paraId="2FC06F04">
            <w:pPr>
              <w:autoSpaceDE w:val="0"/>
              <w:autoSpaceDN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为了确保施工噪声场界达标，施工噪声不扰民，建设单位应认真落实本环评提出噪声污染防治措施，具体如下：</w:t>
            </w:r>
          </w:p>
          <w:p w14:paraId="6CCDD56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（1）尽量采用低噪声设备；</w:t>
            </w:r>
          </w:p>
          <w:p w14:paraId="00BB223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（2）合理布局施工场地，将产生高噪声的作业点应尽量布置在远离周边的居民区等敏感点的地方；</w:t>
            </w:r>
          </w:p>
          <w:p w14:paraId="227EA62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（3）合理安排施工时间，强噪声施工作业应尽量安排在白天施工，尽量避开在夜间时间施工（时间为22：00~6：00），杜绝出现夜间施工噪声扰民影响；</w:t>
            </w:r>
          </w:p>
          <w:p w14:paraId="491F34C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（4）文明施工，装卸、搬运钢管、模板等严禁抛掷；</w:t>
            </w:r>
          </w:p>
          <w:p w14:paraId="56E621C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（5）基础及主体结构施工阶段的噪声主要来源于振动棒、电锯、焊机等设备，振动棒应选用消声振动棒，焊机等施工机械应选择噪声较小的设备；</w:t>
            </w:r>
          </w:p>
          <w:p w14:paraId="7CCEA7A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安装阶段的噪声主要来源于电钻、电锤等设备，在此阶段应使用合格的电锤，并及时在各部位加注机油，增强润滑作用，使用电锤开洞、凿眼时，严禁用铁锤敲打管道及金属工件。装修、安装阶段各主要噪声设备应尽量集中在某个时段使用，减少施工噪声对区域声环境的影响时间；</w:t>
            </w:r>
          </w:p>
          <w:p w14:paraId="7737E78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（7）一切动力机械设备都应适时维修，特别对因松动部件的震动或降低噪声部件的损坏而产生很强噪声的设备，更应经常检查维护；</w:t>
            </w:r>
          </w:p>
          <w:p w14:paraId="46D5919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（8）建筑垃圾及原辅料运输车辆应控制车速，尽量不鸣笛，并合理安排运输时间，尽量避开夜间时间。</w:t>
            </w:r>
          </w:p>
          <w:p w14:paraId="784AFBB5">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在采取上述噪声污染防治措施后，项目施工期场界噪声可以实现达标排放，施工噪声对周围敏感点影响小，不会导致区域声环境质量发生明显的变化，对周边敏感点影响较小。</w:t>
            </w:r>
          </w:p>
          <w:p w14:paraId="15AD8FA2">
            <w:pPr>
              <w:spacing w:line="360" w:lineRule="auto"/>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4、固体废弃物排放及治理措施</w:t>
            </w:r>
          </w:p>
          <w:p w14:paraId="75FAC84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本项目施工期固废主要包括土石方、建筑垃圾和施工人员生活垃圾。</w:t>
            </w:r>
          </w:p>
          <w:p w14:paraId="11371ECD">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4.1土石方</w:t>
            </w:r>
          </w:p>
          <w:p w14:paraId="4BA25745">
            <w:pPr>
              <w:spacing w:line="360" w:lineRule="auto"/>
              <w:ind w:firstLine="480" w:firstLineChars="200"/>
              <w:rPr>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项目厂区较平坦，基础开挖量不大；施工过程中基础开挖、土地平整有少量土石方产生，将产生的土石方回填于项目地势较低处。通过回填后，可实现土石方就地平衡，需外运处置</w:t>
            </w:r>
            <w:r>
              <w:rPr>
                <w:bCs/>
                <w:color w:val="000000" w:themeColor="text1"/>
                <w:sz w:val="24"/>
                <w14:textFill>
                  <w14:solidFill>
                    <w14:schemeClr w14:val="tx1"/>
                  </w14:solidFill>
                </w14:textFill>
              </w:rPr>
              <w:t>。</w:t>
            </w:r>
          </w:p>
          <w:p w14:paraId="78E0F769">
            <w:pPr>
              <w:spacing w:line="360" w:lineRule="auto"/>
              <w:ind w:firstLine="480" w:firstLineChars="200"/>
              <w:jc w:val="left"/>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在开挖土石方时，由于堆放量较大，遇降雨容易形成水土流失而造成对附近沟渠的影响。因此，要求在进行开挖土石方作业时，一是在堆放场地周围设置排水沟及沉淀池；二是在雨季不进行开挖作业或只进行小规模作业，尽可能减少堆放土形成水土流失现象；三是在临时堆场上搭建防尘网，以减少扬尘产生。</w:t>
            </w:r>
          </w:p>
          <w:p w14:paraId="6ECE0F1E">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4.2建筑垃圾</w:t>
            </w:r>
          </w:p>
          <w:p w14:paraId="5B46C16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项目在进行主体工程和装饰工程时会产生废弃钢材、废旧彩钢棚等建筑垃圾。根据同类行业类比分析，本项目建筑垃圾产生量约1t。</w:t>
            </w:r>
            <w:r>
              <w:rPr>
                <w:b/>
                <w:color w:val="000000" w:themeColor="text1"/>
                <w:kern w:val="0"/>
                <w:sz w:val="24"/>
                <w14:textFill>
                  <w14:solidFill>
                    <w14:schemeClr w14:val="tx1"/>
                  </w14:solidFill>
                </w14:textFill>
              </w:rPr>
              <w:t>环评要求</w:t>
            </w:r>
            <w:r>
              <w:rPr>
                <w:color w:val="000000" w:themeColor="text1"/>
                <w:kern w:val="0"/>
                <w:sz w:val="24"/>
                <w14:textFill>
                  <w14:solidFill>
                    <w14:schemeClr w14:val="tx1"/>
                  </w14:solidFill>
                </w14:textFill>
              </w:rPr>
              <w:t>：施工单位在施工现场设置建筑废弃物临时堆场（树立标示牌）并进行防雨、防泄漏处理。施工产生的废料首先应考虑回收利用，对钢筋、钢板等下角料可分类回收，交废物收购站处理；对不能回收的建筑垃圾，如混凝土废料、含砖、石、砂的杂土等应集中堆放，定时清运到政府部门指定的建筑垃圾处置地点，严禁随意倾倒、填埋，从而可以避免造成二次污染。</w:t>
            </w:r>
          </w:p>
          <w:p w14:paraId="4D2EEEB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单位应要求施工单位实行标准化施工，并严格有关要求对建筑垃圾进行规范化管理和处置。建筑垃圾应送至环卫部门指定地点填埋处置，不得随意倾倒建筑垃圾、制造新的“垃圾堆场”、避免对周围环境造成影响。</w:t>
            </w:r>
          </w:p>
          <w:p w14:paraId="257F1632">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4.3施工人员生活垃圾</w:t>
            </w:r>
          </w:p>
          <w:p w14:paraId="330A2B65">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施工单位不安排现场食宿，施工人员均为当地居民，食宿均各自自行回家解决。</w:t>
            </w:r>
            <w:r>
              <w:rPr>
                <w:color w:val="000000" w:themeColor="text1"/>
                <w:kern w:val="0"/>
                <w:sz w:val="24"/>
                <w14:textFill>
                  <w14:solidFill>
                    <w14:schemeClr w14:val="tx1"/>
                  </w14:solidFill>
                </w14:textFill>
              </w:rPr>
              <w:t>本项目施工期高峰期施工人员约15人，生活垃圾产生量按0.5kg/人·天计，则施工人员生活垃圾产生量约7.5kg/d。</w:t>
            </w:r>
            <w:r>
              <w:rPr>
                <w:bCs/>
                <w:color w:val="000000" w:themeColor="text1"/>
                <w:sz w:val="24"/>
                <w14:textFill>
                  <w14:solidFill>
                    <w14:schemeClr w14:val="tx1"/>
                  </w14:solidFill>
                </w14:textFill>
              </w:rPr>
              <w:t>施工期为12个月，施工期生活垃圾</w:t>
            </w:r>
            <w:r>
              <w:rPr>
                <w:color w:val="000000" w:themeColor="text1"/>
                <w:sz w:val="24"/>
                <w14:textFill>
                  <w14:solidFill>
                    <w14:schemeClr w14:val="tx1"/>
                  </w14:solidFill>
                </w14:textFill>
              </w:rPr>
              <w:t>产生量为2.7t。</w:t>
            </w:r>
          </w:p>
          <w:p w14:paraId="716F258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施工人员生活垃圾</w:t>
            </w:r>
            <w:r>
              <w:rPr>
                <w:color w:val="000000" w:themeColor="text1"/>
                <w:sz w:val="24"/>
                <w14:textFill>
                  <w14:solidFill>
                    <w14:schemeClr w14:val="tx1"/>
                  </w14:solidFill>
                </w14:textFill>
              </w:rPr>
              <w:t>交由环卫部门清运</w:t>
            </w:r>
            <w:r>
              <w:rPr>
                <w:color w:val="000000" w:themeColor="text1"/>
                <w:kern w:val="0"/>
                <w:sz w:val="24"/>
                <w14:textFill>
                  <w14:solidFill>
                    <w14:schemeClr w14:val="tx1"/>
                  </w14:solidFill>
                </w14:textFill>
              </w:rPr>
              <w:t>。</w:t>
            </w:r>
          </w:p>
          <w:p w14:paraId="73C982B4">
            <w:pPr>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施工单位应严格采取上述固废处置措施，确保施工期固废得到资源化处置和清洁处理，不造成二次污染，污染防治措施有效。</w:t>
            </w:r>
          </w:p>
          <w:p w14:paraId="29D56308">
            <w:pPr>
              <w:tabs>
                <w:tab w:val="left" w:pos="645"/>
                <w:tab w:val="left" w:pos="850"/>
                <w:tab w:val="left" w:pos="1275"/>
                <w:tab w:val="left" w:pos="2235"/>
              </w:tabs>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5、生态破坏</w:t>
            </w:r>
          </w:p>
          <w:p w14:paraId="47D37F17">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施工中，场地开挖、回填等施工作业活动将使土地被侵占，地表裸露，从而使项目周边局部生态结构发生一定变化，裸露的地面被雨水冲刷后将造成水土流失，进而降低土壤的肥力，影响局部水文条件和陆生生态系统的稳定性。施工过程中产生新的水土流失，可能导致附近水体的沉积物淤积和河水混浊。</w:t>
            </w:r>
          </w:p>
          <w:p w14:paraId="4C4F8660">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项目施工期间的生态环境影响主要表现为水土流失，应采取以下措施予以防治：</w:t>
            </w:r>
          </w:p>
          <w:p w14:paraId="6BA47567">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施工期间必须按规定加强建设过程中的文明施工管理，禁止野蛮施工，施工场地四周修建围护结构，施工采用硬化路面，合理安排施工进度，以最高效率保证最优的工程质量；对运送车辆进行覆盖，对运送散装物料的机动车以及存放散装物料的堆场，应用蓬布遮盖，以防物料洒落和防止起尘。</w:t>
            </w:r>
          </w:p>
          <w:p w14:paraId="0A3C67C1">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施工过程中注意场地清理工作，对建筑工地及周边道路洒漏的渣土及时进行湿法清扫，项目建设完成后，施工单位应在三十日内将建筑垃圾全部清除，避免土料、粉尘受雨水冲刷污染受纳水体。并做好施工现场生活垃圾、施工废弃物（如废弃包装物等）收集工作，禁止焚烧和随意丢弃，统一收集后交由环卫部门处理。</w:t>
            </w:r>
          </w:p>
          <w:p w14:paraId="3BEE145F">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项目基础开挖、回填尽量避免在多雨季节进行，加强施工现场废弃物收集、处置，及时回填和外运开挖土方，做好施工现场的防尘和水土保持措施，减轻施工活动对区域环境的影响程度，防止形成二次水土流失。</w:t>
            </w:r>
          </w:p>
          <w:p w14:paraId="3057E329">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（4）施工场地和临时堆放场内应设置专门的雨水导流渠，将雨水引导到沉淀池经过沉淀后回用或排放，防止因雨水冲刷造成水土流失。</w:t>
            </w:r>
          </w:p>
          <w:p w14:paraId="0A4F380C">
            <w:pPr>
              <w:tabs>
                <w:tab w:val="left" w:pos="645"/>
                <w:tab w:val="left" w:pos="850"/>
                <w:tab w:val="left" w:pos="1275"/>
                <w:tab w:val="left" w:pos="2235"/>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（5）优化施工工序，缩短材料堆放及施工时间。</w:t>
            </w:r>
          </w:p>
          <w:p w14:paraId="17249BB4">
            <w:pPr>
              <w:tabs>
                <w:tab w:val="left" w:pos="645"/>
                <w:tab w:val="left" w:pos="850"/>
                <w:tab w:val="left" w:pos="1275"/>
                <w:tab w:val="left" w:pos="2235"/>
              </w:tabs>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对以上提出的施工期环保措施，建设单位应提供给施工方，保证施工阶段的污染物能够得到有效治理，避免对周边环境产生影响。本项目施工期主要污染是暂时性的，待施工结束，基本上可消除。</w:t>
            </w:r>
          </w:p>
          <w:p w14:paraId="7C3E5951">
            <w:pPr>
              <w:pStyle w:val="2"/>
              <w:rPr>
                <w:color w:val="000000" w:themeColor="text1"/>
                <w14:textFill>
                  <w14:solidFill>
                    <w14:schemeClr w14:val="tx1"/>
                  </w14:solidFill>
                </w14:textFill>
              </w:rPr>
            </w:pPr>
          </w:p>
          <w:p w14:paraId="31B24637">
            <w:pPr>
              <w:pStyle w:val="2"/>
              <w:rPr>
                <w:color w:val="000000" w:themeColor="text1"/>
                <w14:textFill>
                  <w14:solidFill>
                    <w14:schemeClr w14:val="tx1"/>
                  </w14:solidFill>
                </w14:textFill>
              </w:rPr>
            </w:pPr>
          </w:p>
          <w:p w14:paraId="2B52B11B">
            <w:pPr>
              <w:pStyle w:val="2"/>
              <w:rPr>
                <w:color w:val="000000" w:themeColor="text1"/>
                <w14:textFill>
                  <w14:solidFill>
                    <w14:schemeClr w14:val="tx1"/>
                  </w14:solidFill>
                </w14:textFill>
              </w:rPr>
            </w:pPr>
          </w:p>
          <w:p w14:paraId="6772129C">
            <w:pPr>
              <w:pStyle w:val="2"/>
              <w:rPr>
                <w:color w:val="000000" w:themeColor="text1"/>
                <w14:textFill>
                  <w14:solidFill>
                    <w14:schemeClr w14:val="tx1"/>
                  </w14:solidFill>
                </w14:textFill>
              </w:rPr>
            </w:pPr>
          </w:p>
          <w:p w14:paraId="4F857EC5">
            <w:pPr>
              <w:pStyle w:val="2"/>
              <w:rPr>
                <w:color w:val="000000" w:themeColor="text1"/>
                <w14:textFill>
                  <w14:solidFill>
                    <w14:schemeClr w14:val="tx1"/>
                  </w14:solidFill>
                </w14:textFill>
              </w:rPr>
            </w:pPr>
          </w:p>
          <w:p w14:paraId="127DC507">
            <w:pPr>
              <w:pStyle w:val="2"/>
              <w:rPr>
                <w:color w:val="000000" w:themeColor="text1"/>
                <w14:textFill>
                  <w14:solidFill>
                    <w14:schemeClr w14:val="tx1"/>
                  </w14:solidFill>
                </w14:textFill>
              </w:rPr>
            </w:pPr>
          </w:p>
          <w:p w14:paraId="692F2991">
            <w:pPr>
              <w:pStyle w:val="2"/>
              <w:rPr>
                <w:color w:val="000000" w:themeColor="text1"/>
                <w14:textFill>
                  <w14:solidFill>
                    <w14:schemeClr w14:val="tx1"/>
                  </w14:solidFill>
                </w14:textFill>
              </w:rPr>
            </w:pPr>
          </w:p>
          <w:p w14:paraId="7E882CC9">
            <w:pPr>
              <w:pStyle w:val="2"/>
              <w:ind w:left="0" w:leftChars="0" w:firstLine="0" w:firstLineChars="0"/>
              <w:rPr>
                <w:color w:val="000000" w:themeColor="text1"/>
                <w14:textFill>
                  <w14:solidFill>
                    <w14:schemeClr w14:val="tx1"/>
                  </w14:solidFill>
                </w14:textFill>
              </w:rPr>
            </w:pPr>
          </w:p>
          <w:p w14:paraId="387E74D5">
            <w:pPr>
              <w:pStyle w:val="2"/>
              <w:rPr>
                <w:color w:val="000000" w:themeColor="text1"/>
                <w14:textFill>
                  <w14:solidFill>
                    <w14:schemeClr w14:val="tx1"/>
                  </w14:solidFill>
                </w14:textFill>
              </w:rPr>
            </w:pPr>
          </w:p>
        </w:tc>
      </w:tr>
    </w:tbl>
    <w:p w14:paraId="36593B89">
      <w:pPr>
        <w:rPr>
          <w:color w:val="000000" w:themeColor="text1"/>
          <w14:textFill>
            <w14:solidFill>
              <w14:schemeClr w14:val="tx1"/>
            </w14:solidFill>
          </w14:textFill>
        </w:rPr>
      </w:pPr>
    </w:p>
    <w:p w14:paraId="55C9A080">
      <w:pPr>
        <w:pStyle w:val="2"/>
        <w:rPr>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38"/>
      </w:tblGrid>
      <w:tr w14:paraId="57EFB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825" w:type="dxa"/>
            <w:tcMar>
              <w:left w:w="28" w:type="dxa"/>
              <w:right w:w="28" w:type="dxa"/>
            </w:tcMar>
            <w:vAlign w:val="center"/>
          </w:tcPr>
          <w:p w14:paraId="0433764F">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运营期环境影响和保护措施</w:t>
            </w:r>
          </w:p>
        </w:tc>
      </w:tr>
      <w:tr w14:paraId="76DA9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825" w:type="dxa"/>
            <w:tcMar>
              <w:left w:w="28" w:type="dxa"/>
              <w:right w:w="28" w:type="dxa"/>
            </w:tcMar>
            <w:vAlign w:val="center"/>
          </w:tcPr>
          <w:p w14:paraId="79468EDD">
            <w:pPr>
              <w:spacing w:before="120" w:beforeLines="50" w:line="360" w:lineRule="auto"/>
              <w:ind w:firstLine="480" w:firstLineChars="200"/>
              <w:rPr>
                <w:rFonts w:eastAsiaTheme="minorEastAsia"/>
                <w:color w:val="000000" w:themeColor="text1"/>
                <w:sz w:val="24"/>
                <w14:textFill>
                  <w14:solidFill>
                    <w14:schemeClr w14:val="tx1"/>
                  </w14:solidFill>
                </w14:textFill>
              </w:rPr>
            </w:pPr>
            <w:bookmarkStart w:id="13" w:name="_Toc395186525"/>
            <w:bookmarkStart w:id="14" w:name="_Toc532226654"/>
            <w:r>
              <w:rPr>
                <w:rFonts w:eastAsiaTheme="minorEastAsia"/>
                <w:color w:val="000000" w:themeColor="text1"/>
                <w:sz w:val="24"/>
                <w14:textFill>
                  <w14:solidFill>
                    <w14:schemeClr w14:val="tx1"/>
                  </w14:solidFill>
                </w14:textFill>
              </w:rPr>
              <w:t>本项目蒸养砖生产线石灰块破碎在下沉的地下破碎机中进行粉尘不会外溢，因此本项目粉尘主要包括原料堆存区运输，装卸产生的粉尘、水泥、粉煤灰筒仓粉尘以及配料搅拌粉尘，废水，噪声，固废等：</w:t>
            </w:r>
          </w:p>
          <w:p w14:paraId="21BEE55A">
            <w:pPr>
              <w:pStyle w:val="78"/>
              <w:numPr>
                <w:ilvl w:val="0"/>
                <w:numId w:val="4"/>
              </w:numPr>
              <w:spacing w:line="360" w:lineRule="auto"/>
              <w:ind w:left="0"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废气产生情况及保护措施</w:t>
            </w:r>
          </w:p>
          <w:p w14:paraId="7E1E006B">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1.1原料运输、堆场、装卸产生的粉尘及治理措施</w:t>
            </w:r>
          </w:p>
          <w:p w14:paraId="4F7D7B9E">
            <w:pPr>
              <w:adjustRightInd w:val="0"/>
              <w:snapToGrid w:val="0"/>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（1）汽车运输扬尘</w:t>
            </w:r>
          </w:p>
          <w:p w14:paraId="7236D927">
            <w:pPr>
              <w:adjustRightInd w:val="0"/>
              <w:snapToGrid w:val="0"/>
              <w:spacing w:line="360" w:lineRule="auto"/>
              <w:ind w:firstLine="480" w:firstLineChars="200"/>
              <w:rPr>
                <w:rFonts w:eastAsiaTheme="minorEastAsia"/>
                <w:b/>
                <w:bCs/>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车辆行驶过程中产生的扬尘，在道路完全干燥的情况下可按下列经验公式计算：</w:t>
            </w:r>
          </w:p>
          <w:p w14:paraId="628D863E">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drawing>
                <wp:inline distT="0" distB="0" distL="0" distR="0">
                  <wp:extent cx="2057400" cy="466090"/>
                  <wp:effectExtent l="19050" t="0" r="0"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noChangeArrowheads="1"/>
                          </pic:cNvPicPr>
                        </pic:nvPicPr>
                        <pic:blipFill>
                          <a:blip r:embed="rId23"/>
                          <a:srcRect/>
                          <a:stretch>
                            <a:fillRect/>
                          </a:stretch>
                        </pic:blipFill>
                        <pic:spPr>
                          <a:xfrm>
                            <a:off x="0" y="0"/>
                            <a:ext cx="2057400" cy="466090"/>
                          </a:xfrm>
                          <a:prstGeom prst="rect">
                            <a:avLst/>
                          </a:prstGeom>
                          <a:noFill/>
                          <a:ln w="9525">
                            <a:noFill/>
                            <a:miter lim="800000"/>
                            <a:headEnd/>
                            <a:tailEnd/>
                          </a:ln>
                        </pic:spPr>
                      </pic:pic>
                    </a:graphicData>
                  </a:graphic>
                </wp:inline>
              </w:drawing>
            </w:r>
          </w:p>
          <w:p w14:paraId="66498AD2">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drawing>
                <wp:inline distT="0" distB="0" distL="0" distR="0">
                  <wp:extent cx="1143000" cy="342900"/>
                  <wp:effectExtent l="19050" t="0" r="0"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noChangeArrowheads="1"/>
                          </pic:cNvPicPr>
                        </pic:nvPicPr>
                        <pic:blipFill>
                          <a:blip r:embed="rId24"/>
                          <a:srcRect/>
                          <a:stretch>
                            <a:fillRect/>
                          </a:stretch>
                        </pic:blipFill>
                        <pic:spPr>
                          <a:xfrm>
                            <a:off x="0" y="0"/>
                            <a:ext cx="1143000" cy="342900"/>
                          </a:xfrm>
                          <a:prstGeom prst="rect">
                            <a:avLst/>
                          </a:prstGeom>
                          <a:noFill/>
                          <a:ln w="9525">
                            <a:noFill/>
                            <a:miter lim="800000"/>
                            <a:headEnd/>
                            <a:tailEnd/>
                          </a:ln>
                        </pic:spPr>
                      </pic:pic>
                    </a:graphicData>
                  </a:graphic>
                </wp:inline>
              </w:drawing>
            </w:r>
          </w:p>
          <w:p w14:paraId="46BA9C2F">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式中：Q</w:t>
            </w:r>
            <w:r>
              <w:rPr>
                <w:rFonts w:eastAsiaTheme="minorEastAsia"/>
                <w:color w:val="000000" w:themeColor="text1"/>
                <w:szCs w:val="24"/>
                <w:vertAlign w:val="subscript"/>
                <w14:textFill>
                  <w14:solidFill>
                    <w14:schemeClr w14:val="tx1"/>
                  </w14:solidFill>
                </w14:textFill>
              </w:rPr>
              <w:t>y</w:t>
            </w:r>
            <w:r>
              <w:rPr>
                <w:rFonts w:eastAsiaTheme="minorEastAsia"/>
                <w:color w:val="000000" w:themeColor="text1"/>
                <w:szCs w:val="24"/>
                <w14:textFill>
                  <w14:solidFill>
                    <w14:schemeClr w14:val="tx1"/>
                  </w14:solidFill>
                </w14:textFill>
              </w:rPr>
              <w:t>——运输起尘量，kg/km·辆；</w:t>
            </w:r>
          </w:p>
          <w:p w14:paraId="4FC1BEF0">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Q</w:t>
            </w:r>
            <w:r>
              <w:rPr>
                <w:rFonts w:eastAsiaTheme="minorEastAsia"/>
                <w:color w:val="000000" w:themeColor="text1"/>
                <w:szCs w:val="24"/>
                <w:vertAlign w:val="subscript"/>
                <w14:textFill>
                  <w14:solidFill>
                    <w14:schemeClr w14:val="tx1"/>
                  </w14:solidFill>
                </w14:textFill>
              </w:rPr>
              <w:t>t</w:t>
            </w:r>
            <w:r>
              <w:rPr>
                <w:rFonts w:eastAsiaTheme="minorEastAsia"/>
                <w:color w:val="000000" w:themeColor="text1"/>
                <w:szCs w:val="24"/>
                <w14:textFill>
                  <w14:solidFill>
                    <w14:schemeClr w14:val="tx1"/>
                  </w14:solidFill>
                </w14:textFill>
              </w:rPr>
              <w:t>——运输起尘量，kg/a；</w:t>
            </w:r>
          </w:p>
          <w:p w14:paraId="17B572B8">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V——运行速度，km/h；</w:t>
            </w:r>
          </w:p>
          <w:p w14:paraId="5ED2B717">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P——路面状况，每平米灰尘覆盖量，kg/m</w:t>
            </w:r>
            <w:r>
              <w:rPr>
                <w:rFonts w:eastAsiaTheme="minorEastAsia"/>
                <w:color w:val="000000" w:themeColor="text1"/>
                <w:szCs w:val="24"/>
                <w:vertAlign w:val="superscript"/>
                <w14:textFill>
                  <w14:solidFill>
                    <w14:schemeClr w14:val="tx1"/>
                  </w14:solidFill>
                </w14:textFill>
              </w:rPr>
              <w:t>2</w:t>
            </w:r>
            <w:r>
              <w:rPr>
                <w:rFonts w:eastAsiaTheme="minorEastAsia"/>
                <w:color w:val="000000" w:themeColor="text1"/>
                <w:szCs w:val="24"/>
                <w14:textFill>
                  <w14:solidFill>
                    <w14:schemeClr w14:val="tx1"/>
                  </w14:solidFill>
                </w14:textFill>
              </w:rPr>
              <w:t>；</w:t>
            </w:r>
          </w:p>
          <w:p w14:paraId="06CBEA49">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L——运输距离，km，取0.1km；</w:t>
            </w:r>
          </w:p>
          <w:p w14:paraId="6904733E">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M——车辆载重，t/辆；</w:t>
            </w:r>
          </w:p>
          <w:p w14:paraId="49D09A4D">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Q——运输量，t/a。</w:t>
            </w:r>
          </w:p>
          <w:p w14:paraId="08C901D8">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本项目运输车型以20t为主（空载约10t，重载约30t），本项目年发空车、重车各5967辆次，汽车在场地内行驶速度一般不超过10km/h，道路表面粉尘量约为0.02kg/m</w:t>
            </w:r>
            <w:r>
              <w:rPr>
                <w:rFonts w:eastAsiaTheme="minorEastAsia"/>
                <w:color w:val="000000" w:themeColor="text1"/>
                <w:szCs w:val="24"/>
                <w:vertAlign w:val="superscript"/>
                <w14:textFill>
                  <w14:solidFill>
                    <w14:schemeClr w14:val="tx1"/>
                  </w14:solidFill>
                </w14:textFill>
              </w:rPr>
              <w:t>2</w:t>
            </w:r>
            <w:r>
              <w:rPr>
                <w:rFonts w:eastAsiaTheme="minorEastAsia"/>
                <w:color w:val="000000" w:themeColor="text1"/>
                <w:szCs w:val="24"/>
                <w14:textFill>
                  <w14:solidFill>
                    <w14:schemeClr w14:val="tx1"/>
                  </w14:solidFill>
                </w14:textFill>
              </w:rPr>
              <w:t>，根据上述参数可计算得到厂内汽车扬尘量为0.036t/a。</w:t>
            </w:r>
          </w:p>
          <w:p w14:paraId="3C81536C">
            <w:pPr>
              <w:pStyle w:val="96"/>
              <w:ind w:firstLine="482"/>
              <w:rPr>
                <w:rFonts w:eastAsiaTheme="minorEastAsia"/>
                <w:color w:val="000000" w:themeColor="text1"/>
                <w:szCs w:val="24"/>
                <w14:textFill>
                  <w14:solidFill>
                    <w14:schemeClr w14:val="tx1"/>
                  </w14:solidFill>
                </w14:textFill>
              </w:rPr>
            </w:pPr>
            <w:r>
              <w:rPr>
                <w:rFonts w:eastAsiaTheme="minorEastAsia"/>
                <w:b/>
                <w:color w:val="000000" w:themeColor="text1"/>
                <w:szCs w:val="24"/>
                <w14:textFill>
                  <w14:solidFill>
                    <w14:schemeClr w14:val="tx1"/>
                  </w14:solidFill>
                </w14:textFill>
              </w:rPr>
              <w:t>治理措施</w:t>
            </w:r>
            <w:r>
              <w:rPr>
                <w:rFonts w:eastAsiaTheme="minorEastAsia"/>
                <w:color w:val="000000" w:themeColor="text1"/>
                <w:szCs w:val="24"/>
                <w14:textFill>
                  <w14:solidFill>
                    <w14:schemeClr w14:val="tx1"/>
                  </w14:solidFill>
                </w14:textFill>
              </w:rPr>
              <w:t>：</w:t>
            </w:r>
          </w:p>
          <w:p w14:paraId="40D72AF1">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fldChar w:fldCharType="begin"/>
            </w:r>
            <w:r>
              <w:rPr>
                <w:rFonts w:eastAsiaTheme="minorEastAsia"/>
                <w:color w:val="000000" w:themeColor="text1"/>
                <w:szCs w:val="24"/>
                <w14:textFill>
                  <w14:solidFill>
                    <w14:schemeClr w14:val="tx1"/>
                  </w14:solidFill>
                </w14:textFill>
              </w:rPr>
              <w:instrText xml:space="preserve">= 1 \* GB3</w:instrText>
            </w:r>
            <w:r>
              <w:rPr>
                <w:rFonts w:eastAsiaTheme="minorEastAsia"/>
                <w:color w:val="000000" w:themeColor="text1"/>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①</w:t>
            </w:r>
            <w:r>
              <w:rPr>
                <w:rFonts w:eastAsiaTheme="minorEastAsia"/>
                <w:color w:val="000000" w:themeColor="text1"/>
                <w:szCs w:val="24"/>
                <w14:textFill>
                  <w14:solidFill>
                    <w14:schemeClr w14:val="tx1"/>
                  </w14:solidFill>
                </w14:textFill>
              </w:rPr>
              <w:fldChar w:fldCharType="end"/>
            </w:r>
            <w:r>
              <w:rPr>
                <w:rFonts w:eastAsiaTheme="minorEastAsia"/>
                <w:color w:val="000000" w:themeColor="text1"/>
                <w:szCs w:val="24"/>
                <w14:textFill>
                  <w14:solidFill>
                    <w14:schemeClr w14:val="tx1"/>
                  </w14:solidFill>
                </w14:textFill>
              </w:rPr>
              <w:t>汽车行驶速度应该小于10km/h，尽量减少起尘量；</w:t>
            </w:r>
          </w:p>
          <w:p w14:paraId="31DF81FD">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fldChar w:fldCharType="begin"/>
            </w:r>
            <w:r>
              <w:rPr>
                <w:rFonts w:eastAsiaTheme="minorEastAsia"/>
                <w:color w:val="000000" w:themeColor="text1"/>
                <w:szCs w:val="24"/>
                <w14:textFill>
                  <w14:solidFill>
                    <w14:schemeClr w14:val="tx1"/>
                  </w14:solidFill>
                </w14:textFill>
              </w:rPr>
              <w:instrText xml:space="preserve">= 2 \* GB3</w:instrText>
            </w:r>
            <w:r>
              <w:rPr>
                <w:rFonts w:eastAsiaTheme="minorEastAsia"/>
                <w:color w:val="000000" w:themeColor="text1"/>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②</w:t>
            </w:r>
            <w:r>
              <w:rPr>
                <w:rFonts w:eastAsiaTheme="minorEastAsia"/>
                <w:color w:val="000000" w:themeColor="text1"/>
                <w:szCs w:val="24"/>
                <w14:textFill>
                  <w14:solidFill>
                    <w14:schemeClr w14:val="tx1"/>
                  </w14:solidFill>
                </w14:textFill>
              </w:rPr>
              <w:fldChar w:fldCharType="end"/>
            </w:r>
            <w:r>
              <w:rPr>
                <w:rFonts w:eastAsiaTheme="minorEastAsia"/>
                <w:color w:val="000000" w:themeColor="text1"/>
                <w:szCs w:val="24"/>
                <w14:textFill>
                  <w14:solidFill>
                    <w14:schemeClr w14:val="tx1"/>
                  </w14:solidFill>
                </w14:textFill>
              </w:rPr>
              <w:t>对厂区内路面进行硬化处理；</w:t>
            </w:r>
          </w:p>
          <w:p w14:paraId="0407E002">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fldChar w:fldCharType="begin"/>
            </w:r>
            <w:r>
              <w:rPr>
                <w:rFonts w:eastAsiaTheme="minorEastAsia"/>
                <w:color w:val="000000" w:themeColor="text1"/>
                <w:szCs w:val="24"/>
                <w14:textFill>
                  <w14:solidFill>
                    <w14:schemeClr w14:val="tx1"/>
                  </w14:solidFill>
                </w14:textFill>
              </w:rPr>
              <w:instrText xml:space="preserve">= 3 \* GB3</w:instrText>
            </w:r>
            <w:r>
              <w:rPr>
                <w:rFonts w:eastAsiaTheme="minorEastAsia"/>
                <w:color w:val="000000" w:themeColor="text1"/>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③</w:t>
            </w:r>
            <w:r>
              <w:rPr>
                <w:rFonts w:eastAsiaTheme="minorEastAsia"/>
                <w:color w:val="000000" w:themeColor="text1"/>
                <w:szCs w:val="24"/>
                <w14:textFill>
                  <w14:solidFill>
                    <w14:schemeClr w14:val="tx1"/>
                  </w14:solidFill>
                </w14:textFill>
              </w:rPr>
              <w:fldChar w:fldCharType="end"/>
            </w:r>
            <w:r>
              <w:rPr>
                <w:rFonts w:eastAsiaTheme="minorEastAsia"/>
                <w:color w:val="000000" w:themeColor="text1"/>
                <w:szCs w:val="24"/>
                <w14:textFill>
                  <w14:solidFill>
                    <w14:schemeClr w14:val="tx1"/>
                  </w14:solidFill>
                </w14:textFill>
              </w:rPr>
              <w:t>加大厂区内绿化植物的种植，减少扬尘和尾气的扩散；</w:t>
            </w:r>
          </w:p>
          <w:p w14:paraId="103B7299">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fldChar w:fldCharType="begin"/>
            </w:r>
            <w:r>
              <w:rPr>
                <w:rFonts w:eastAsiaTheme="minorEastAsia"/>
                <w:color w:val="000000" w:themeColor="text1"/>
                <w:szCs w:val="24"/>
                <w14:textFill>
                  <w14:solidFill>
                    <w14:schemeClr w14:val="tx1"/>
                  </w14:solidFill>
                </w14:textFill>
              </w:rPr>
              <w:instrText xml:space="preserve">= 4 \* GB3</w:instrText>
            </w:r>
            <w:r>
              <w:rPr>
                <w:rFonts w:eastAsiaTheme="minorEastAsia"/>
                <w:color w:val="000000" w:themeColor="text1"/>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④</w:t>
            </w:r>
            <w:r>
              <w:rPr>
                <w:rFonts w:eastAsiaTheme="minorEastAsia"/>
                <w:color w:val="000000" w:themeColor="text1"/>
                <w:szCs w:val="24"/>
                <w14:textFill>
                  <w14:solidFill>
                    <w14:schemeClr w14:val="tx1"/>
                  </w14:solidFill>
                </w14:textFill>
              </w:rPr>
              <w:fldChar w:fldCharType="end"/>
            </w:r>
            <w:r>
              <w:rPr>
                <w:rFonts w:eastAsiaTheme="minorEastAsia"/>
                <w:color w:val="000000" w:themeColor="text1"/>
                <w:szCs w:val="24"/>
                <w14:textFill>
                  <w14:solidFill>
                    <w14:schemeClr w14:val="tx1"/>
                  </w14:solidFill>
                </w14:textFill>
              </w:rPr>
              <w:t>运输道路两侧设置固定式喷雾器若干，对厂区道路进行洒水抑尘；</w:t>
            </w:r>
          </w:p>
          <w:p w14:paraId="735DA698">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fldChar w:fldCharType="begin"/>
            </w:r>
            <w:r>
              <w:rPr>
                <w:rFonts w:eastAsiaTheme="minorEastAsia"/>
                <w:color w:val="000000" w:themeColor="text1"/>
                <w:szCs w:val="24"/>
                <w14:textFill>
                  <w14:solidFill>
                    <w14:schemeClr w14:val="tx1"/>
                  </w14:solidFill>
                </w14:textFill>
              </w:rPr>
              <w:instrText xml:space="preserve">= 5 \* GB3</w:instrText>
            </w:r>
            <w:r>
              <w:rPr>
                <w:rFonts w:eastAsiaTheme="minorEastAsia"/>
                <w:color w:val="000000" w:themeColor="text1"/>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⑤</w:t>
            </w:r>
            <w:r>
              <w:rPr>
                <w:rFonts w:eastAsiaTheme="minorEastAsia"/>
                <w:color w:val="000000" w:themeColor="text1"/>
                <w:szCs w:val="24"/>
                <w14:textFill>
                  <w14:solidFill>
                    <w14:schemeClr w14:val="tx1"/>
                  </w14:solidFill>
                </w14:textFill>
              </w:rPr>
              <w:fldChar w:fldCharType="end"/>
            </w:r>
            <w:r>
              <w:rPr>
                <w:rFonts w:eastAsiaTheme="minorEastAsia"/>
                <w:color w:val="000000" w:themeColor="text1"/>
                <w:szCs w:val="24"/>
                <w14:textFill>
                  <w14:solidFill>
                    <w14:schemeClr w14:val="tx1"/>
                  </w14:solidFill>
                </w14:textFill>
              </w:rPr>
              <w:t>定期清扫；</w:t>
            </w:r>
          </w:p>
          <w:p w14:paraId="0E552659">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fldChar w:fldCharType="begin"/>
            </w:r>
            <w:r>
              <w:rPr>
                <w:rFonts w:eastAsiaTheme="minorEastAsia"/>
                <w:color w:val="000000" w:themeColor="text1"/>
                <w:szCs w:val="24"/>
                <w14:textFill>
                  <w14:solidFill>
                    <w14:schemeClr w14:val="tx1"/>
                  </w14:solidFill>
                </w14:textFill>
              </w:rPr>
              <w:instrText xml:space="preserve">= 6 \* GB3</w:instrText>
            </w:r>
            <w:r>
              <w:rPr>
                <w:rFonts w:eastAsiaTheme="minorEastAsia"/>
                <w:color w:val="000000" w:themeColor="text1"/>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⑥</w:t>
            </w:r>
            <w:r>
              <w:rPr>
                <w:rFonts w:eastAsiaTheme="minorEastAsia"/>
                <w:color w:val="000000" w:themeColor="text1"/>
                <w:szCs w:val="24"/>
                <w14:textFill>
                  <w14:solidFill>
                    <w14:schemeClr w14:val="tx1"/>
                  </w14:solidFill>
                </w14:textFill>
              </w:rPr>
              <w:fldChar w:fldCharType="end"/>
            </w:r>
            <w:r>
              <w:rPr>
                <w:rFonts w:eastAsiaTheme="minorEastAsia"/>
                <w:color w:val="000000" w:themeColor="text1"/>
                <w:szCs w:val="24"/>
                <w14:textFill>
                  <w14:solidFill>
                    <w14:schemeClr w14:val="tx1"/>
                  </w14:solidFill>
                </w14:textFill>
              </w:rPr>
              <w:t>定期对车辆进行检修，确保车辆保持在良好的状态。</w:t>
            </w:r>
          </w:p>
          <w:p w14:paraId="1489522A">
            <w:pPr>
              <w:pStyle w:val="96"/>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在采取环评建议的环保措施后，可使扬尘减少90%左右，则预计汽车运输扬尘排放量0.0036t/a，运输扬尘对周围环境影响较小，属于无组织排放。</w:t>
            </w:r>
          </w:p>
          <w:p w14:paraId="5F4C9E8A">
            <w:pPr>
              <w:pStyle w:val="96"/>
              <w:ind w:firstLine="482"/>
              <w:rPr>
                <w:rFonts w:eastAsiaTheme="minorEastAsia"/>
                <w:color w:val="000000" w:themeColor="text1"/>
                <w:szCs w:val="24"/>
                <w14:textFill>
                  <w14:solidFill>
                    <w14:schemeClr w14:val="tx1"/>
                  </w14:solidFill>
                </w14:textFill>
              </w:rPr>
            </w:pPr>
            <w:r>
              <w:rPr>
                <w:rFonts w:eastAsiaTheme="minorEastAsia"/>
                <w:b/>
                <w:color w:val="000000" w:themeColor="text1"/>
                <w:szCs w:val="24"/>
                <w:u w:val="single"/>
                <w14:textFill>
                  <w14:solidFill>
                    <w14:schemeClr w14:val="tx1"/>
                  </w14:solidFill>
                </w14:textFill>
              </w:rPr>
              <w:t>环评建议</w:t>
            </w:r>
            <w:r>
              <w:rPr>
                <w:rFonts w:eastAsiaTheme="minorEastAsia"/>
                <w:color w:val="000000" w:themeColor="text1"/>
                <w:szCs w:val="24"/>
                <w14:textFill>
                  <w14:solidFill>
                    <w14:schemeClr w14:val="tx1"/>
                  </w14:solidFill>
                </w14:textFill>
              </w:rPr>
              <w:t>：产品运输车辆应合理化安排运输路线，尽可能避免交通扰民，运输时应合理安排运输时间，尽量错开车流量高峰期，应保持一定的行驶速度，不得超载超速行驶，运输车辆需用篷布覆盖，不得沿路遗洒，做到车辆出入不带泥土及扬尘，从而</w:t>
            </w:r>
            <w:r>
              <w:rPr>
                <w:rFonts w:hint="eastAsia" w:eastAsiaTheme="minorEastAsia"/>
                <w:color w:val="000000" w:themeColor="text1"/>
                <w:szCs w:val="24"/>
                <w:lang w:eastAsia="zh-CN"/>
                <w14:textFill>
                  <w14:solidFill>
                    <w14:schemeClr w14:val="tx1"/>
                  </w14:solidFill>
                </w14:textFill>
              </w:rPr>
              <w:t>防止</w:t>
            </w:r>
            <w:r>
              <w:rPr>
                <w:rFonts w:eastAsiaTheme="minorEastAsia"/>
                <w:color w:val="000000" w:themeColor="text1"/>
                <w:szCs w:val="24"/>
                <w14:textFill>
                  <w14:solidFill>
                    <w14:schemeClr w14:val="tx1"/>
                  </w14:solidFill>
                </w14:textFill>
              </w:rPr>
              <w:t>扬尘对区域大气环境及居民的影响。</w:t>
            </w:r>
          </w:p>
          <w:p w14:paraId="04FE7336">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（2）堆场扬尘</w:t>
            </w:r>
          </w:p>
          <w:p w14:paraId="4891F8AA">
            <w:pPr>
              <w:spacing w:line="360" w:lineRule="auto"/>
              <w:ind w:firstLine="454"/>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单位提供的资料，本项目设置1个建筑垃圾、碎石堆存区用于存放外购废建筑材料、碎石以及石灰块，最大暂存量均为200t，废弃建筑材料粒径一般在15~50cm之间、石子粒径一般在3-8cm之间，石灰块粒径在8~12cm之间，规格较大，且堆料场位于封闭厂房内，因此堆料场堆存过程基本无风力扬尘产生。</w:t>
            </w:r>
          </w:p>
          <w:p w14:paraId="08EB94A1">
            <w:pPr>
              <w:tabs>
                <w:tab w:val="left" w:pos="3780"/>
              </w:tabs>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（3）装卸粉尘</w:t>
            </w:r>
          </w:p>
          <w:p w14:paraId="751644B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原料装、卸过程中会产生少量粉尘，由于废弃建筑材料粒径较大。本项目参考《逸散性工业粉尘控制技术》，装卸料粉尘产生系数为0.01kg/t-卸料。本项目年用废建筑材料13500t、碎石4500t，则原料储存装卸过程无组织粉尘年产生量为0.18t/a，建筑垃圾、碎石以及石灰块卸料时间按500h计，则该部分粉尘的产生速率为0.36kg/h。</w:t>
            </w:r>
          </w:p>
          <w:p w14:paraId="07E78E04">
            <w:pPr>
              <w:pStyle w:val="2"/>
              <w:spacing w:after="0" w:line="360" w:lineRule="auto"/>
              <w:ind w:left="0" w:leftChars="0" w:firstLine="482"/>
              <w:rPr>
                <w:b/>
                <w:bCs/>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治理措施</w:t>
            </w:r>
            <w:r>
              <w:rPr>
                <w:rFonts w:eastAsiaTheme="minorEastAsia"/>
                <w:color w:val="000000" w:themeColor="text1"/>
                <w:sz w:val="24"/>
                <w14:textFill>
                  <w14:solidFill>
                    <w14:schemeClr w14:val="tx1"/>
                  </w14:solidFill>
                </w14:textFill>
              </w:rPr>
              <w:t>：为控制装卸粉尘，要求在装卸过程中采用湿法作业，可有效抑制扬尘产生，同时加强产品装卸操作管理，装卸过程中严禁抛撒，轻装轻卸。</w:t>
            </w:r>
          </w:p>
          <w:p w14:paraId="1E9B9355">
            <w:pPr>
              <w:tabs>
                <w:tab w:val="left" w:pos="3780"/>
              </w:tabs>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采取上述措施后，粉尘量可减少约90%，则装卸粉尘排放量为0.018t/a，属于无组织排放。</w:t>
            </w:r>
          </w:p>
          <w:p w14:paraId="4C67931F">
            <w:pPr>
              <w:pStyle w:val="7"/>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r>
              <w:rPr>
                <w:rFonts w:ascii="Times New Roman" w:hAnsi="Times New Roman" w:cs="Times New Roman" w:eastAsiaTheme="minorEastAsia"/>
                <w:color w:val="000000" w:themeColor="text1"/>
                <w14:textFill>
                  <w14:solidFill>
                    <w14:schemeClr w14:val="tx1"/>
                  </w14:solidFill>
                </w14:textFill>
              </w:rPr>
              <w:t>项目生产线粉尘产生情况及治理设施</w:t>
            </w:r>
          </w:p>
          <w:p w14:paraId="4006DBFF">
            <w:pPr>
              <w:pStyle w:val="2"/>
              <w:spacing w:after="0" w:line="360" w:lineRule="auto"/>
              <w:ind w:left="0" w:leftChars="0" w:firstLine="482"/>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1.21粉尘产生情况</w:t>
            </w:r>
          </w:p>
          <w:p w14:paraId="5231AFA9">
            <w:pPr>
              <w:pStyle w:val="2"/>
              <w:spacing w:after="0" w:line="360" w:lineRule="auto"/>
              <w:ind w:left="0" w:leftChars="0" w:firstLine="482"/>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（1）项目生产线水泥、干渣，石灰粉等筒仓加料粉尘</w:t>
            </w:r>
          </w:p>
          <w:p w14:paraId="69BB852D">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蒸压砖生产线水泥、干渣等粉剂原辅料通过运输车与相应料筒管道封闭直连，以压缩空气吹入形式进入相应料筒，然后采取密闭螺旋输送机进行计量给料。气泵向料筒打料时仓顶呼吸口会产生粉尘。根据《空气污染</w:t>
            </w:r>
            <w:r>
              <w:rPr>
                <w:rFonts w:hint="eastAsia" w:eastAsiaTheme="minorEastAsia"/>
                <w:color w:val="000000" w:themeColor="text1"/>
                <w:sz w:val="24"/>
                <w:lang w:val="en-US" w:eastAsia="zh-CN"/>
                <w14:textFill>
                  <w14:solidFill>
                    <w14:schemeClr w14:val="tx1"/>
                  </w14:solidFill>
                </w14:textFill>
              </w:rPr>
              <w:t>物</w:t>
            </w:r>
            <w:r>
              <w:rPr>
                <w:rFonts w:eastAsiaTheme="minorEastAsia"/>
                <w:color w:val="000000" w:themeColor="text1"/>
                <w:sz w:val="24"/>
                <w14:textFill>
                  <w14:solidFill>
                    <w14:schemeClr w14:val="tx1"/>
                  </w14:solidFill>
                </w14:textFill>
              </w:rPr>
              <w:t>排放和控制手册》（美国环保局编著，张良璧等译，中国环境科学出版社）中的“十混凝土配料”推荐的混凝土配料工艺潜在的逸散排放因子的排放等级，并出于保守考虑，选取0.12kg/t物料核算水泥、干渣、粉煤灰、石灰进入筒仓产生的粉尘。本项目水泥干渣使用量为101330t/a，则粉尘产生量为</w:t>
            </w:r>
            <w:r>
              <w:rPr>
                <w:color w:val="000000" w:themeColor="text1"/>
                <w:sz w:val="22"/>
                <w:szCs w:val="22"/>
                <w14:textFill>
                  <w14:solidFill>
                    <w14:schemeClr w14:val="tx1"/>
                  </w14:solidFill>
                </w14:textFill>
              </w:rPr>
              <w:t>12.1596</w:t>
            </w:r>
            <w:r>
              <w:rPr>
                <w:rFonts w:eastAsiaTheme="minorEastAsia"/>
                <w:color w:val="000000" w:themeColor="text1"/>
                <w:sz w:val="24"/>
                <w14:textFill>
                  <w14:solidFill>
                    <w14:schemeClr w14:val="tx1"/>
                  </w14:solidFill>
                </w14:textFill>
              </w:rPr>
              <w:t>t/a。</w:t>
            </w:r>
          </w:p>
          <w:p w14:paraId="6A969D63">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项目筒仓加料时间以载重（100t）60min计，经计算水泥仓、干渣仓加料时间共计为1014h/a，筒仓粉尘产生速率为12kg/h。</w:t>
            </w:r>
          </w:p>
          <w:p w14:paraId="7D8083B7">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（2）生产线配料搅拌粉尘</w:t>
            </w:r>
          </w:p>
          <w:p w14:paraId="3E709819">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自动计量、配料后的各种原材料输送至搅拌机混合搅拌，搅拌机自动盖料，密封搅拌、湿法作业。整个搅拌站主机和粉料进料筒仓均设置在封闭的车间内，项目蒸压砖生产线在配料过程中主要将水泥、石灰、水进行均匀混合，搅拌，粉尘产生量</w:t>
            </w:r>
            <w:r>
              <w:rPr>
                <w:rFonts w:eastAsiaTheme="minorEastAsia"/>
                <w:color w:val="000000" w:themeColor="text1"/>
                <w:kern w:val="0"/>
                <w:sz w:val="24"/>
                <w14:textFill>
                  <w14:solidFill>
                    <w14:schemeClr w14:val="tx1"/>
                  </w14:solidFill>
                </w14:textFill>
              </w:rPr>
              <w:t>参考《逸散性工业粉尘控制技术》中“表22-1 混凝土分批搅拌厂的逸散粉尘排放因子”中“装水泥、粒料入搅拌机”产污系数0.01kg/t 物料</w:t>
            </w:r>
            <w:r>
              <w:rPr>
                <w:rFonts w:eastAsiaTheme="minorEastAsia"/>
                <w:color w:val="000000" w:themeColor="text1"/>
                <w:sz w:val="24"/>
                <w14:textFill>
                  <w14:solidFill>
                    <w14:schemeClr w14:val="tx1"/>
                  </w14:solidFill>
                </w14:textFill>
              </w:rPr>
              <w:t>，项目粉料总用量为119330t/a，则粉尘的产生量为1.1933t/a，配料搅拌工序时间以900h计，则配料搅拌粉尘产生速率为1.3259kg/h。</w:t>
            </w:r>
          </w:p>
          <w:bookmarkEnd w:id="13"/>
          <w:bookmarkEnd w:id="14"/>
          <w:p w14:paraId="6D3ECFA0">
            <w:pPr>
              <w:pStyle w:val="2"/>
              <w:spacing w:after="0" w:line="360" w:lineRule="auto"/>
              <w:ind w:left="0" w:leftChars="0" w:firstLine="482"/>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1.22项目</w:t>
            </w:r>
            <w:r>
              <w:rPr>
                <w:rFonts w:eastAsiaTheme="minorEastAsia"/>
                <w:b/>
                <w:bCs/>
                <w:color w:val="000000" w:themeColor="text1"/>
                <w:sz w:val="24"/>
                <w14:textFill>
                  <w14:solidFill>
                    <w14:schemeClr w14:val="tx1"/>
                  </w14:solidFill>
                </w14:textFill>
              </w:rPr>
              <w:t>筒仓粉尘，搅拌粉尘等</w:t>
            </w:r>
            <w:r>
              <w:rPr>
                <w:b/>
                <w:bCs/>
                <w:color w:val="000000" w:themeColor="text1"/>
                <w:sz w:val="24"/>
                <w:szCs w:val="32"/>
                <w14:textFill>
                  <w14:solidFill>
                    <w14:schemeClr w14:val="tx1"/>
                  </w14:solidFill>
                </w14:textFill>
              </w:rPr>
              <w:t>治理措施</w:t>
            </w:r>
          </w:p>
          <w:p w14:paraId="315C156E">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配料机设集气装置将配料搅拌产生的粉尘送入布袋除尘器处理，水泥、干渣筒仓等仓顶自带呼吸阀，呼吸阀上连接集气装置，打料时产生的粉尘经收集后并入配料机旁的布袋除尘器（风量为10000</w:t>
            </w:r>
            <w:r>
              <w:rPr>
                <w:rFonts w:eastAsiaTheme="minorEastAsia"/>
                <w:color w:val="000000" w:themeColor="text1"/>
                <w:kern w:val="2"/>
                <w:sz w:val="24"/>
                <w14:textFill>
                  <w14:solidFill>
                    <w14:schemeClr w14:val="tx1"/>
                  </w14:solidFill>
                </w14:textFill>
              </w:rPr>
              <w:t>m</w:t>
            </w:r>
            <w:r>
              <w:rPr>
                <w:rFonts w:eastAsiaTheme="minorEastAsia"/>
                <w:color w:val="000000" w:themeColor="text1"/>
                <w:kern w:val="2"/>
                <w:sz w:val="24"/>
                <w:vertAlign w:val="superscript"/>
                <w14:textFill>
                  <w14:solidFill>
                    <w14:schemeClr w14:val="tx1"/>
                  </w14:solidFill>
                </w14:textFill>
              </w:rPr>
              <w:t>3</w:t>
            </w:r>
            <w:r>
              <w:rPr>
                <w:rFonts w:eastAsiaTheme="minorEastAsia"/>
                <w:color w:val="000000" w:themeColor="text1"/>
                <w:kern w:val="2"/>
                <w:sz w:val="24"/>
                <w14:textFill>
                  <w14:solidFill>
                    <w14:schemeClr w14:val="tx1"/>
                  </w14:solidFill>
                </w14:textFill>
              </w:rPr>
              <w:t>/h</w:t>
            </w:r>
            <w:r>
              <w:rPr>
                <w:rFonts w:eastAsiaTheme="minorEastAsia"/>
                <w:color w:val="000000" w:themeColor="text1"/>
                <w:sz w:val="24"/>
                <w14:textFill>
                  <w14:solidFill>
                    <w14:schemeClr w14:val="tx1"/>
                  </w14:solidFill>
                </w14:textFill>
              </w:rPr>
              <w:t>）同配料搅拌粉尘一起处理后由15m排气筒（DA001）排放，罐体为密闭式（收集效率按不利原则取99%），脉冲布袋除尘器处理效率按99.9%计算，经计算，排气筒DA00吸粉尘排放量为0.013t/a（0.013kg/h），其排放浓度为1.3037mg/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，满足《水泥工业大气污染物排放标准》（GB4915-2013）散装水泥及水泥制品生产标准限值10 mg/m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w:t>
            </w:r>
          </w:p>
          <w:p w14:paraId="465BE754">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1.3项目锅炉废气产生情况及治理设施</w:t>
            </w:r>
          </w:p>
          <w:p w14:paraId="192FFF4C">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在厂区内设置天然气蒸汽锅炉对产品蒸汽养护供汽。天然气消耗量约60万m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a，全年连续生产，年运行300天，每天8h。天然气燃烧废气量按《全国第二次污染源普查产排污系数手册》（试用版）相关内容计算；烟尘取《环境保护使用数据手册》中的产污系数。天然气属于清洁燃料，燃烧废气经国内领先的低氮燃烧器处理后经15m排气筒直排。本项目天然气燃烧废气产生情况见表4-1。</w:t>
            </w:r>
          </w:p>
          <w:p w14:paraId="13C9C9F2">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表4-1天然气燃烧废气产生情况表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597"/>
              <w:gridCol w:w="1702"/>
              <w:gridCol w:w="1577"/>
              <w:gridCol w:w="2781"/>
            </w:tblGrid>
            <w:tr w14:paraId="2197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36" w:type="pct"/>
                  <w:vMerge w:val="restart"/>
                  <w:vAlign w:val="center"/>
                </w:tcPr>
                <w:p w14:paraId="1B3B0260">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项目</w:t>
                  </w:r>
                </w:p>
              </w:tc>
              <w:tc>
                <w:tcPr>
                  <w:tcW w:w="910" w:type="pct"/>
                  <w:vMerge w:val="restart"/>
                  <w:vAlign w:val="center"/>
                </w:tcPr>
                <w:p w14:paraId="572B6719">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废气量</w:t>
                  </w:r>
                </w:p>
              </w:tc>
              <w:tc>
                <w:tcPr>
                  <w:tcW w:w="3453" w:type="pct"/>
                  <w:gridSpan w:val="3"/>
                  <w:vAlign w:val="center"/>
                </w:tcPr>
                <w:p w14:paraId="32A0A360">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污染物名称</w:t>
                  </w:r>
                </w:p>
              </w:tc>
            </w:tr>
            <w:tr w14:paraId="29A2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pct"/>
                  <w:vMerge w:val="continue"/>
                  <w:vAlign w:val="center"/>
                </w:tcPr>
                <w:p w14:paraId="3278C0E4">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p>
              </w:tc>
              <w:tc>
                <w:tcPr>
                  <w:tcW w:w="910" w:type="pct"/>
                  <w:vMerge w:val="continue"/>
                  <w:vAlign w:val="center"/>
                </w:tcPr>
                <w:p w14:paraId="6CE19941">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p>
              </w:tc>
              <w:tc>
                <w:tcPr>
                  <w:tcW w:w="970" w:type="pct"/>
                  <w:vAlign w:val="center"/>
                </w:tcPr>
                <w:p w14:paraId="4856DAD3">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烟尘</w:t>
                  </w:r>
                </w:p>
              </w:tc>
              <w:tc>
                <w:tcPr>
                  <w:tcW w:w="899" w:type="pct"/>
                  <w:vAlign w:val="center"/>
                </w:tcPr>
                <w:p w14:paraId="6A7B2AF1">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SO</w:t>
                  </w:r>
                  <w:r>
                    <w:rPr>
                      <w:rFonts w:ascii="Times New Roman" w:eastAsiaTheme="minorEastAsia"/>
                      <w:b/>
                      <w:color w:val="000000" w:themeColor="text1"/>
                      <w:sz w:val="24"/>
                      <w:szCs w:val="24"/>
                      <w:vertAlign w:val="subscript"/>
                      <w14:textFill>
                        <w14:solidFill>
                          <w14:schemeClr w14:val="tx1"/>
                        </w14:solidFill>
                      </w14:textFill>
                    </w:rPr>
                    <w:t>2</w:t>
                  </w:r>
                </w:p>
              </w:tc>
              <w:tc>
                <w:tcPr>
                  <w:tcW w:w="1585" w:type="pct"/>
                  <w:vAlign w:val="center"/>
                </w:tcPr>
                <w:p w14:paraId="6D40931E">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NOx（低氮燃烧-国内领先）</w:t>
                  </w:r>
                </w:p>
              </w:tc>
            </w:tr>
            <w:tr w14:paraId="620D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Align w:val="center"/>
                </w:tcPr>
                <w:p w14:paraId="164A308B">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产污系数</w:t>
                  </w:r>
                </w:p>
              </w:tc>
              <w:tc>
                <w:tcPr>
                  <w:tcW w:w="910" w:type="pct"/>
                  <w:vAlign w:val="center"/>
                </w:tcPr>
                <w:p w14:paraId="2A46E6B4">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107753m</w:t>
                  </w:r>
                  <w:r>
                    <w:rPr>
                      <w:rFonts w:ascii="Times New Roman" w:eastAsiaTheme="minorEastAsia"/>
                      <w:color w:val="000000" w:themeColor="text1"/>
                      <w:sz w:val="24"/>
                      <w:szCs w:val="24"/>
                      <w:vertAlign w:val="superscript"/>
                      <w14:textFill>
                        <w14:solidFill>
                          <w14:schemeClr w14:val="tx1"/>
                        </w14:solidFill>
                      </w14:textFill>
                    </w:rPr>
                    <w:t>3</w:t>
                  </w:r>
                  <w:r>
                    <w:rPr>
                      <w:rFonts w:ascii="Times New Roman" w:eastAsiaTheme="minorEastAsia"/>
                      <w:color w:val="000000" w:themeColor="text1"/>
                      <w:sz w:val="24"/>
                      <w:szCs w:val="24"/>
                      <w14:textFill>
                        <w14:solidFill>
                          <w14:schemeClr w14:val="tx1"/>
                        </w14:solidFill>
                      </w14:textFill>
                    </w:rPr>
                    <w:t>/ 万m</w:t>
                  </w:r>
                  <w:r>
                    <w:rPr>
                      <w:rFonts w:ascii="Times New Roman" w:eastAsiaTheme="minorEastAsia"/>
                      <w:color w:val="000000" w:themeColor="text1"/>
                      <w:sz w:val="24"/>
                      <w:szCs w:val="24"/>
                      <w:vertAlign w:val="superscript"/>
                      <w14:textFill>
                        <w14:solidFill>
                          <w14:schemeClr w14:val="tx1"/>
                        </w14:solidFill>
                      </w14:textFill>
                    </w:rPr>
                    <w:t>3</w:t>
                  </w:r>
                  <w:r>
                    <w:rPr>
                      <w:rFonts w:ascii="Times New Roman" w:eastAsiaTheme="minorEastAsia"/>
                      <w:color w:val="000000" w:themeColor="text1"/>
                      <w:sz w:val="24"/>
                      <w:szCs w:val="24"/>
                      <w14:textFill>
                        <w14:solidFill>
                          <w14:schemeClr w14:val="tx1"/>
                        </w14:solidFill>
                      </w14:textFill>
                    </w:rPr>
                    <w:t>-原料</w:t>
                  </w:r>
                </w:p>
              </w:tc>
              <w:tc>
                <w:tcPr>
                  <w:tcW w:w="970" w:type="pct"/>
                  <w:vAlign w:val="center"/>
                </w:tcPr>
                <w:p w14:paraId="77CF6C01">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1.2kg/万m</w:t>
                  </w:r>
                  <w:r>
                    <w:rPr>
                      <w:rFonts w:ascii="Times New Roman" w:eastAsiaTheme="minorEastAsia"/>
                      <w:color w:val="000000" w:themeColor="text1"/>
                      <w:sz w:val="24"/>
                      <w:szCs w:val="24"/>
                      <w:vertAlign w:val="superscript"/>
                      <w14:textFill>
                        <w14:solidFill>
                          <w14:schemeClr w14:val="tx1"/>
                        </w14:solidFill>
                      </w14:textFill>
                    </w:rPr>
                    <w:t>3</w:t>
                  </w:r>
                  <w:r>
                    <w:rPr>
                      <w:rFonts w:ascii="Times New Roman" w:eastAsiaTheme="minorEastAsia"/>
                      <w:color w:val="000000" w:themeColor="text1"/>
                      <w:sz w:val="24"/>
                      <w:szCs w:val="24"/>
                      <w14:textFill>
                        <w14:solidFill>
                          <w14:schemeClr w14:val="tx1"/>
                        </w14:solidFill>
                      </w14:textFill>
                    </w:rPr>
                    <w:t>-原料</w:t>
                  </w:r>
                </w:p>
              </w:tc>
              <w:tc>
                <w:tcPr>
                  <w:tcW w:w="899" w:type="pct"/>
                  <w:vAlign w:val="center"/>
                </w:tcPr>
                <w:p w14:paraId="13368F94">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0.02Skg/万m</w:t>
                  </w:r>
                  <w:r>
                    <w:rPr>
                      <w:rFonts w:ascii="Times New Roman" w:eastAsiaTheme="minorEastAsia"/>
                      <w:color w:val="000000" w:themeColor="text1"/>
                      <w:sz w:val="24"/>
                      <w:szCs w:val="24"/>
                      <w:vertAlign w:val="superscript"/>
                      <w14:textFill>
                        <w14:solidFill>
                          <w14:schemeClr w14:val="tx1"/>
                        </w14:solidFill>
                      </w14:textFill>
                    </w:rPr>
                    <w:t>3</w:t>
                  </w:r>
                  <w:r>
                    <w:rPr>
                      <w:rFonts w:ascii="Times New Roman" w:eastAsiaTheme="minorEastAsia"/>
                      <w:color w:val="000000" w:themeColor="text1"/>
                      <w:sz w:val="24"/>
                      <w:szCs w:val="24"/>
                      <w14:textFill>
                        <w14:solidFill>
                          <w14:schemeClr w14:val="tx1"/>
                        </w14:solidFill>
                      </w14:textFill>
                    </w:rPr>
                    <w:t>-原料</w:t>
                  </w:r>
                </w:p>
              </w:tc>
              <w:tc>
                <w:tcPr>
                  <w:tcW w:w="1585" w:type="pct"/>
                  <w:vAlign w:val="center"/>
                </w:tcPr>
                <w:p w14:paraId="138B8455">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6.97kg/万m</w:t>
                  </w:r>
                  <w:r>
                    <w:rPr>
                      <w:rFonts w:ascii="Times New Roman" w:eastAsiaTheme="minorEastAsia"/>
                      <w:color w:val="000000" w:themeColor="text1"/>
                      <w:sz w:val="24"/>
                      <w:szCs w:val="24"/>
                      <w:vertAlign w:val="superscript"/>
                      <w14:textFill>
                        <w14:solidFill>
                          <w14:schemeClr w14:val="tx1"/>
                        </w14:solidFill>
                      </w14:textFill>
                    </w:rPr>
                    <w:t>3</w:t>
                  </w:r>
                  <w:r>
                    <w:rPr>
                      <w:rFonts w:ascii="Times New Roman" w:eastAsiaTheme="minorEastAsia"/>
                      <w:color w:val="000000" w:themeColor="text1"/>
                      <w:sz w:val="24"/>
                      <w:szCs w:val="24"/>
                      <w14:textFill>
                        <w14:solidFill>
                          <w14:schemeClr w14:val="tx1"/>
                        </w14:solidFill>
                      </w14:textFill>
                    </w:rPr>
                    <w:t>-原料</w:t>
                  </w:r>
                </w:p>
              </w:tc>
            </w:tr>
            <w:tr w14:paraId="3D74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Align w:val="center"/>
                </w:tcPr>
                <w:p w14:paraId="53B75F16">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产生量</w:t>
                  </w:r>
                </w:p>
              </w:tc>
              <w:tc>
                <w:tcPr>
                  <w:tcW w:w="910" w:type="pct"/>
                  <w:vAlign w:val="center"/>
                </w:tcPr>
                <w:p w14:paraId="561D4BF8">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646.518万m</w:t>
                  </w:r>
                  <w:r>
                    <w:rPr>
                      <w:rFonts w:ascii="Times New Roman" w:eastAsiaTheme="minorEastAsia"/>
                      <w:color w:val="000000" w:themeColor="text1"/>
                      <w:sz w:val="24"/>
                      <w:szCs w:val="24"/>
                      <w:vertAlign w:val="superscript"/>
                      <w14:textFill>
                        <w14:solidFill>
                          <w14:schemeClr w14:val="tx1"/>
                        </w14:solidFill>
                      </w14:textFill>
                    </w:rPr>
                    <w:t>3</w:t>
                  </w:r>
                  <w:r>
                    <w:rPr>
                      <w:rFonts w:ascii="Times New Roman" w:eastAsiaTheme="minorEastAsia"/>
                      <w:color w:val="000000" w:themeColor="text1"/>
                      <w:sz w:val="24"/>
                      <w:szCs w:val="24"/>
                      <w14:textFill>
                        <w14:solidFill>
                          <w14:schemeClr w14:val="tx1"/>
                        </w14:solidFill>
                      </w14:textFill>
                    </w:rPr>
                    <w:t>/a</w:t>
                  </w:r>
                </w:p>
              </w:tc>
              <w:tc>
                <w:tcPr>
                  <w:tcW w:w="970" w:type="pct"/>
                  <w:vAlign w:val="center"/>
                </w:tcPr>
                <w:p w14:paraId="7C8AA7CC">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0.072t/a</w:t>
                  </w:r>
                </w:p>
              </w:tc>
              <w:tc>
                <w:tcPr>
                  <w:tcW w:w="899" w:type="pct"/>
                  <w:vAlign w:val="center"/>
                </w:tcPr>
                <w:p w14:paraId="2D45A127">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0.24t/a</w:t>
                  </w:r>
                </w:p>
              </w:tc>
              <w:tc>
                <w:tcPr>
                  <w:tcW w:w="1585" w:type="pct"/>
                  <w:vAlign w:val="center"/>
                </w:tcPr>
                <w:p w14:paraId="3614B45E">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0.42t/a</w:t>
                  </w:r>
                </w:p>
              </w:tc>
            </w:tr>
            <w:tr w14:paraId="4BA6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Align w:val="center"/>
                </w:tcPr>
                <w:p w14:paraId="0934C1AA">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产生速率</w:t>
                  </w:r>
                </w:p>
              </w:tc>
              <w:tc>
                <w:tcPr>
                  <w:tcW w:w="910" w:type="pct"/>
                  <w:vAlign w:val="center"/>
                </w:tcPr>
                <w:p w14:paraId="17D4F093">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w:t>
                  </w:r>
                </w:p>
              </w:tc>
              <w:tc>
                <w:tcPr>
                  <w:tcW w:w="970" w:type="pct"/>
                  <w:vAlign w:val="center"/>
                </w:tcPr>
                <w:p w14:paraId="682F59EF">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0.01</w:t>
                  </w:r>
                  <w:r>
                    <w:rPr>
                      <w:rFonts w:ascii="Times New Roman" w:eastAsiaTheme="minorEastAsia"/>
                      <w:color w:val="000000" w:themeColor="text1"/>
                      <w:kern w:val="2"/>
                      <w:sz w:val="24"/>
                      <w:szCs w:val="24"/>
                      <w14:textFill>
                        <w14:solidFill>
                          <w14:schemeClr w14:val="tx1"/>
                        </w14:solidFill>
                      </w14:textFill>
                    </w:rPr>
                    <w:t>kg/h</w:t>
                  </w:r>
                </w:p>
              </w:tc>
              <w:tc>
                <w:tcPr>
                  <w:tcW w:w="899" w:type="pct"/>
                  <w:vAlign w:val="center"/>
                </w:tcPr>
                <w:p w14:paraId="0E75CBF6">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0.0333</w:t>
                  </w:r>
                  <w:r>
                    <w:rPr>
                      <w:rFonts w:ascii="Times New Roman" w:eastAsiaTheme="minorEastAsia"/>
                      <w:color w:val="000000" w:themeColor="text1"/>
                      <w:kern w:val="2"/>
                      <w:sz w:val="24"/>
                      <w:szCs w:val="24"/>
                      <w14:textFill>
                        <w14:solidFill>
                          <w14:schemeClr w14:val="tx1"/>
                        </w14:solidFill>
                      </w14:textFill>
                    </w:rPr>
                    <w:t>kg/h</w:t>
                  </w:r>
                </w:p>
              </w:tc>
              <w:tc>
                <w:tcPr>
                  <w:tcW w:w="1585" w:type="pct"/>
                  <w:vAlign w:val="center"/>
                </w:tcPr>
                <w:p w14:paraId="35AA7953">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0.174</w:t>
                  </w:r>
                  <w:r>
                    <w:rPr>
                      <w:rFonts w:ascii="Times New Roman" w:eastAsiaTheme="minorEastAsia"/>
                      <w:color w:val="000000" w:themeColor="text1"/>
                      <w:kern w:val="2"/>
                      <w:sz w:val="24"/>
                      <w:szCs w:val="24"/>
                      <w14:textFill>
                        <w14:solidFill>
                          <w14:schemeClr w14:val="tx1"/>
                        </w14:solidFill>
                      </w14:textFill>
                    </w:rPr>
                    <w:t>kg/h</w:t>
                  </w:r>
                </w:p>
              </w:tc>
            </w:tr>
            <w:tr w14:paraId="3E74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pct"/>
                  <w:vAlign w:val="center"/>
                </w:tcPr>
                <w:p w14:paraId="24120EF5">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产生浓度</w:t>
                  </w:r>
                </w:p>
              </w:tc>
              <w:tc>
                <w:tcPr>
                  <w:tcW w:w="910" w:type="pct"/>
                  <w:vAlign w:val="center"/>
                </w:tcPr>
                <w:p w14:paraId="58419A9C">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w:t>
                  </w:r>
                </w:p>
              </w:tc>
              <w:tc>
                <w:tcPr>
                  <w:tcW w:w="970" w:type="pct"/>
                  <w:vAlign w:val="center"/>
                </w:tcPr>
                <w:p w14:paraId="341DE42B">
                  <w:pPr>
                    <w:pStyle w:val="46"/>
                    <w:spacing w:beforeLines="0" w:afterLines="0" w:line="240" w:lineRule="auto"/>
                    <w:jc w:val="both"/>
                    <w:rPr>
                      <w:rFonts w:ascii="Times New Roman" w:eastAsiaTheme="minorEastAsia"/>
                      <w:bCs/>
                      <w:iCs/>
                      <w:snapToGrid w:val="0"/>
                      <w:color w:val="000000" w:themeColor="text1"/>
                      <w:spacing w:val="-4"/>
                      <w:sz w:val="24"/>
                      <w:szCs w:val="24"/>
                      <w:vertAlign w:val="superscript"/>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11.13mg/m</w:t>
                  </w:r>
                  <w:r>
                    <w:rPr>
                      <w:rFonts w:ascii="Times New Roman" w:eastAsiaTheme="minorEastAsia"/>
                      <w:color w:val="000000" w:themeColor="text1"/>
                      <w:sz w:val="24"/>
                      <w:szCs w:val="24"/>
                      <w:vertAlign w:val="superscript"/>
                      <w14:textFill>
                        <w14:solidFill>
                          <w14:schemeClr w14:val="tx1"/>
                        </w14:solidFill>
                      </w14:textFill>
                    </w:rPr>
                    <w:t>3</w:t>
                  </w:r>
                </w:p>
              </w:tc>
              <w:tc>
                <w:tcPr>
                  <w:tcW w:w="899" w:type="pct"/>
                  <w:vAlign w:val="center"/>
                </w:tcPr>
                <w:p w14:paraId="2A46DC14">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37.12mg/m</w:t>
                  </w:r>
                  <w:r>
                    <w:rPr>
                      <w:rFonts w:ascii="Times New Roman" w:eastAsiaTheme="minorEastAsia"/>
                      <w:color w:val="000000" w:themeColor="text1"/>
                      <w:sz w:val="24"/>
                      <w:szCs w:val="24"/>
                      <w:vertAlign w:val="superscript"/>
                      <w14:textFill>
                        <w14:solidFill>
                          <w14:schemeClr w14:val="tx1"/>
                        </w14:solidFill>
                      </w14:textFill>
                    </w:rPr>
                    <w:t>3</w:t>
                  </w:r>
                </w:p>
              </w:tc>
              <w:tc>
                <w:tcPr>
                  <w:tcW w:w="1585" w:type="pct"/>
                  <w:vAlign w:val="center"/>
                </w:tcPr>
                <w:p w14:paraId="14B89B4F">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64.68mg/m</w:t>
                  </w:r>
                  <w:r>
                    <w:rPr>
                      <w:rFonts w:ascii="Times New Roman" w:eastAsiaTheme="minorEastAsia"/>
                      <w:color w:val="000000" w:themeColor="text1"/>
                      <w:sz w:val="24"/>
                      <w:szCs w:val="24"/>
                      <w:vertAlign w:val="superscript"/>
                      <w14:textFill>
                        <w14:solidFill>
                          <w14:schemeClr w14:val="tx1"/>
                        </w14:solidFill>
                      </w14:textFill>
                    </w:rPr>
                    <w:t>3</w:t>
                  </w:r>
                </w:p>
              </w:tc>
            </w:tr>
          </w:tbl>
          <w:p w14:paraId="6E991E31">
            <w:pPr>
              <w:spacing w:before="120" w:beforeLines="50"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1.4项目废气排放情况</w:t>
            </w:r>
          </w:p>
          <w:p w14:paraId="36D82577">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本项目粉尘产生与排放情况见下表：</w:t>
            </w:r>
          </w:p>
          <w:p w14:paraId="0A341BF1">
            <w:pPr>
              <w:adjustRightInd w:val="0"/>
              <w:snapToGrid w:val="0"/>
              <w:spacing w:line="360" w:lineRule="auto"/>
              <w:ind w:firstLine="482" w:firstLineChars="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表4-2 项目正常工况下生产粉尘排放一览表</w:t>
            </w:r>
          </w:p>
          <w:tbl>
            <w:tblPr>
              <w:tblStyle w:val="25"/>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30"/>
              <w:gridCol w:w="1009"/>
              <w:gridCol w:w="1330"/>
              <w:gridCol w:w="704"/>
              <w:gridCol w:w="770"/>
              <w:gridCol w:w="9"/>
              <w:gridCol w:w="863"/>
              <w:gridCol w:w="9"/>
              <w:gridCol w:w="1200"/>
              <w:gridCol w:w="9"/>
              <w:gridCol w:w="1212"/>
              <w:gridCol w:w="9"/>
            </w:tblGrid>
            <w:tr w14:paraId="7B44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1163" w:hRule="atLeast"/>
                <w:jc w:val="center"/>
              </w:trPr>
              <w:tc>
                <w:tcPr>
                  <w:tcW w:w="410" w:type="pct"/>
                  <w:vAlign w:val="center"/>
                </w:tcPr>
                <w:p w14:paraId="2EDE02F1">
                  <w:pPr>
                    <w:rPr>
                      <w:b/>
                      <w:bCs/>
                      <w:color w:val="000000" w:themeColor="text1"/>
                      <w14:textFill>
                        <w14:solidFill>
                          <w14:schemeClr w14:val="tx1"/>
                        </w14:solidFill>
                      </w14:textFill>
                    </w:rPr>
                  </w:pPr>
                  <w:r>
                    <w:rPr>
                      <w:b/>
                      <w:bCs/>
                      <w:color w:val="000000" w:themeColor="text1"/>
                      <w14:textFill>
                        <w14:solidFill>
                          <w14:schemeClr w14:val="tx1"/>
                        </w14:solidFill>
                      </w14:textFill>
                    </w:rPr>
                    <w:t>产污</w:t>
                  </w:r>
                </w:p>
                <w:p w14:paraId="1BCEB7D5">
                  <w:pPr>
                    <w:rPr>
                      <w:b/>
                      <w:bCs/>
                      <w:color w:val="000000" w:themeColor="text1"/>
                      <w14:textFill>
                        <w14:solidFill>
                          <w14:schemeClr w14:val="tx1"/>
                        </w14:solidFill>
                      </w14:textFill>
                    </w:rPr>
                  </w:pPr>
                  <w:r>
                    <w:rPr>
                      <w:b/>
                      <w:bCs/>
                      <w:color w:val="000000" w:themeColor="text1"/>
                      <w14:textFill>
                        <w14:solidFill>
                          <w14:schemeClr w14:val="tx1"/>
                        </w14:solidFill>
                      </w14:textFill>
                    </w:rPr>
                    <w:t>工段</w:t>
                  </w:r>
                </w:p>
              </w:tc>
              <w:tc>
                <w:tcPr>
                  <w:tcW w:w="530" w:type="pct"/>
                  <w:vAlign w:val="center"/>
                </w:tcPr>
                <w:p w14:paraId="2BCBE849">
                  <w:pPr>
                    <w:rPr>
                      <w:b/>
                      <w:bCs/>
                      <w:color w:val="000000" w:themeColor="text1"/>
                      <w14:textFill>
                        <w14:solidFill>
                          <w14:schemeClr w14:val="tx1"/>
                        </w14:solidFill>
                      </w14:textFill>
                    </w:rPr>
                  </w:pPr>
                  <w:r>
                    <w:rPr>
                      <w:b/>
                      <w:bCs/>
                      <w:color w:val="000000" w:themeColor="text1"/>
                      <w14:textFill>
                        <w14:solidFill>
                          <w14:schemeClr w14:val="tx1"/>
                        </w14:solidFill>
                      </w14:textFill>
                    </w:rPr>
                    <w:t>产生量(t/a)</w:t>
                  </w:r>
                </w:p>
              </w:tc>
              <w:tc>
                <w:tcPr>
                  <w:tcW w:w="575" w:type="pct"/>
                  <w:vAlign w:val="center"/>
                </w:tcPr>
                <w:p w14:paraId="3AADC593">
                  <w:pPr>
                    <w:rPr>
                      <w:b/>
                      <w:bCs/>
                      <w:color w:val="000000" w:themeColor="text1"/>
                      <w14:textFill>
                        <w14:solidFill>
                          <w14:schemeClr w14:val="tx1"/>
                        </w14:solidFill>
                      </w14:textFill>
                    </w:rPr>
                  </w:pPr>
                  <w:r>
                    <w:rPr>
                      <w:b/>
                      <w:bCs/>
                      <w:color w:val="000000" w:themeColor="text1"/>
                      <w14:textFill>
                        <w14:solidFill>
                          <w14:schemeClr w14:val="tx1"/>
                        </w14:solidFill>
                      </w14:textFill>
                    </w:rPr>
                    <w:t>最大产生速率(kg/h)</w:t>
                  </w:r>
                </w:p>
              </w:tc>
              <w:tc>
                <w:tcPr>
                  <w:tcW w:w="758" w:type="pct"/>
                  <w:vAlign w:val="center"/>
                </w:tcPr>
                <w:p w14:paraId="269C5012">
                  <w:pPr>
                    <w:rPr>
                      <w:b/>
                      <w:bCs/>
                      <w:color w:val="000000" w:themeColor="text1"/>
                      <w14:textFill>
                        <w14:solidFill>
                          <w14:schemeClr w14:val="tx1"/>
                        </w14:solidFill>
                      </w14:textFill>
                    </w:rPr>
                  </w:pPr>
                  <w:r>
                    <w:rPr>
                      <w:b/>
                      <w:bCs/>
                      <w:color w:val="000000" w:themeColor="text1"/>
                      <w14:textFill>
                        <w14:solidFill>
                          <w14:schemeClr w14:val="tx1"/>
                        </w14:solidFill>
                      </w14:textFill>
                    </w:rPr>
                    <w:t>治理措施及效率</w:t>
                  </w:r>
                </w:p>
              </w:tc>
              <w:tc>
                <w:tcPr>
                  <w:tcW w:w="401" w:type="pct"/>
                </w:tcPr>
                <w:p w14:paraId="5FF89852">
                  <w:pPr>
                    <w:rPr>
                      <w:b/>
                      <w:bCs/>
                      <w:color w:val="000000" w:themeColor="text1"/>
                      <w14:textFill>
                        <w14:solidFill>
                          <w14:schemeClr w14:val="tx1"/>
                        </w14:solidFill>
                      </w14:textFill>
                    </w:rPr>
                  </w:pPr>
                  <w:r>
                    <w:rPr>
                      <w:b/>
                      <w:bCs/>
                      <w:color w:val="000000" w:themeColor="text1"/>
                      <w14:textFill>
                        <w14:solidFill>
                          <w14:schemeClr w14:val="tx1"/>
                        </w14:solidFill>
                      </w14:textFill>
                    </w:rPr>
                    <w:t>是否为可行技术</w:t>
                  </w:r>
                </w:p>
              </w:tc>
              <w:tc>
                <w:tcPr>
                  <w:tcW w:w="439" w:type="pct"/>
                  <w:vAlign w:val="center"/>
                </w:tcPr>
                <w:p w14:paraId="57D3E9FB">
                  <w:pPr>
                    <w:rPr>
                      <w:b/>
                      <w:bCs/>
                      <w:color w:val="000000" w:themeColor="text1"/>
                      <w14:textFill>
                        <w14:solidFill>
                          <w14:schemeClr w14:val="tx1"/>
                        </w14:solidFill>
                      </w14:textFill>
                    </w:rPr>
                  </w:pPr>
                  <w:r>
                    <w:rPr>
                      <w:b/>
                      <w:bCs/>
                      <w:color w:val="000000" w:themeColor="text1"/>
                      <w14:textFill>
                        <w14:solidFill>
                          <w14:schemeClr w14:val="tx1"/>
                        </w14:solidFill>
                      </w14:textFill>
                    </w:rPr>
                    <w:t>排放</w:t>
                  </w:r>
                </w:p>
                <w:p w14:paraId="6AD57DE9">
                  <w:pPr>
                    <w:rPr>
                      <w:b/>
                      <w:bCs/>
                      <w:color w:val="000000" w:themeColor="text1"/>
                      <w14:textFill>
                        <w14:solidFill>
                          <w14:schemeClr w14:val="tx1"/>
                        </w14:solidFill>
                      </w14:textFill>
                    </w:rPr>
                  </w:pPr>
                  <w:r>
                    <w:rPr>
                      <w:b/>
                      <w:bCs/>
                      <w:color w:val="000000" w:themeColor="text1"/>
                      <w14:textFill>
                        <w14:solidFill>
                          <w14:schemeClr w14:val="tx1"/>
                        </w14:solidFill>
                      </w14:textFill>
                    </w:rPr>
                    <w:t>方式</w:t>
                  </w:r>
                </w:p>
              </w:tc>
              <w:tc>
                <w:tcPr>
                  <w:tcW w:w="497" w:type="pct"/>
                  <w:gridSpan w:val="2"/>
                  <w:vAlign w:val="center"/>
                </w:tcPr>
                <w:p w14:paraId="6A45D710">
                  <w:pPr>
                    <w:rPr>
                      <w:b/>
                      <w:bCs/>
                      <w:color w:val="000000" w:themeColor="text1"/>
                      <w14:textFill>
                        <w14:solidFill>
                          <w14:schemeClr w14:val="tx1"/>
                        </w14:solidFill>
                      </w14:textFill>
                    </w:rPr>
                  </w:pPr>
                  <w:r>
                    <w:rPr>
                      <w:b/>
                      <w:bCs/>
                      <w:color w:val="000000" w:themeColor="text1"/>
                      <w14:textFill>
                        <w14:solidFill>
                          <w14:schemeClr w14:val="tx1"/>
                        </w14:solidFill>
                      </w14:textFill>
                    </w:rPr>
                    <w:t>排放量（t/a）</w:t>
                  </w:r>
                </w:p>
              </w:tc>
              <w:tc>
                <w:tcPr>
                  <w:tcW w:w="689" w:type="pct"/>
                  <w:gridSpan w:val="2"/>
                  <w:vAlign w:val="center"/>
                </w:tcPr>
                <w:p w14:paraId="03DC80E6">
                  <w:pPr>
                    <w:rPr>
                      <w:b/>
                      <w:bCs/>
                      <w:color w:val="000000" w:themeColor="text1"/>
                      <w14:textFill>
                        <w14:solidFill>
                          <w14:schemeClr w14:val="tx1"/>
                        </w14:solidFill>
                      </w14:textFill>
                    </w:rPr>
                  </w:pPr>
                  <w:r>
                    <w:rPr>
                      <w:b/>
                      <w:bCs/>
                      <w:color w:val="000000" w:themeColor="text1"/>
                      <w14:textFill>
                        <w14:solidFill>
                          <w14:schemeClr w14:val="tx1"/>
                        </w14:solidFill>
                      </w14:textFill>
                    </w:rPr>
                    <w:t>最大排放速率(kg/h)</w:t>
                  </w:r>
                </w:p>
              </w:tc>
              <w:tc>
                <w:tcPr>
                  <w:tcW w:w="696" w:type="pct"/>
                  <w:gridSpan w:val="2"/>
                  <w:vAlign w:val="center"/>
                </w:tcPr>
                <w:p w14:paraId="52EEFC65">
                  <w:pPr>
                    <w:rPr>
                      <w:b/>
                      <w:bCs/>
                      <w:color w:val="000000" w:themeColor="text1"/>
                      <w14:textFill>
                        <w14:solidFill>
                          <w14:schemeClr w14:val="tx1"/>
                        </w14:solidFill>
                      </w14:textFill>
                    </w:rPr>
                  </w:pPr>
                  <w:r>
                    <w:rPr>
                      <w:b/>
                      <w:bCs/>
                      <w:color w:val="000000" w:themeColor="text1"/>
                      <w14:textFill>
                        <w14:solidFill>
                          <w14:schemeClr w14:val="tx1"/>
                        </w14:solidFill>
                      </w14:textFill>
                    </w:rPr>
                    <w:t>最大排放浓度（mg/m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r>
            <w:tr w14:paraId="00F8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32" w:hRule="atLeast"/>
                <w:jc w:val="center"/>
              </w:trPr>
              <w:tc>
                <w:tcPr>
                  <w:tcW w:w="410" w:type="pct"/>
                  <w:vMerge w:val="restart"/>
                  <w:vAlign w:val="center"/>
                </w:tcPr>
                <w:p w14:paraId="7332A5EE">
                  <w:pPr>
                    <w:rPr>
                      <w:b/>
                      <w:bCs/>
                      <w:color w:val="000000" w:themeColor="text1"/>
                      <w14:textFill>
                        <w14:solidFill>
                          <w14:schemeClr w14:val="tx1"/>
                        </w14:solidFill>
                      </w14:textFill>
                    </w:rPr>
                  </w:pPr>
                  <w:r>
                    <w:rPr>
                      <w:b/>
                      <w:bCs/>
                      <w:color w:val="000000" w:themeColor="text1"/>
                      <w14:textFill>
                        <w14:solidFill>
                          <w14:schemeClr w14:val="tx1"/>
                        </w14:solidFill>
                      </w14:textFill>
                    </w:rPr>
                    <w:t>原料运输</w:t>
                  </w:r>
                </w:p>
              </w:tc>
              <w:tc>
                <w:tcPr>
                  <w:tcW w:w="530" w:type="pct"/>
                  <w:vMerge w:val="restart"/>
                  <w:vAlign w:val="center"/>
                </w:tcPr>
                <w:p w14:paraId="337F07AF">
                  <w:pPr>
                    <w:rPr>
                      <w:color w:val="000000" w:themeColor="text1"/>
                      <w14:textFill>
                        <w14:solidFill>
                          <w14:schemeClr w14:val="tx1"/>
                        </w14:solidFill>
                      </w14:textFill>
                    </w:rPr>
                  </w:pPr>
                  <w:r>
                    <w:rPr>
                      <w:color w:val="000000" w:themeColor="text1"/>
                      <w14:textFill>
                        <w14:solidFill>
                          <w14:schemeClr w14:val="tx1"/>
                        </w14:solidFill>
                      </w14:textFill>
                    </w:rPr>
                    <w:t>0.036</w:t>
                  </w:r>
                </w:p>
              </w:tc>
              <w:tc>
                <w:tcPr>
                  <w:tcW w:w="575" w:type="pct"/>
                  <w:vMerge w:val="restart"/>
                  <w:vAlign w:val="center"/>
                </w:tcPr>
                <w:p w14:paraId="3485619A">
                  <w:pP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758" w:type="pct"/>
                  <w:vMerge w:val="restart"/>
                  <w:vAlign w:val="center"/>
                </w:tcPr>
                <w:p w14:paraId="1848CD8B">
                  <w:pPr>
                    <w:rPr>
                      <w:color w:val="000000" w:themeColor="text1"/>
                      <w14:textFill>
                        <w14:solidFill>
                          <w14:schemeClr w14:val="tx1"/>
                        </w14:solidFill>
                      </w14:textFill>
                    </w:rPr>
                  </w:pPr>
                  <w:r>
                    <w:rPr>
                      <w:color w:val="000000" w:themeColor="text1"/>
                      <w14:textFill>
                        <w14:solidFill>
                          <w14:schemeClr w14:val="tx1"/>
                        </w14:solidFill>
                      </w14:textFill>
                    </w:rPr>
                    <w:t>厂区地面硬化，定期清扫，运输道路两侧设置固定式喷雾器若干，厂区大门设置洗车槽，限制车速+洒水降尘，去除率90%</w:t>
                  </w:r>
                </w:p>
              </w:tc>
              <w:tc>
                <w:tcPr>
                  <w:tcW w:w="401" w:type="pct"/>
                  <w:vMerge w:val="restart"/>
                  <w:vAlign w:val="center"/>
                </w:tcPr>
                <w:p w14:paraId="119C5099">
                  <w:pPr>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439" w:type="pct"/>
                  <w:vAlign w:val="center"/>
                </w:tcPr>
                <w:p w14:paraId="5C0763F3">
                  <w:pPr>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497" w:type="pct"/>
                  <w:gridSpan w:val="2"/>
                  <w:vAlign w:val="center"/>
                </w:tcPr>
                <w:p w14:paraId="523E7CB8">
                  <w:pPr>
                    <w:rPr>
                      <w:color w:val="000000" w:themeColor="text1"/>
                      <w14:textFill>
                        <w14:solidFill>
                          <w14:schemeClr w14:val="tx1"/>
                        </w14:solidFill>
                      </w14:textFill>
                    </w:rPr>
                  </w:pPr>
                  <w:r>
                    <w:rPr>
                      <w:color w:val="000000" w:themeColor="text1"/>
                      <w14:textFill>
                        <w14:solidFill>
                          <w14:schemeClr w14:val="tx1"/>
                        </w14:solidFill>
                      </w14:textFill>
                    </w:rPr>
                    <w:t>-</w:t>
                  </w:r>
                </w:p>
              </w:tc>
              <w:tc>
                <w:tcPr>
                  <w:tcW w:w="689" w:type="pct"/>
                  <w:gridSpan w:val="2"/>
                  <w:vAlign w:val="center"/>
                </w:tcPr>
                <w:p w14:paraId="3FE67C57">
                  <w:pPr>
                    <w:rPr>
                      <w:color w:val="000000" w:themeColor="text1"/>
                      <w14:textFill>
                        <w14:solidFill>
                          <w14:schemeClr w14:val="tx1"/>
                        </w14:solidFill>
                      </w14:textFill>
                    </w:rPr>
                  </w:pPr>
                  <w:r>
                    <w:rPr>
                      <w:color w:val="000000" w:themeColor="text1"/>
                      <w14:textFill>
                        <w14:solidFill>
                          <w14:schemeClr w14:val="tx1"/>
                        </w14:solidFill>
                      </w14:textFill>
                    </w:rPr>
                    <w:t>-</w:t>
                  </w:r>
                </w:p>
              </w:tc>
              <w:tc>
                <w:tcPr>
                  <w:tcW w:w="696" w:type="pct"/>
                  <w:gridSpan w:val="2"/>
                  <w:vAlign w:val="center"/>
                </w:tcPr>
                <w:p w14:paraId="0DB2C70A">
                  <w:pPr>
                    <w:rPr>
                      <w:color w:val="000000" w:themeColor="text1"/>
                      <w14:textFill>
                        <w14:solidFill>
                          <w14:schemeClr w14:val="tx1"/>
                        </w14:solidFill>
                      </w14:textFill>
                    </w:rPr>
                  </w:pPr>
                  <w:r>
                    <w:rPr>
                      <w:color w:val="000000" w:themeColor="text1"/>
                      <w14:textFill>
                        <w14:solidFill>
                          <w14:schemeClr w14:val="tx1"/>
                        </w14:solidFill>
                      </w14:textFill>
                    </w:rPr>
                    <w:t>-</w:t>
                  </w:r>
                </w:p>
              </w:tc>
            </w:tr>
            <w:tr w14:paraId="0966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79" w:hRule="atLeast"/>
                <w:jc w:val="center"/>
              </w:trPr>
              <w:tc>
                <w:tcPr>
                  <w:tcW w:w="410" w:type="pct"/>
                  <w:vMerge w:val="continue"/>
                  <w:vAlign w:val="center"/>
                </w:tcPr>
                <w:p w14:paraId="46C759C0">
                  <w:pPr>
                    <w:rPr>
                      <w:b/>
                      <w:bCs/>
                      <w:color w:val="000000" w:themeColor="text1"/>
                      <w14:textFill>
                        <w14:solidFill>
                          <w14:schemeClr w14:val="tx1"/>
                        </w14:solidFill>
                      </w14:textFill>
                    </w:rPr>
                  </w:pPr>
                </w:p>
              </w:tc>
              <w:tc>
                <w:tcPr>
                  <w:tcW w:w="530" w:type="pct"/>
                  <w:vMerge w:val="continue"/>
                  <w:vAlign w:val="center"/>
                </w:tcPr>
                <w:p w14:paraId="5D7432E3">
                  <w:pPr>
                    <w:rPr>
                      <w:color w:val="000000" w:themeColor="text1"/>
                      <w14:textFill>
                        <w14:solidFill>
                          <w14:schemeClr w14:val="tx1"/>
                        </w14:solidFill>
                      </w14:textFill>
                    </w:rPr>
                  </w:pPr>
                </w:p>
              </w:tc>
              <w:tc>
                <w:tcPr>
                  <w:tcW w:w="575" w:type="pct"/>
                  <w:vMerge w:val="continue"/>
                  <w:vAlign w:val="center"/>
                </w:tcPr>
                <w:p w14:paraId="39930D6C">
                  <w:pPr>
                    <w:rPr>
                      <w:color w:val="000000" w:themeColor="text1"/>
                      <w14:textFill>
                        <w14:solidFill>
                          <w14:schemeClr w14:val="tx1"/>
                        </w14:solidFill>
                      </w14:textFill>
                    </w:rPr>
                  </w:pPr>
                </w:p>
              </w:tc>
              <w:tc>
                <w:tcPr>
                  <w:tcW w:w="758" w:type="pct"/>
                  <w:vMerge w:val="continue"/>
                  <w:vAlign w:val="center"/>
                </w:tcPr>
                <w:p w14:paraId="324B2EC5">
                  <w:pPr>
                    <w:rPr>
                      <w:color w:val="000000" w:themeColor="text1"/>
                      <w14:textFill>
                        <w14:solidFill>
                          <w14:schemeClr w14:val="tx1"/>
                        </w14:solidFill>
                      </w14:textFill>
                    </w:rPr>
                  </w:pPr>
                </w:p>
              </w:tc>
              <w:tc>
                <w:tcPr>
                  <w:tcW w:w="401" w:type="pct"/>
                  <w:vMerge w:val="continue"/>
                  <w:vAlign w:val="center"/>
                </w:tcPr>
                <w:p w14:paraId="779E1F14">
                  <w:pPr>
                    <w:rPr>
                      <w:color w:val="000000" w:themeColor="text1"/>
                      <w14:textFill>
                        <w14:solidFill>
                          <w14:schemeClr w14:val="tx1"/>
                        </w14:solidFill>
                      </w14:textFill>
                    </w:rPr>
                  </w:pPr>
                </w:p>
              </w:tc>
              <w:tc>
                <w:tcPr>
                  <w:tcW w:w="439" w:type="pct"/>
                  <w:vAlign w:val="center"/>
                </w:tcPr>
                <w:p w14:paraId="6CCA87CF">
                  <w:pPr>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97" w:type="pct"/>
                  <w:gridSpan w:val="2"/>
                  <w:vAlign w:val="center"/>
                </w:tcPr>
                <w:p w14:paraId="14C3D6BD">
                  <w:pPr>
                    <w:rPr>
                      <w:color w:val="000000" w:themeColor="text1"/>
                      <w14:textFill>
                        <w14:solidFill>
                          <w14:schemeClr w14:val="tx1"/>
                        </w14:solidFill>
                      </w14:textFill>
                    </w:rPr>
                  </w:pPr>
                  <w:r>
                    <w:rPr>
                      <w:color w:val="000000" w:themeColor="text1"/>
                      <w14:textFill>
                        <w14:solidFill>
                          <w14:schemeClr w14:val="tx1"/>
                        </w14:solidFill>
                      </w14:textFill>
                    </w:rPr>
                    <w:t xml:space="preserve">0.0036 </w:t>
                  </w:r>
                </w:p>
              </w:tc>
              <w:tc>
                <w:tcPr>
                  <w:tcW w:w="689" w:type="pct"/>
                  <w:gridSpan w:val="2"/>
                  <w:vAlign w:val="center"/>
                </w:tcPr>
                <w:p w14:paraId="28412E35">
                  <w:pPr>
                    <w:rPr>
                      <w:color w:val="000000" w:themeColor="text1"/>
                      <w14:textFill>
                        <w14:solidFill>
                          <w14:schemeClr w14:val="tx1"/>
                        </w14:solidFill>
                      </w14:textFill>
                    </w:rPr>
                  </w:pPr>
                  <w:r>
                    <w:rPr>
                      <w:color w:val="000000" w:themeColor="text1"/>
                      <w14:textFill>
                        <w14:solidFill>
                          <w14:schemeClr w14:val="tx1"/>
                        </w14:solidFill>
                      </w14:textFill>
                    </w:rPr>
                    <w:t xml:space="preserve">0.0040 </w:t>
                  </w:r>
                </w:p>
              </w:tc>
              <w:tc>
                <w:tcPr>
                  <w:tcW w:w="696" w:type="pct"/>
                  <w:gridSpan w:val="2"/>
                  <w:vAlign w:val="center"/>
                </w:tcPr>
                <w:p w14:paraId="22217B7B">
                  <w:pPr>
                    <w:rPr>
                      <w:color w:val="000000" w:themeColor="text1"/>
                      <w14:textFill>
                        <w14:solidFill>
                          <w14:schemeClr w14:val="tx1"/>
                        </w14:solidFill>
                      </w14:textFill>
                    </w:rPr>
                  </w:pPr>
                  <w:r>
                    <w:rPr>
                      <w:color w:val="000000" w:themeColor="text1"/>
                      <w14:textFill>
                        <w14:solidFill>
                          <w14:schemeClr w14:val="tx1"/>
                        </w14:solidFill>
                      </w14:textFill>
                    </w:rPr>
                    <w:t>-</w:t>
                  </w:r>
                </w:p>
              </w:tc>
            </w:tr>
            <w:tr w14:paraId="7787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79" w:hRule="atLeast"/>
                <w:jc w:val="center"/>
              </w:trPr>
              <w:tc>
                <w:tcPr>
                  <w:tcW w:w="410" w:type="pct"/>
                  <w:vMerge w:val="restart"/>
                  <w:vAlign w:val="center"/>
                </w:tcPr>
                <w:p w14:paraId="13FFF0B9">
                  <w:pPr>
                    <w:rPr>
                      <w:b/>
                      <w:bCs/>
                      <w:color w:val="000000" w:themeColor="text1"/>
                      <w14:textFill>
                        <w14:solidFill>
                          <w14:schemeClr w14:val="tx1"/>
                        </w14:solidFill>
                      </w14:textFill>
                    </w:rPr>
                  </w:pPr>
                  <w:r>
                    <w:rPr>
                      <w:b/>
                      <w:bCs/>
                      <w:color w:val="000000" w:themeColor="text1"/>
                      <w14:textFill>
                        <w14:solidFill>
                          <w14:schemeClr w14:val="tx1"/>
                        </w14:solidFill>
                      </w14:textFill>
                    </w:rPr>
                    <w:t>原料装卸</w:t>
                  </w:r>
                </w:p>
              </w:tc>
              <w:tc>
                <w:tcPr>
                  <w:tcW w:w="530" w:type="pct"/>
                  <w:vMerge w:val="restart"/>
                  <w:vAlign w:val="center"/>
                </w:tcPr>
                <w:p w14:paraId="2DC6E7CA">
                  <w:pPr>
                    <w:rPr>
                      <w:color w:val="000000" w:themeColor="text1"/>
                      <w14:textFill>
                        <w14:solidFill>
                          <w14:schemeClr w14:val="tx1"/>
                        </w14:solidFill>
                      </w14:textFill>
                    </w:rPr>
                  </w:pPr>
                  <w:r>
                    <w:rPr>
                      <w:color w:val="000000" w:themeColor="text1"/>
                      <w14:textFill>
                        <w14:solidFill>
                          <w14:schemeClr w14:val="tx1"/>
                        </w14:solidFill>
                      </w14:textFill>
                    </w:rPr>
                    <w:t>0.18</w:t>
                  </w:r>
                </w:p>
              </w:tc>
              <w:tc>
                <w:tcPr>
                  <w:tcW w:w="575" w:type="pct"/>
                  <w:vMerge w:val="restart"/>
                  <w:vAlign w:val="center"/>
                </w:tcPr>
                <w:p w14:paraId="5ED62E3A">
                  <w:pPr>
                    <w:rPr>
                      <w:color w:val="000000" w:themeColor="text1"/>
                      <w14:textFill>
                        <w14:solidFill>
                          <w14:schemeClr w14:val="tx1"/>
                        </w14:solidFill>
                      </w14:textFill>
                    </w:rPr>
                  </w:pPr>
                  <w:r>
                    <w:rPr>
                      <w:color w:val="000000" w:themeColor="text1"/>
                      <w14:textFill>
                        <w14:solidFill>
                          <w14:schemeClr w14:val="tx1"/>
                        </w14:solidFill>
                      </w14:textFill>
                    </w:rPr>
                    <w:t>0.36</w:t>
                  </w:r>
                </w:p>
              </w:tc>
              <w:tc>
                <w:tcPr>
                  <w:tcW w:w="758" w:type="pct"/>
                  <w:vMerge w:val="continue"/>
                  <w:vAlign w:val="center"/>
                </w:tcPr>
                <w:p w14:paraId="09F376AB">
                  <w:pPr>
                    <w:rPr>
                      <w:color w:val="000000" w:themeColor="text1"/>
                      <w14:textFill>
                        <w14:solidFill>
                          <w14:schemeClr w14:val="tx1"/>
                        </w14:solidFill>
                      </w14:textFill>
                    </w:rPr>
                  </w:pPr>
                </w:p>
              </w:tc>
              <w:tc>
                <w:tcPr>
                  <w:tcW w:w="401" w:type="pct"/>
                  <w:vMerge w:val="continue"/>
                  <w:vAlign w:val="center"/>
                </w:tcPr>
                <w:p w14:paraId="23B0C704">
                  <w:pPr>
                    <w:rPr>
                      <w:color w:val="000000" w:themeColor="text1"/>
                      <w14:textFill>
                        <w14:solidFill>
                          <w14:schemeClr w14:val="tx1"/>
                        </w14:solidFill>
                      </w14:textFill>
                    </w:rPr>
                  </w:pPr>
                </w:p>
              </w:tc>
              <w:tc>
                <w:tcPr>
                  <w:tcW w:w="439" w:type="pct"/>
                  <w:vAlign w:val="center"/>
                </w:tcPr>
                <w:p w14:paraId="2376A3AC">
                  <w:pPr>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497" w:type="pct"/>
                  <w:gridSpan w:val="2"/>
                  <w:vAlign w:val="center"/>
                </w:tcPr>
                <w:p w14:paraId="3DC36B63">
                  <w:pPr>
                    <w:rPr>
                      <w:color w:val="000000" w:themeColor="text1"/>
                      <w14:textFill>
                        <w14:solidFill>
                          <w14:schemeClr w14:val="tx1"/>
                        </w14:solidFill>
                      </w14:textFill>
                    </w:rPr>
                  </w:pPr>
                  <w:r>
                    <w:rPr>
                      <w:color w:val="000000" w:themeColor="text1"/>
                      <w14:textFill>
                        <w14:solidFill>
                          <w14:schemeClr w14:val="tx1"/>
                        </w14:solidFill>
                      </w14:textFill>
                    </w:rPr>
                    <w:t>-</w:t>
                  </w:r>
                </w:p>
              </w:tc>
              <w:tc>
                <w:tcPr>
                  <w:tcW w:w="689" w:type="pct"/>
                  <w:gridSpan w:val="2"/>
                  <w:vAlign w:val="center"/>
                </w:tcPr>
                <w:p w14:paraId="703CADB2">
                  <w:pPr>
                    <w:rPr>
                      <w:color w:val="000000" w:themeColor="text1"/>
                      <w14:textFill>
                        <w14:solidFill>
                          <w14:schemeClr w14:val="tx1"/>
                        </w14:solidFill>
                      </w14:textFill>
                    </w:rPr>
                  </w:pPr>
                  <w:r>
                    <w:rPr>
                      <w:color w:val="000000" w:themeColor="text1"/>
                      <w14:textFill>
                        <w14:solidFill>
                          <w14:schemeClr w14:val="tx1"/>
                        </w14:solidFill>
                      </w14:textFill>
                    </w:rPr>
                    <w:t>-</w:t>
                  </w:r>
                </w:p>
              </w:tc>
              <w:tc>
                <w:tcPr>
                  <w:tcW w:w="696" w:type="pct"/>
                  <w:gridSpan w:val="2"/>
                  <w:vAlign w:val="center"/>
                </w:tcPr>
                <w:p w14:paraId="2706D459">
                  <w:pPr>
                    <w:rPr>
                      <w:color w:val="000000" w:themeColor="text1"/>
                      <w14:textFill>
                        <w14:solidFill>
                          <w14:schemeClr w14:val="tx1"/>
                        </w14:solidFill>
                      </w14:textFill>
                    </w:rPr>
                  </w:pPr>
                  <w:r>
                    <w:rPr>
                      <w:color w:val="000000" w:themeColor="text1"/>
                      <w14:textFill>
                        <w14:solidFill>
                          <w14:schemeClr w14:val="tx1"/>
                        </w14:solidFill>
                      </w14:textFill>
                    </w:rPr>
                    <w:t>-</w:t>
                  </w:r>
                </w:p>
              </w:tc>
            </w:tr>
            <w:tr w14:paraId="0C9A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79" w:hRule="atLeast"/>
                <w:jc w:val="center"/>
              </w:trPr>
              <w:tc>
                <w:tcPr>
                  <w:tcW w:w="410" w:type="pct"/>
                  <w:vMerge w:val="continue"/>
                  <w:vAlign w:val="center"/>
                </w:tcPr>
                <w:p w14:paraId="0F8F55D3">
                  <w:pPr>
                    <w:rPr>
                      <w:b/>
                      <w:bCs/>
                      <w:color w:val="000000" w:themeColor="text1"/>
                      <w14:textFill>
                        <w14:solidFill>
                          <w14:schemeClr w14:val="tx1"/>
                        </w14:solidFill>
                      </w14:textFill>
                    </w:rPr>
                  </w:pPr>
                </w:p>
              </w:tc>
              <w:tc>
                <w:tcPr>
                  <w:tcW w:w="530" w:type="pct"/>
                  <w:vMerge w:val="continue"/>
                  <w:vAlign w:val="center"/>
                </w:tcPr>
                <w:p w14:paraId="1E2D1C9F">
                  <w:pPr>
                    <w:rPr>
                      <w:color w:val="000000" w:themeColor="text1"/>
                      <w14:textFill>
                        <w14:solidFill>
                          <w14:schemeClr w14:val="tx1"/>
                        </w14:solidFill>
                      </w14:textFill>
                    </w:rPr>
                  </w:pPr>
                </w:p>
              </w:tc>
              <w:tc>
                <w:tcPr>
                  <w:tcW w:w="575" w:type="pct"/>
                  <w:vMerge w:val="continue"/>
                  <w:vAlign w:val="center"/>
                </w:tcPr>
                <w:p w14:paraId="7AC480F8">
                  <w:pPr>
                    <w:rPr>
                      <w:color w:val="000000" w:themeColor="text1"/>
                      <w14:textFill>
                        <w14:solidFill>
                          <w14:schemeClr w14:val="tx1"/>
                        </w14:solidFill>
                      </w14:textFill>
                    </w:rPr>
                  </w:pPr>
                </w:p>
              </w:tc>
              <w:tc>
                <w:tcPr>
                  <w:tcW w:w="758" w:type="pct"/>
                  <w:vMerge w:val="continue"/>
                  <w:vAlign w:val="center"/>
                </w:tcPr>
                <w:p w14:paraId="62274A7F">
                  <w:pPr>
                    <w:rPr>
                      <w:color w:val="000000" w:themeColor="text1"/>
                      <w14:textFill>
                        <w14:solidFill>
                          <w14:schemeClr w14:val="tx1"/>
                        </w14:solidFill>
                      </w14:textFill>
                    </w:rPr>
                  </w:pPr>
                </w:p>
              </w:tc>
              <w:tc>
                <w:tcPr>
                  <w:tcW w:w="401" w:type="pct"/>
                  <w:vMerge w:val="continue"/>
                  <w:vAlign w:val="center"/>
                </w:tcPr>
                <w:p w14:paraId="32A6DD5C">
                  <w:pPr>
                    <w:rPr>
                      <w:color w:val="000000" w:themeColor="text1"/>
                      <w14:textFill>
                        <w14:solidFill>
                          <w14:schemeClr w14:val="tx1"/>
                        </w14:solidFill>
                      </w14:textFill>
                    </w:rPr>
                  </w:pPr>
                </w:p>
              </w:tc>
              <w:tc>
                <w:tcPr>
                  <w:tcW w:w="439" w:type="pct"/>
                  <w:vAlign w:val="center"/>
                </w:tcPr>
                <w:p w14:paraId="1E5616F4">
                  <w:pPr>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97" w:type="pct"/>
                  <w:gridSpan w:val="2"/>
                  <w:vAlign w:val="center"/>
                </w:tcPr>
                <w:p w14:paraId="2491E467">
                  <w:pPr>
                    <w:rPr>
                      <w:color w:val="000000" w:themeColor="text1"/>
                      <w14:textFill>
                        <w14:solidFill>
                          <w14:schemeClr w14:val="tx1"/>
                        </w14:solidFill>
                      </w14:textFill>
                    </w:rPr>
                  </w:pPr>
                  <w:r>
                    <w:rPr>
                      <w:color w:val="000000" w:themeColor="text1"/>
                      <w14:textFill>
                        <w14:solidFill>
                          <w14:schemeClr w14:val="tx1"/>
                        </w14:solidFill>
                      </w14:textFill>
                    </w:rPr>
                    <w:t xml:space="preserve">0.0180 </w:t>
                  </w:r>
                </w:p>
              </w:tc>
              <w:tc>
                <w:tcPr>
                  <w:tcW w:w="689" w:type="pct"/>
                  <w:gridSpan w:val="2"/>
                  <w:vAlign w:val="center"/>
                </w:tcPr>
                <w:p w14:paraId="773EB9A2">
                  <w:pPr>
                    <w:rPr>
                      <w:color w:val="000000" w:themeColor="text1"/>
                      <w14:textFill>
                        <w14:solidFill>
                          <w14:schemeClr w14:val="tx1"/>
                        </w14:solidFill>
                      </w14:textFill>
                    </w:rPr>
                  </w:pPr>
                  <w:r>
                    <w:rPr>
                      <w:color w:val="000000" w:themeColor="text1"/>
                      <w14:textFill>
                        <w14:solidFill>
                          <w14:schemeClr w14:val="tx1"/>
                        </w14:solidFill>
                      </w14:textFill>
                    </w:rPr>
                    <w:t xml:space="preserve">0.0360 </w:t>
                  </w:r>
                </w:p>
              </w:tc>
              <w:tc>
                <w:tcPr>
                  <w:tcW w:w="696" w:type="pct"/>
                  <w:gridSpan w:val="2"/>
                  <w:vAlign w:val="center"/>
                </w:tcPr>
                <w:p w14:paraId="31B0A02F">
                  <w:pPr>
                    <w:rPr>
                      <w:color w:val="000000" w:themeColor="text1"/>
                      <w14:textFill>
                        <w14:solidFill>
                          <w14:schemeClr w14:val="tx1"/>
                        </w14:solidFill>
                      </w14:textFill>
                    </w:rPr>
                  </w:pPr>
                  <w:r>
                    <w:rPr>
                      <w:color w:val="000000" w:themeColor="text1"/>
                      <w14:textFill>
                        <w14:solidFill>
                          <w14:schemeClr w14:val="tx1"/>
                        </w14:solidFill>
                      </w14:textFill>
                    </w:rPr>
                    <w:t>-</w:t>
                  </w:r>
                </w:p>
              </w:tc>
            </w:tr>
            <w:tr w14:paraId="6F3F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1245" w:hRule="atLeast"/>
                <w:jc w:val="center"/>
              </w:trPr>
              <w:tc>
                <w:tcPr>
                  <w:tcW w:w="410" w:type="pct"/>
                  <w:vAlign w:val="center"/>
                </w:tcPr>
                <w:p w14:paraId="554577A3">
                  <w:pPr>
                    <w:rPr>
                      <w:b/>
                      <w:bCs/>
                      <w:color w:val="000000" w:themeColor="text1"/>
                      <w14:textFill>
                        <w14:solidFill>
                          <w14:schemeClr w14:val="tx1"/>
                        </w14:solidFill>
                      </w14:textFill>
                    </w:rPr>
                  </w:pPr>
                  <w:r>
                    <w:rPr>
                      <w:b/>
                      <w:bCs/>
                      <w:color w:val="000000" w:themeColor="text1"/>
                      <w14:textFill>
                        <w14:solidFill>
                          <w14:schemeClr w14:val="tx1"/>
                        </w14:solidFill>
                      </w14:textFill>
                    </w:rPr>
                    <w:t>粉料</w:t>
                  </w:r>
                </w:p>
                <w:p w14:paraId="3AECED27">
                  <w:pPr>
                    <w:rPr>
                      <w:b/>
                      <w:bCs/>
                      <w:color w:val="000000" w:themeColor="text1"/>
                      <w14:textFill>
                        <w14:solidFill>
                          <w14:schemeClr w14:val="tx1"/>
                        </w14:solidFill>
                      </w14:textFill>
                    </w:rPr>
                  </w:pPr>
                  <w:r>
                    <w:rPr>
                      <w:b/>
                      <w:bCs/>
                      <w:color w:val="000000" w:themeColor="text1"/>
                      <w14:textFill>
                        <w14:solidFill>
                          <w14:schemeClr w14:val="tx1"/>
                        </w14:solidFill>
                      </w14:textFill>
                    </w:rPr>
                    <w:t>筒仓</w:t>
                  </w:r>
                </w:p>
              </w:tc>
              <w:tc>
                <w:tcPr>
                  <w:tcW w:w="530" w:type="pct"/>
                  <w:vAlign w:val="center"/>
                </w:tcPr>
                <w:p w14:paraId="743BC652">
                  <w:pPr>
                    <w:rPr>
                      <w:color w:val="000000" w:themeColor="text1"/>
                      <w14:textFill>
                        <w14:solidFill>
                          <w14:schemeClr w14:val="tx1"/>
                        </w14:solidFill>
                      </w14:textFill>
                    </w:rPr>
                  </w:pPr>
                  <w:r>
                    <w:rPr>
                      <w:color w:val="000000" w:themeColor="text1"/>
                      <w14:textFill>
                        <w14:solidFill>
                          <w14:schemeClr w14:val="tx1"/>
                        </w14:solidFill>
                      </w14:textFill>
                    </w:rPr>
                    <w:t>12.1596</w:t>
                  </w:r>
                </w:p>
              </w:tc>
              <w:tc>
                <w:tcPr>
                  <w:tcW w:w="575" w:type="pct"/>
                  <w:vAlign w:val="center"/>
                </w:tcPr>
                <w:p w14:paraId="68DB77F7">
                  <w:pPr>
                    <w:rPr>
                      <w:color w:val="000000" w:themeColor="text1"/>
                      <w14:textFill>
                        <w14:solidFill>
                          <w14:schemeClr w14:val="tx1"/>
                        </w14:solidFill>
                      </w14:textFill>
                    </w:rPr>
                  </w:pPr>
                  <w:r>
                    <w:rPr>
                      <w:color w:val="000000" w:themeColor="text1"/>
                      <w14:textFill>
                        <w14:solidFill>
                          <w14:schemeClr w14:val="tx1"/>
                        </w14:solidFill>
                      </w14:textFill>
                    </w:rPr>
                    <w:t>12</w:t>
                  </w:r>
                </w:p>
              </w:tc>
              <w:tc>
                <w:tcPr>
                  <w:tcW w:w="758" w:type="pct"/>
                  <w:vMerge w:val="restart"/>
                  <w:vAlign w:val="center"/>
                </w:tcPr>
                <w:p w14:paraId="7B6C8BF7">
                  <w:pPr>
                    <w:rPr>
                      <w:color w:val="000000" w:themeColor="text1"/>
                      <w14:textFill>
                        <w14:solidFill>
                          <w14:schemeClr w14:val="tx1"/>
                        </w14:solidFill>
                      </w14:textFill>
                    </w:rPr>
                  </w:pPr>
                  <w:r>
                    <w:rPr>
                      <w:color w:val="000000" w:themeColor="text1"/>
                      <w14:textFill>
                        <w14:solidFill>
                          <w14:schemeClr w14:val="tx1"/>
                        </w14:solidFill>
                      </w14:textFill>
                    </w:rPr>
                    <w:t>集气系统（收集率99%）+布袋除尘器（去除99.9%）+1根排气筒</w:t>
                  </w:r>
                </w:p>
              </w:tc>
              <w:tc>
                <w:tcPr>
                  <w:tcW w:w="401" w:type="pct"/>
                  <w:vMerge w:val="restart"/>
                  <w:vAlign w:val="center"/>
                </w:tcPr>
                <w:p w14:paraId="0521F181">
                  <w:pPr>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439" w:type="pct"/>
                  <w:vAlign w:val="center"/>
                </w:tcPr>
                <w:p w14:paraId="3D308895">
                  <w:pPr>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497" w:type="pct"/>
                  <w:gridSpan w:val="2"/>
                  <w:vAlign w:val="center"/>
                </w:tcPr>
                <w:p w14:paraId="4CCD9623">
                  <w:pPr>
                    <w:rPr>
                      <w:color w:val="000000" w:themeColor="text1"/>
                      <w14:textFill>
                        <w14:solidFill>
                          <w14:schemeClr w14:val="tx1"/>
                        </w14:solidFill>
                      </w14:textFill>
                    </w:rPr>
                  </w:pPr>
                  <w:r>
                    <w:rPr>
                      <w:color w:val="000000" w:themeColor="text1"/>
                      <w14:textFill>
                        <w14:solidFill>
                          <w14:schemeClr w14:val="tx1"/>
                        </w14:solidFill>
                      </w14:textFill>
                    </w:rPr>
                    <w:t xml:space="preserve">0.0132 </w:t>
                  </w:r>
                </w:p>
                <w:p w14:paraId="6C6EA34A">
                  <w:pPr>
                    <w:rPr>
                      <w:color w:val="000000" w:themeColor="text1"/>
                      <w14:textFill>
                        <w14:solidFill>
                          <w14:schemeClr w14:val="tx1"/>
                        </w14:solidFill>
                      </w14:textFill>
                    </w:rPr>
                  </w:pPr>
                </w:p>
              </w:tc>
              <w:tc>
                <w:tcPr>
                  <w:tcW w:w="689" w:type="pct"/>
                  <w:gridSpan w:val="2"/>
                  <w:vAlign w:val="center"/>
                </w:tcPr>
                <w:p w14:paraId="142B1845">
                  <w:pPr>
                    <w:rPr>
                      <w:color w:val="000000" w:themeColor="text1"/>
                      <w14:textFill>
                        <w14:solidFill>
                          <w14:schemeClr w14:val="tx1"/>
                        </w14:solidFill>
                      </w14:textFill>
                    </w:rPr>
                  </w:pPr>
                  <w:r>
                    <w:rPr>
                      <w:color w:val="000000" w:themeColor="text1"/>
                      <w14:textFill>
                        <w14:solidFill>
                          <w14:schemeClr w14:val="tx1"/>
                        </w14:solidFill>
                      </w14:textFill>
                    </w:rPr>
                    <w:t xml:space="preserve">0.0130 </w:t>
                  </w:r>
                </w:p>
                <w:p w14:paraId="17036F80">
                  <w:pPr>
                    <w:rPr>
                      <w:color w:val="000000" w:themeColor="text1"/>
                      <w14:textFill>
                        <w14:solidFill>
                          <w14:schemeClr w14:val="tx1"/>
                        </w14:solidFill>
                      </w14:textFill>
                    </w:rPr>
                  </w:pPr>
                </w:p>
              </w:tc>
              <w:tc>
                <w:tcPr>
                  <w:tcW w:w="696" w:type="pct"/>
                  <w:gridSpan w:val="2"/>
                  <w:vAlign w:val="center"/>
                </w:tcPr>
                <w:p w14:paraId="79629ABC">
                  <w:pPr>
                    <w:rPr>
                      <w:color w:val="000000" w:themeColor="text1"/>
                      <w14:textFill>
                        <w14:solidFill>
                          <w14:schemeClr w14:val="tx1"/>
                        </w14:solidFill>
                      </w14:textFill>
                    </w:rPr>
                  </w:pPr>
                  <w:r>
                    <w:rPr>
                      <w:color w:val="000000" w:themeColor="text1"/>
                      <w14:textFill>
                        <w14:solidFill>
                          <w14:schemeClr w14:val="tx1"/>
                        </w14:solidFill>
                      </w14:textFill>
                    </w:rPr>
                    <w:t xml:space="preserve">1.3037 </w:t>
                  </w:r>
                </w:p>
                <w:p w14:paraId="1604DBDA">
                  <w:pPr>
                    <w:rPr>
                      <w:color w:val="000000" w:themeColor="text1"/>
                      <w14:textFill>
                        <w14:solidFill>
                          <w14:schemeClr w14:val="tx1"/>
                        </w14:solidFill>
                      </w14:textFill>
                    </w:rPr>
                  </w:pPr>
                </w:p>
              </w:tc>
            </w:tr>
            <w:tr w14:paraId="6BF6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1245" w:hRule="atLeast"/>
                <w:jc w:val="center"/>
              </w:trPr>
              <w:tc>
                <w:tcPr>
                  <w:tcW w:w="410" w:type="pct"/>
                  <w:vAlign w:val="center"/>
                </w:tcPr>
                <w:p w14:paraId="1CBA3010">
                  <w:pPr>
                    <w:rPr>
                      <w:b/>
                      <w:bCs/>
                      <w:color w:val="000000" w:themeColor="text1"/>
                      <w14:textFill>
                        <w14:solidFill>
                          <w14:schemeClr w14:val="tx1"/>
                        </w14:solidFill>
                      </w14:textFill>
                    </w:rPr>
                  </w:pPr>
                  <w:r>
                    <w:rPr>
                      <w:b/>
                      <w:bCs/>
                      <w:color w:val="000000" w:themeColor="text1"/>
                      <w14:textFill>
                        <w14:solidFill>
                          <w14:schemeClr w14:val="tx1"/>
                        </w14:solidFill>
                      </w14:textFill>
                    </w:rPr>
                    <w:t>配料搅拌</w:t>
                  </w:r>
                </w:p>
              </w:tc>
              <w:tc>
                <w:tcPr>
                  <w:tcW w:w="530" w:type="pct"/>
                  <w:vAlign w:val="center"/>
                </w:tcPr>
                <w:p w14:paraId="6593A5D3">
                  <w:pPr>
                    <w:rPr>
                      <w:color w:val="000000" w:themeColor="text1"/>
                      <w14:textFill>
                        <w14:solidFill>
                          <w14:schemeClr w14:val="tx1"/>
                        </w14:solidFill>
                      </w14:textFill>
                    </w:rPr>
                  </w:pPr>
                  <w:r>
                    <w:rPr>
                      <w:color w:val="000000" w:themeColor="text1"/>
                      <w14:textFill>
                        <w14:solidFill>
                          <w14:schemeClr w14:val="tx1"/>
                        </w14:solidFill>
                      </w14:textFill>
                    </w:rPr>
                    <w:t>1.1933</w:t>
                  </w:r>
                </w:p>
              </w:tc>
              <w:tc>
                <w:tcPr>
                  <w:tcW w:w="575" w:type="pct"/>
                  <w:vAlign w:val="center"/>
                </w:tcPr>
                <w:p w14:paraId="0FCAAF86">
                  <w:pPr>
                    <w:rPr>
                      <w:color w:val="000000" w:themeColor="text1"/>
                      <w14:textFill>
                        <w14:solidFill>
                          <w14:schemeClr w14:val="tx1"/>
                        </w14:solidFill>
                      </w14:textFill>
                    </w:rPr>
                  </w:pPr>
                  <w:r>
                    <w:rPr>
                      <w:color w:val="000000" w:themeColor="text1"/>
                      <w14:textFill>
                        <w14:solidFill>
                          <w14:schemeClr w14:val="tx1"/>
                        </w14:solidFill>
                      </w14:textFill>
                    </w:rPr>
                    <w:t>1.325</w:t>
                  </w:r>
                </w:p>
              </w:tc>
              <w:tc>
                <w:tcPr>
                  <w:tcW w:w="758" w:type="pct"/>
                  <w:vMerge w:val="continue"/>
                  <w:vAlign w:val="center"/>
                </w:tcPr>
                <w:p w14:paraId="2C003126">
                  <w:pPr>
                    <w:rPr>
                      <w:color w:val="000000" w:themeColor="text1"/>
                      <w14:textFill>
                        <w14:solidFill>
                          <w14:schemeClr w14:val="tx1"/>
                        </w14:solidFill>
                      </w14:textFill>
                    </w:rPr>
                  </w:pPr>
                </w:p>
              </w:tc>
              <w:tc>
                <w:tcPr>
                  <w:tcW w:w="401" w:type="pct"/>
                  <w:vMerge w:val="continue"/>
                </w:tcPr>
                <w:p w14:paraId="055FC482">
                  <w:pPr>
                    <w:rPr>
                      <w:color w:val="000000" w:themeColor="text1"/>
                      <w14:textFill>
                        <w14:solidFill>
                          <w14:schemeClr w14:val="tx1"/>
                        </w14:solidFill>
                      </w14:textFill>
                    </w:rPr>
                  </w:pPr>
                </w:p>
              </w:tc>
              <w:tc>
                <w:tcPr>
                  <w:tcW w:w="439" w:type="pct"/>
                  <w:vAlign w:val="center"/>
                </w:tcPr>
                <w:p w14:paraId="69C16380">
                  <w:pPr>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97" w:type="pct"/>
                  <w:gridSpan w:val="2"/>
                  <w:vAlign w:val="center"/>
                </w:tcPr>
                <w:p w14:paraId="4DA20EE3">
                  <w:pPr>
                    <w:rPr>
                      <w:color w:val="000000" w:themeColor="text1"/>
                      <w14:textFill>
                        <w14:solidFill>
                          <w14:schemeClr w14:val="tx1"/>
                        </w14:solidFill>
                      </w14:textFill>
                    </w:rPr>
                  </w:pPr>
                  <w:r>
                    <w:rPr>
                      <w:color w:val="000000" w:themeColor="text1"/>
                      <w14:textFill>
                        <w14:solidFill>
                          <w14:schemeClr w14:val="tx1"/>
                        </w14:solidFill>
                      </w14:textFill>
                    </w:rPr>
                    <w:t>0.1335</w:t>
                  </w:r>
                </w:p>
              </w:tc>
              <w:tc>
                <w:tcPr>
                  <w:tcW w:w="689" w:type="pct"/>
                  <w:gridSpan w:val="2"/>
                  <w:vAlign w:val="center"/>
                </w:tcPr>
                <w:p w14:paraId="2DB69DB5">
                  <w:pPr>
                    <w:rPr>
                      <w:color w:val="000000" w:themeColor="text1"/>
                      <w14:textFill>
                        <w14:solidFill>
                          <w14:schemeClr w14:val="tx1"/>
                        </w14:solidFill>
                      </w14:textFill>
                    </w:rPr>
                  </w:pPr>
                  <w:r>
                    <w:rPr>
                      <w:color w:val="000000" w:themeColor="text1"/>
                      <w14:textFill>
                        <w14:solidFill>
                          <w14:schemeClr w14:val="tx1"/>
                        </w14:solidFill>
                      </w14:textFill>
                    </w:rPr>
                    <w:t>0.1317</w:t>
                  </w:r>
                </w:p>
              </w:tc>
              <w:tc>
                <w:tcPr>
                  <w:tcW w:w="696" w:type="pct"/>
                  <w:gridSpan w:val="2"/>
                  <w:vAlign w:val="center"/>
                </w:tcPr>
                <w:p w14:paraId="67DA6C90">
                  <w:pPr>
                    <w:rPr>
                      <w:color w:val="000000" w:themeColor="text1"/>
                      <w14:textFill>
                        <w14:solidFill>
                          <w14:schemeClr w14:val="tx1"/>
                        </w14:solidFill>
                      </w14:textFill>
                    </w:rPr>
                  </w:pPr>
                  <w:r>
                    <w:rPr>
                      <w:color w:val="000000" w:themeColor="text1"/>
                      <w14:textFill>
                        <w14:solidFill>
                          <w14:schemeClr w14:val="tx1"/>
                        </w14:solidFill>
                      </w14:textFill>
                    </w:rPr>
                    <w:t>-</w:t>
                  </w:r>
                </w:p>
              </w:tc>
            </w:tr>
            <w:tr w14:paraId="631B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18" w:type="pct"/>
                  <w:gridSpan w:val="7"/>
                </w:tcPr>
                <w:p w14:paraId="346B8E0F">
                  <w:pPr>
                    <w:rPr>
                      <w:color w:val="000000" w:themeColor="text1"/>
                      <w14:textFill>
                        <w14:solidFill>
                          <w14:schemeClr w14:val="tx1"/>
                        </w14:solidFill>
                      </w14:textFill>
                    </w:rPr>
                  </w:pPr>
                  <w:r>
                    <w:rPr>
                      <w:color w:val="000000" w:themeColor="text1"/>
                      <w14:textFill>
                        <w14:solidFill>
                          <w14:schemeClr w14:val="tx1"/>
                        </w14:solidFill>
                      </w14:textFill>
                    </w:rPr>
                    <w:t>《水泥工业大气污染物排放标准》（GB4915-2013）散装水泥及水泥制品生产标准限值</w:t>
                  </w:r>
                </w:p>
              </w:tc>
              <w:tc>
                <w:tcPr>
                  <w:tcW w:w="497" w:type="pct"/>
                  <w:gridSpan w:val="2"/>
                  <w:vAlign w:val="center"/>
                </w:tcPr>
                <w:p w14:paraId="5A9C9B4B">
                  <w:pPr>
                    <w:rPr>
                      <w:color w:val="000000" w:themeColor="text1"/>
                      <w14:textFill>
                        <w14:solidFill>
                          <w14:schemeClr w14:val="tx1"/>
                        </w14:solidFill>
                      </w14:textFill>
                    </w:rPr>
                  </w:pPr>
                  <w:r>
                    <w:rPr>
                      <w:color w:val="000000" w:themeColor="text1"/>
                      <w14:textFill>
                        <w14:solidFill>
                          <w14:schemeClr w14:val="tx1"/>
                        </w14:solidFill>
                      </w14:textFill>
                    </w:rPr>
                    <w:t>-</w:t>
                  </w:r>
                </w:p>
              </w:tc>
              <w:tc>
                <w:tcPr>
                  <w:tcW w:w="689" w:type="pct"/>
                  <w:gridSpan w:val="2"/>
                  <w:vAlign w:val="center"/>
                </w:tcPr>
                <w:p w14:paraId="16A755A9">
                  <w:pPr>
                    <w:rPr>
                      <w:color w:val="000000" w:themeColor="text1"/>
                      <w14:textFill>
                        <w14:solidFill>
                          <w14:schemeClr w14:val="tx1"/>
                        </w14:solidFill>
                      </w14:textFill>
                    </w:rPr>
                  </w:pPr>
                  <w:r>
                    <w:rPr>
                      <w:color w:val="000000" w:themeColor="text1"/>
                      <w14:textFill>
                        <w14:solidFill>
                          <w14:schemeClr w14:val="tx1"/>
                        </w14:solidFill>
                      </w14:textFill>
                    </w:rPr>
                    <w:t>-</w:t>
                  </w:r>
                </w:p>
              </w:tc>
              <w:tc>
                <w:tcPr>
                  <w:tcW w:w="696" w:type="pct"/>
                  <w:gridSpan w:val="2"/>
                  <w:vAlign w:val="center"/>
                </w:tcPr>
                <w:p w14:paraId="1B01BB93">
                  <w:pPr>
                    <w:rPr>
                      <w:color w:val="000000" w:themeColor="text1"/>
                      <w14:textFill>
                        <w14:solidFill>
                          <w14:schemeClr w14:val="tx1"/>
                        </w14:solidFill>
                      </w14:textFill>
                    </w:rPr>
                  </w:pPr>
                  <w:r>
                    <w:rPr>
                      <w:color w:val="000000" w:themeColor="text1"/>
                      <w14:textFill>
                        <w14:solidFill>
                          <w14:schemeClr w14:val="tx1"/>
                        </w14:solidFill>
                      </w14:textFill>
                    </w:rPr>
                    <w:t>10</w:t>
                  </w:r>
                </w:p>
              </w:tc>
            </w:tr>
          </w:tbl>
          <w:p w14:paraId="613D2EBD">
            <w:pPr>
              <w:spacing w:before="120" w:beforeLines="50"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本项目锅炉废气产生与排放：</w:t>
            </w:r>
          </w:p>
          <w:p w14:paraId="5F84374B">
            <w:pPr>
              <w:adjustRightInd w:val="0"/>
              <w:snapToGrid w:val="0"/>
              <w:spacing w:line="360" w:lineRule="auto"/>
              <w:ind w:firstLine="482" w:firstLineChars="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表4-3 锅炉废气排放一览表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1"/>
              <w:gridCol w:w="1655"/>
              <w:gridCol w:w="1574"/>
              <w:gridCol w:w="2062"/>
            </w:tblGrid>
            <w:tr w14:paraId="1392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984" w:type="pct"/>
                  <w:vAlign w:val="center"/>
                </w:tcPr>
                <w:p w14:paraId="490D9FE9">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项目</w:t>
                  </w:r>
                </w:p>
              </w:tc>
              <w:tc>
                <w:tcPr>
                  <w:tcW w:w="943" w:type="pct"/>
                  <w:vAlign w:val="center"/>
                </w:tcPr>
                <w:p w14:paraId="75C2270E">
                  <w:pPr>
                    <w:pStyle w:val="46"/>
                    <w:spacing w:beforeLines="0" w:afterLines="0" w:line="240" w:lineRule="auto"/>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烟尘</w:t>
                  </w:r>
                </w:p>
              </w:tc>
              <w:tc>
                <w:tcPr>
                  <w:tcW w:w="897" w:type="pct"/>
                  <w:vAlign w:val="center"/>
                </w:tcPr>
                <w:p w14:paraId="58D7D23A">
                  <w:pPr>
                    <w:pStyle w:val="46"/>
                    <w:spacing w:beforeLines="0" w:afterLines="0" w:line="240" w:lineRule="auto"/>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SO</w:t>
                  </w:r>
                  <w:r>
                    <w:rPr>
                      <w:rFonts w:ascii="Times New Roman" w:eastAsiaTheme="minorEastAsia"/>
                      <w:b/>
                      <w:color w:val="000000" w:themeColor="text1"/>
                      <w:sz w:val="24"/>
                      <w:szCs w:val="24"/>
                      <w:vertAlign w:val="subscript"/>
                      <w14:textFill>
                        <w14:solidFill>
                          <w14:schemeClr w14:val="tx1"/>
                        </w14:solidFill>
                      </w14:textFill>
                    </w:rPr>
                    <w:t>2</w:t>
                  </w:r>
                </w:p>
              </w:tc>
              <w:tc>
                <w:tcPr>
                  <w:tcW w:w="1175" w:type="pct"/>
                  <w:vAlign w:val="center"/>
                </w:tcPr>
                <w:p w14:paraId="3366D2B0">
                  <w:pPr>
                    <w:pStyle w:val="46"/>
                    <w:spacing w:beforeLines="0" w:afterLines="0" w:line="240" w:lineRule="auto"/>
                    <w:jc w:val="both"/>
                    <w:rPr>
                      <w:rFonts w:ascii="Times New Roman" w:eastAsiaTheme="minorEastAsia"/>
                      <w:b/>
                      <w:color w:val="000000" w:themeColor="text1"/>
                      <w:sz w:val="24"/>
                      <w:szCs w:val="24"/>
                      <w14:textFill>
                        <w14:solidFill>
                          <w14:schemeClr w14:val="tx1"/>
                        </w14:solidFill>
                      </w14:textFill>
                    </w:rPr>
                  </w:pPr>
                  <w:r>
                    <w:rPr>
                      <w:rFonts w:ascii="Times New Roman" w:eastAsiaTheme="minorEastAsia"/>
                      <w:b/>
                      <w:color w:val="000000" w:themeColor="text1"/>
                      <w:sz w:val="24"/>
                      <w:szCs w:val="24"/>
                      <w14:textFill>
                        <w14:solidFill>
                          <w14:schemeClr w14:val="tx1"/>
                        </w14:solidFill>
                      </w14:textFill>
                    </w:rPr>
                    <w:t>NOx（低氮燃烧-国内领先）</w:t>
                  </w:r>
                </w:p>
              </w:tc>
            </w:tr>
            <w:tr w14:paraId="07DC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pct"/>
                  <w:vAlign w:val="center"/>
                </w:tcPr>
                <w:p w14:paraId="4DDBBA7F">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产生量</w:t>
                  </w:r>
                </w:p>
              </w:tc>
              <w:tc>
                <w:tcPr>
                  <w:tcW w:w="943" w:type="pct"/>
                  <w:vAlign w:val="center"/>
                </w:tcPr>
                <w:p w14:paraId="44548C70">
                  <w:pPr>
                    <w:pStyle w:val="46"/>
                    <w:spacing w:beforeLines="0" w:afterLines="0" w:line="240" w:lineRule="auto"/>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0.072t/a</w:t>
                  </w:r>
                </w:p>
              </w:tc>
              <w:tc>
                <w:tcPr>
                  <w:tcW w:w="897" w:type="pct"/>
                  <w:vAlign w:val="center"/>
                </w:tcPr>
                <w:p w14:paraId="4659DACD">
                  <w:pPr>
                    <w:pStyle w:val="46"/>
                    <w:spacing w:beforeLines="0" w:afterLines="0" w:line="240" w:lineRule="auto"/>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0.24t/a</w:t>
                  </w:r>
                </w:p>
              </w:tc>
              <w:tc>
                <w:tcPr>
                  <w:tcW w:w="1175" w:type="pct"/>
                  <w:vAlign w:val="center"/>
                </w:tcPr>
                <w:p w14:paraId="1923B92B">
                  <w:pPr>
                    <w:pStyle w:val="46"/>
                    <w:spacing w:beforeLines="0" w:afterLines="0" w:line="240" w:lineRule="auto"/>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0.42t/a</w:t>
                  </w:r>
                </w:p>
              </w:tc>
            </w:tr>
            <w:tr w14:paraId="4746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4" w:type="pct"/>
                  <w:vAlign w:val="center"/>
                </w:tcPr>
                <w:p w14:paraId="4B8F4CF1">
                  <w:pPr>
                    <w:pStyle w:val="46"/>
                    <w:spacing w:beforeLines="0" w:afterLines="0" w:line="240" w:lineRule="auto"/>
                    <w:jc w:val="both"/>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产生速率</w:t>
                  </w:r>
                </w:p>
              </w:tc>
              <w:tc>
                <w:tcPr>
                  <w:tcW w:w="943" w:type="pct"/>
                  <w:vAlign w:val="center"/>
                </w:tcPr>
                <w:p w14:paraId="049F0CE5">
                  <w:pPr>
                    <w:pStyle w:val="46"/>
                    <w:spacing w:beforeLines="0" w:afterLines="0" w:line="240" w:lineRule="auto"/>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0.01</w:t>
                  </w:r>
                  <w:r>
                    <w:rPr>
                      <w:rFonts w:ascii="Times New Roman" w:eastAsiaTheme="minorEastAsia"/>
                      <w:color w:val="000000" w:themeColor="text1"/>
                      <w:kern w:val="2"/>
                      <w:sz w:val="24"/>
                      <w:szCs w:val="24"/>
                      <w14:textFill>
                        <w14:solidFill>
                          <w14:schemeClr w14:val="tx1"/>
                        </w14:solidFill>
                      </w14:textFill>
                    </w:rPr>
                    <w:t>kg/h</w:t>
                  </w:r>
                </w:p>
              </w:tc>
              <w:tc>
                <w:tcPr>
                  <w:tcW w:w="897" w:type="pct"/>
                  <w:vAlign w:val="center"/>
                </w:tcPr>
                <w:p w14:paraId="16DAD1ED">
                  <w:pPr>
                    <w:pStyle w:val="46"/>
                    <w:spacing w:beforeLines="0" w:afterLines="0" w:line="240" w:lineRule="auto"/>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0.0333</w:t>
                  </w:r>
                  <w:r>
                    <w:rPr>
                      <w:rFonts w:ascii="Times New Roman" w:eastAsiaTheme="minorEastAsia"/>
                      <w:color w:val="000000" w:themeColor="text1"/>
                      <w:kern w:val="2"/>
                      <w:sz w:val="24"/>
                      <w:szCs w:val="24"/>
                      <w14:textFill>
                        <w14:solidFill>
                          <w14:schemeClr w14:val="tx1"/>
                        </w14:solidFill>
                      </w14:textFill>
                    </w:rPr>
                    <w:t>kg/h</w:t>
                  </w:r>
                </w:p>
              </w:tc>
              <w:tc>
                <w:tcPr>
                  <w:tcW w:w="1175" w:type="pct"/>
                  <w:vAlign w:val="center"/>
                </w:tcPr>
                <w:p w14:paraId="60BCA6EC">
                  <w:pPr>
                    <w:pStyle w:val="46"/>
                    <w:spacing w:beforeLines="0" w:afterLines="0" w:line="240" w:lineRule="auto"/>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0.0583</w:t>
                  </w:r>
                  <w:r>
                    <w:rPr>
                      <w:rFonts w:ascii="Times New Roman" w:eastAsiaTheme="minorEastAsia"/>
                      <w:color w:val="000000" w:themeColor="text1"/>
                      <w:kern w:val="2"/>
                      <w:sz w:val="24"/>
                      <w:szCs w:val="24"/>
                      <w14:textFill>
                        <w14:solidFill>
                          <w14:schemeClr w14:val="tx1"/>
                        </w14:solidFill>
                      </w14:textFill>
                    </w:rPr>
                    <w:t>kg/h</w:t>
                  </w:r>
                </w:p>
              </w:tc>
            </w:tr>
            <w:tr w14:paraId="45C5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984" w:type="pct"/>
                  <w:vAlign w:val="center"/>
                </w:tcPr>
                <w:p w14:paraId="430E80E3">
                  <w:pPr>
                    <w:pStyle w:val="46"/>
                    <w:spacing w:beforeLines="0" w:afterLines="0" w:line="240" w:lineRule="auto"/>
                    <w:jc w:val="both"/>
                    <w:rPr>
                      <w:rFonts w:ascii="Times New Roman" w:eastAsiaTheme="minorEastAsia"/>
                      <w:b/>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产生浓度</w:t>
                  </w:r>
                </w:p>
              </w:tc>
              <w:tc>
                <w:tcPr>
                  <w:tcW w:w="943" w:type="pct"/>
                  <w:vAlign w:val="center"/>
                </w:tcPr>
                <w:p w14:paraId="080CDE8F">
                  <w:pPr>
                    <w:pStyle w:val="46"/>
                    <w:spacing w:beforeLines="0" w:afterLines="0" w:line="240" w:lineRule="auto"/>
                    <w:rPr>
                      <w:rFonts w:ascii="Times New Roman" w:eastAsiaTheme="minorEastAsia"/>
                      <w:bCs/>
                      <w:iCs/>
                      <w:snapToGrid w:val="0"/>
                      <w:color w:val="000000" w:themeColor="text1"/>
                      <w:spacing w:val="-4"/>
                      <w:sz w:val="24"/>
                      <w:szCs w:val="24"/>
                      <w:vertAlign w:val="superscript"/>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11.13mg/m</w:t>
                  </w:r>
                  <w:r>
                    <w:rPr>
                      <w:rFonts w:ascii="Times New Roman" w:eastAsiaTheme="minorEastAsia"/>
                      <w:color w:val="000000" w:themeColor="text1"/>
                      <w:sz w:val="24"/>
                      <w:szCs w:val="24"/>
                      <w:vertAlign w:val="superscript"/>
                      <w14:textFill>
                        <w14:solidFill>
                          <w14:schemeClr w14:val="tx1"/>
                        </w14:solidFill>
                      </w14:textFill>
                    </w:rPr>
                    <w:t>3</w:t>
                  </w:r>
                </w:p>
              </w:tc>
              <w:tc>
                <w:tcPr>
                  <w:tcW w:w="897" w:type="pct"/>
                  <w:vAlign w:val="center"/>
                </w:tcPr>
                <w:p w14:paraId="68DFAF41">
                  <w:pPr>
                    <w:pStyle w:val="46"/>
                    <w:spacing w:beforeLines="0" w:afterLines="0" w:line="240" w:lineRule="auto"/>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37.12mg/m</w:t>
                  </w:r>
                  <w:r>
                    <w:rPr>
                      <w:rFonts w:ascii="Times New Roman" w:eastAsiaTheme="minorEastAsia"/>
                      <w:color w:val="000000" w:themeColor="text1"/>
                      <w:sz w:val="24"/>
                      <w:szCs w:val="24"/>
                      <w:vertAlign w:val="superscript"/>
                      <w14:textFill>
                        <w14:solidFill>
                          <w14:schemeClr w14:val="tx1"/>
                        </w14:solidFill>
                      </w14:textFill>
                    </w:rPr>
                    <w:t>3</w:t>
                  </w:r>
                </w:p>
              </w:tc>
              <w:tc>
                <w:tcPr>
                  <w:tcW w:w="1175" w:type="pct"/>
                  <w:vAlign w:val="center"/>
                </w:tcPr>
                <w:p w14:paraId="7B9238FC">
                  <w:pPr>
                    <w:pStyle w:val="46"/>
                    <w:spacing w:beforeLines="0" w:afterLines="0" w:line="240" w:lineRule="auto"/>
                    <w:rPr>
                      <w:rFonts w:ascii="Times New Roman" w:eastAsiaTheme="minorEastAsia"/>
                      <w:bCs/>
                      <w:iCs/>
                      <w:snapToGrid w:val="0"/>
                      <w:color w:val="000000" w:themeColor="text1"/>
                      <w:spacing w:val="-4"/>
                      <w:sz w:val="24"/>
                      <w:szCs w:val="24"/>
                      <w:lang w:bidi="en-US"/>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64.96mg/m</w:t>
                  </w:r>
                  <w:r>
                    <w:rPr>
                      <w:rFonts w:ascii="Times New Roman" w:eastAsiaTheme="minorEastAsia"/>
                      <w:color w:val="000000" w:themeColor="text1"/>
                      <w:sz w:val="24"/>
                      <w:szCs w:val="24"/>
                      <w:vertAlign w:val="superscript"/>
                      <w14:textFill>
                        <w14:solidFill>
                          <w14:schemeClr w14:val="tx1"/>
                        </w14:solidFill>
                      </w14:textFill>
                    </w:rPr>
                    <w:t>3</w:t>
                  </w:r>
                </w:p>
              </w:tc>
            </w:tr>
            <w:tr w14:paraId="0558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984" w:type="pct"/>
                  <w:vAlign w:val="center"/>
                </w:tcPr>
                <w:p w14:paraId="002ED0D8">
                  <w:pPr>
                    <w:pStyle w:val="46"/>
                    <w:spacing w:beforeLines="0" w:afterLines="0" w:line="240" w:lineRule="auto"/>
                    <w:jc w:val="both"/>
                    <w:rPr>
                      <w:rFonts w:ascii="Times New Roman" w:eastAsiaTheme="minorEastAsia"/>
                      <w:color w:val="000000" w:themeColor="text1"/>
                      <w:sz w:val="24"/>
                      <w:szCs w:val="24"/>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《锅炉大气污染物排放标准》（GB13271-2014）表3 燃气标准</w:t>
                  </w:r>
                </w:p>
              </w:tc>
              <w:tc>
                <w:tcPr>
                  <w:tcW w:w="943" w:type="pct"/>
                  <w:vAlign w:val="center"/>
                </w:tcPr>
                <w:p w14:paraId="4E2A65EE">
                  <w:pPr>
                    <w:pStyle w:val="46"/>
                    <w:spacing w:beforeLines="0" w:afterLines="0" w:line="240" w:lineRule="auto"/>
                    <w:rPr>
                      <w:rFonts w:ascii="Times New Roman" w:eastAsiaTheme="minorEastAsia"/>
                      <w:color w:val="000000" w:themeColor="text1"/>
                      <w:sz w:val="24"/>
                      <w:szCs w:val="24"/>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20</w:t>
                  </w:r>
                </w:p>
              </w:tc>
              <w:tc>
                <w:tcPr>
                  <w:tcW w:w="897" w:type="pct"/>
                  <w:vAlign w:val="center"/>
                </w:tcPr>
                <w:p w14:paraId="62FDE5FD">
                  <w:pPr>
                    <w:pStyle w:val="46"/>
                    <w:spacing w:beforeLines="0" w:afterLines="0" w:line="240" w:lineRule="auto"/>
                    <w:rPr>
                      <w:rFonts w:ascii="Times New Roman" w:eastAsiaTheme="minorEastAsia"/>
                      <w:color w:val="000000" w:themeColor="text1"/>
                      <w:sz w:val="24"/>
                      <w:szCs w:val="24"/>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50</w:t>
                  </w:r>
                </w:p>
              </w:tc>
              <w:tc>
                <w:tcPr>
                  <w:tcW w:w="1175" w:type="pct"/>
                  <w:vAlign w:val="center"/>
                </w:tcPr>
                <w:p w14:paraId="22A0A635">
                  <w:pPr>
                    <w:pStyle w:val="46"/>
                    <w:spacing w:beforeLines="0" w:afterLines="0" w:line="240" w:lineRule="auto"/>
                    <w:rPr>
                      <w:rFonts w:ascii="Times New Roman" w:eastAsiaTheme="minorEastAsia"/>
                      <w:color w:val="000000" w:themeColor="text1"/>
                      <w:sz w:val="24"/>
                      <w:szCs w:val="24"/>
                      <w14:textFill>
                        <w14:solidFill>
                          <w14:schemeClr w14:val="tx1"/>
                        </w14:solidFill>
                      </w14:textFill>
                    </w:rPr>
                  </w:pPr>
                  <w:r>
                    <w:rPr>
                      <w:rFonts w:ascii="Times New Roman" w:eastAsiaTheme="minorEastAsia"/>
                      <w:color w:val="000000" w:themeColor="text1"/>
                      <w:sz w:val="24"/>
                      <w:szCs w:val="24"/>
                      <w14:textFill>
                        <w14:solidFill>
                          <w14:schemeClr w14:val="tx1"/>
                        </w14:solidFill>
                      </w14:textFill>
                    </w:rPr>
                    <w:t>150</w:t>
                  </w:r>
                </w:p>
              </w:tc>
            </w:tr>
          </w:tbl>
          <w:p w14:paraId="20A484C0">
            <w:pPr>
              <w:spacing w:before="120" w:beforeLines="50"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本项目全程废气排放一览表：</w:t>
            </w:r>
          </w:p>
          <w:p w14:paraId="7AD3B623">
            <w:pPr>
              <w:adjustRightInd w:val="0"/>
              <w:snapToGrid w:val="0"/>
              <w:spacing w:line="360" w:lineRule="auto"/>
              <w:ind w:firstLine="482" w:firstLineChars="200"/>
              <w:jc w:val="center"/>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表4-4 项目废气排放一览表   单位：</w:t>
            </w:r>
            <w:r>
              <w:rPr>
                <w:rFonts w:eastAsiaTheme="minorEastAsia"/>
                <w:color w:val="000000" w:themeColor="text1"/>
                <w:sz w:val="24"/>
                <w14:textFill>
                  <w14:solidFill>
                    <w14:schemeClr w14:val="tx1"/>
                  </w14:solidFill>
                </w14:textFill>
              </w:rPr>
              <w:t>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2543"/>
              <w:gridCol w:w="1765"/>
              <w:gridCol w:w="1765"/>
              <w:gridCol w:w="1767"/>
            </w:tblGrid>
            <w:tr w14:paraId="1C5D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1FC6160A">
                  <w:pPr>
                    <w:pStyle w:val="2"/>
                    <w:ind w:left="0" w:leftChars="0"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序号</w:t>
                  </w:r>
                </w:p>
              </w:tc>
              <w:tc>
                <w:tcPr>
                  <w:tcW w:w="1449" w:type="pct"/>
                  <w:vAlign w:val="center"/>
                </w:tcPr>
                <w:p w14:paraId="42465E44">
                  <w:pPr>
                    <w:pStyle w:val="2"/>
                    <w:ind w:left="0" w:leftChars="0"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废气</w:t>
                  </w:r>
                </w:p>
              </w:tc>
              <w:tc>
                <w:tcPr>
                  <w:tcW w:w="1006" w:type="pct"/>
                  <w:vAlign w:val="center"/>
                </w:tcPr>
                <w:p w14:paraId="16D05EE0">
                  <w:pPr>
                    <w:pStyle w:val="2"/>
                    <w:ind w:left="0" w:leftChars="0"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有组织</w:t>
                  </w:r>
                </w:p>
              </w:tc>
              <w:tc>
                <w:tcPr>
                  <w:tcW w:w="1006" w:type="pct"/>
                  <w:vAlign w:val="center"/>
                </w:tcPr>
                <w:p w14:paraId="2851569E">
                  <w:pPr>
                    <w:pStyle w:val="2"/>
                    <w:ind w:left="0" w:leftChars="0"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无组织</w:t>
                  </w:r>
                </w:p>
              </w:tc>
              <w:tc>
                <w:tcPr>
                  <w:tcW w:w="1007" w:type="pct"/>
                  <w:vAlign w:val="center"/>
                </w:tcPr>
                <w:p w14:paraId="39DA715D">
                  <w:pPr>
                    <w:pStyle w:val="2"/>
                    <w:ind w:left="0" w:leftChars="0" w:firstLine="0" w:firstLineChars="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排放总量</w:t>
                  </w:r>
                </w:p>
              </w:tc>
            </w:tr>
            <w:tr w14:paraId="1E15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1FBC2578">
                  <w:pPr>
                    <w:pStyle w:val="2"/>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1449" w:type="pct"/>
                  <w:vAlign w:val="center"/>
                </w:tcPr>
                <w:p w14:paraId="281EE584">
                  <w:pPr>
                    <w:pStyle w:val="2"/>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006" w:type="pct"/>
                  <w:vAlign w:val="center"/>
                </w:tcPr>
                <w:p w14:paraId="5971BE2E">
                  <w:pPr>
                    <w:widowControl/>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 xml:space="preserve">0.0852 </w:t>
                  </w:r>
                </w:p>
              </w:tc>
              <w:tc>
                <w:tcPr>
                  <w:tcW w:w="1006" w:type="pct"/>
                  <w:vAlign w:val="center"/>
                </w:tcPr>
                <w:p w14:paraId="006649CA">
                  <w:pPr>
                    <w:widowControl/>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0.1551</w:t>
                  </w:r>
                </w:p>
              </w:tc>
              <w:tc>
                <w:tcPr>
                  <w:tcW w:w="1007" w:type="pct"/>
                  <w:vAlign w:val="center"/>
                </w:tcPr>
                <w:p w14:paraId="48BC4368">
                  <w:pPr>
                    <w:widowControl/>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 xml:space="preserve">0.2403 </w:t>
                  </w:r>
                </w:p>
              </w:tc>
            </w:tr>
            <w:tr w14:paraId="752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5CF23181">
                  <w:pPr>
                    <w:pStyle w:val="2"/>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1449" w:type="pct"/>
                  <w:vAlign w:val="center"/>
                </w:tcPr>
                <w:p w14:paraId="306B75DA">
                  <w:pPr>
                    <w:pStyle w:val="2"/>
                    <w:ind w:left="0" w:leftChars="0" w:firstLine="0" w:firstLineChars="0"/>
                    <w:rPr>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SO</w:t>
                  </w:r>
                  <w:r>
                    <w:rPr>
                      <w:rFonts w:eastAsiaTheme="minorEastAsia"/>
                      <w:bCs/>
                      <w:color w:val="000000" w:themeColor="text1"/>
                      <w:sz w:val="24"/>
                      <w:vertAlign w:val="subscript"/>
                      <w14:textFill>
                        <w14:solidFill>
                          <w14:schemeClr w14:val="tx1"/>
                        </w14:solidFill>
                      </w14:textFill>
                    </w:rPr>
                    <w:t>2</w:t>
                  </w:r>
                </w:p>
              </w:tc>
              <w:tc>
                <w:tcPr>
                  <w:tcW w:w="1006" w:type="pct"/>
                  <w:vAlign w:val="center"/>
                </w:tcPr>
                <w:p w14:paraId="75184416">
                  <w:pPr>
                    <w:pStyle w:val="2"/>
                    <w:ind w:left="0" w:leftChars="0" w:firstLine="0" w:firstLineChars="0"/>
                    <w:rPr>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0.24</w:t>
                  </w:r>
                </w:p>
              </w:tc>
              <w:tc>
                <w:tcPr>
                  <w:tcW w:w="1006" w:type="pct"/>
                  <w:vAlign w:val="center"/>
                </w:tcPr>
                <w:p w14:paraId="49D2355A">
                  <w:pPr>
                    <w:pStyle w:val="2"/>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007" w:type="pct"/>
                  <w:vAlign w:val="center"/>
                </w:tcPr>
                <w:p w14:paraId="1AC9A901">
                  <w:pPr>
                    <w:pStyle w:val="2"/>
                    <w:ind w:left="0" w:leftChars="0" w:firstLine="0" w:firstLineChars="0"/>
                    <w:rPr>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0.24</w:t>
                  </w:r>
                </w:p>
              </w:tc>
            </w:tr>
            <w:tr w14:paraId="57AA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pct"/>
                  <w:vAlign w:val="center"/>
                </w:tcPr>
                <w:p w14:paraId="04174374">
                  <w:pPr>
                    <w:pStyle w:val="2"/>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1449" w:type="pct"/>
                  <w:vAlign w:val="center"/>
                </w:tcPr>
                <w:p w14:paraId="624DE492">
                  <w:pPr>
                    <w:pStyle w:val="2"/>
                    <w:ind w:left="0" w:leftChars="0" w:firstLine="0" w:firstLineChars="0"/>
                    <w:rPr>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NOx</w:t>
                  </w:r>
                </w:p>
              </w:tc>
              <w:tc>
                <w:tcPr>
                  <w:tcW w:w="1006" w:type="pct"/>
                  <w:vAlign w:val="center"/>
                </w:tcPr>
                <w:p w14:paraId="288352C7">
                  <w:pPr>
                    <w:pStyle w:val="2"/>
                    <w:ind w:left="0" w:leftChars="0" w:firstLine="0" w:firstLineChars="0"/>
                    <w:rPr>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0.42</w:t>
                  </w:r>
                </w:p>
              </w:tc>
              <w:tc>
                <w:tcPr>
                  <w:tcW w:w="1006" w:type="pct"/>
                  <w:vAlign w:val="center"/>
                </w:tcPr>
                <w:p w14:paraId="17F4EC90">
                  <w:pPr>
                    <w:pStyle w:val="2"/>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007" w:type="pct"/>
                  <w:vAlign w:val="center"/>
                </w:tcPr>
                <w:p w14:paraId="0D50420C">
                  <w:pPr>
                    <w:pStyle w:val="2"/>
                    <w:ind w:left="0" w:leftChars="0" w:firstLine="0" w:firstLineChars="0"/>
                    <w:rPr>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0.42</w:t>
                  </w:r>
                </w:p>
              </w:tc>
            </w:tr>
          </w:tbl>
          <w:p w14:paraId="42001912">
            <w:pPr>
              <w:pStyle w:val="104"/>
              <w:spacing w:before="120" w:beforeLines="50" w:line="360" w:lineRule="auto"/>
              <w:ind w:firstLine="480" w:firstLineChars="200"/>
              <w:rPr>
                <w:b/>
                <w:bCs/>
                <w:color w:val="000000" w:themeColor="text1"/>
                <w:spacing w:val="0"/>
                <w:sz w:val="24"/>
                <w14:textFill>
                  <w14:solidFill>
                    <w14:schemeClr w14:val="tx1"/>
                  </w14:solidFill>
                </w14:textFill>
              </w:rPr>
            </w:pPr>
            <w:r>
              <w:rPr>
                <w:rFonts w:eastAsia="TimesNewRomanPS-BoldMT"/>
                <w:color w:val="000000" w:themeColor="text1"/>
                <w:spacing w:val="0"/>
                <w:sz w:val="24"/>
                <w:szCs w:val="24"/>
                <w14:textFill>
                  <w14:solidFill>
                    <w14:schemeClr w14:val="tx1"/>
                  </w14:solidFill>
                </w14:textFill>
              </w:rPr>
              <w:t>1.5</w:t>
            </w:r>
            <w:r>
              <w:rPr>
                <w:b/>
                <w:bCs/>
                <w:color w:val="000000" w:themeColor="text1"/>
                <w:sz w:val="24"/>
                <w:szCs w:val="24"/>
                <w14:textFill>
                  <w14:solidFill>
                    <w14:schemeClr w14:val="tx1"/>
                  </w14:solidFill>
                </w14:textFill>
              </w:rPr>
              <w:t>生产设施</w:t>
            </w:r>
            <w:r>
              <w:rPr>
                <w:b/>
                <w:bCs/>
                <w:color w:val="000000" w:themeColor="text1"/>
                <w:sz w:val="24"/>
                <w:szCs w:val="24"/>
                <w:lang w:bidi="ar"/>
                <w14:textFill>
                  <w14:solidFill>
                    <w14:schemeClr w14:val="tx1"/>
                  </w14:solidFill>
                </w14:textFill>
              </w:rPr>
              <w:t>非正常情况分析</w:t>
            </w:r>
          </w:p>
          <w:p w14:paraId="5384C129">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根据工程分析，在事故状态下，主要为废气处理设施发生故障不能正常运行的情况下，根据建设单位提供资料，废气处理设施发生故障后10分钟内，生产线设备能全部</w:t>
            </w:r>
            <w:r>
              <w:rPr>
                <w:color w:val="000000" w:themeColor="text1"/>
                <w:sz w:val="24"/>
                <w14:textFill>
                  <w14:solidFill>
                    <w14:schemeClr w14:val="tx1"/>
                  </w14:solidFill>
                </w14:textFill>
              </w:rPr>
              <w:t>停机停止生产。废</w:t>
            </w:r>
            <w:r>
              <w:rPr>
                <w:color w:val="000000" w:themeColor="text1"/>
                <w:kern w:val="0"/>
                <w:sz w:val="24"/>
                <w14:textFill>
                  <w14:solidFill>
                    <w14:schemeClr w14:val="tx1"/>
                  </w14:solidFill>
                </w14:textFill>
              </w:rPr>
              <w:t>气直接排入大气环境会对大气环境产生一定的影响。非正常情况下，</w:t>
            </w:r>
            <w:r>
              <w:rPr>
                <w:color w:val="000000" w:themeColor="text1"/>
                <w:sz w:val="24"/>
                <w14:textFill>
                  <w14:solidFill>
                    <w14:schemeClr w14:val="tx1"/>
                  </w14:solidFill>
                </w14:textFill>
              </w:rPr>
              <w:t>本项目10分钟内，颗粒物产生情况见下表。</w:t>
            </w:r>
          </w:p>
          <w:p w14:paraId="569165C7">
            <w:pPr>
              <w:pStyle w:val="2"/>
            </w:pPr>
          </w:p>
          <w:p w14:paraId="6C5775BA">
            <w:pPr>
              <w:autoSpaceDE w:val="0"/>
              <w:autoSpaceDN w:val="0"/>
              <w:spacing w:line="276" w:lineRule="auto"/>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表4-5  非正常工况下废气排放情况及采取措施一览表</w:t>
            </w:r>
          </w:p>
          <w:tbl>
            <w:tblPr>
              <w:tblStyle w:val="26"/>
              <w:tblW w:w="8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684"/>
              <w:gridCol w:w="478"/>
              <w:gridCol w:w="721"/>
              <w:gridCol w:w="1137"/>
              <w:gridCol w:w="1313"/>
              <w:gridCol w:w="945"/>
              <w:gridCol w:w="1714"/>
              <w:gridCol w:w="858"/>
            </w:tblGrid>
            <w:tr w14:paraId="4D5BE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tcBorders>
                    <w:tl2br w:val="nil"/>
                    <w:tr2bl w:val="nil"/>
                  </w:tcBorders>
                  <w:vAlign w:val="center"/>
                </w:tcPr>
                <w:p w14:paraId="466DD2C9">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非正常工况</w:t>
                  </w:r>
                </w:p>
              </w:tc>
              <w:tc>
                <w:tcPr>
                  <w:tcW w:w="1162" w:type="dxa"/>
                  <w:gridSpan w:val="2"/>
                  <w:tcBorders>
                    <w:tl2br w:val="nil"/>
                    <w:tr2bl w:val="nil"/>
                  </w:tcBorders>
                  <w:vAlign w:val="center"/>
                </w:tcPr>
                <w:p w14:paraId="45B46992">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721" w:type="dxa"/>
                  <w:tcBorders>
                    <w:tl2br w:val="nil"/>
                    <w:tr2bl w:val="nil"/>
                  </w:tcBorders>
                  <w:vAlign w:val="center"/>
                </w:tcPr>
                <w:p w14:paraId="67B48B8E">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排放形式</w:t>
                  </w:r>
                </w:p>
              </w:tc>
              <w:tc>
                <w:tcPr>
                  <w:tcW w:w="1137" w:type="dxa"/>
                  <w:tcBorders>
                    <w:tl2br w:val="nil"/>
                    <w:tr2bl w:val="nil"/>
                  </w:tcBorders>
                  <w:vAlign w:val="center"/>
                </w:tcPr>
                <w:p w14:paraId="3D15375F">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持续时间</w:t>
                  </w:r>
                </w:p>
              </w:tc>
              <w:tc>
                <w:tcPr>
                  <w:tcW w:w="1313" w:type="dxa"/>
                  <w:tcBorders>
                    <w:tl2br w:val="nil"/>
                    <w:tr2bl w:val="nil"/>
                  </w:tcBorders>
                  <w:vAlign w:val="center"/>
                </w:tcPr>
                <w:p w14:paraId="48171867">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w:t>
                  </w:r>
                  <w:r>
                    <w:rPr>
                      <w:b/>
                      <w:bCs/>
                      <w:color w:val="000000" w:themeColor="text1"/>
                      <w:szCs w:val="21"/>
                      <w14:textFill>
                        <w14:solidFill>
                          <w14:schemeClr w14:val="tx1"/>
                        </w14:solidFill>
                      </w14:textFill>
                    </w:rPr>
                    <w:t>kg/min</w:t>
                  </w:r>
                  <w:r>
                    <w:rPr>
                      <w:b/>
                      <w:bCs/>
                      <w:color w:val="000000" w:themeColor="text1"/>
                      <w:kern w:val="0"/>
                      <w:szCs w:val="21"/>
                      <w14:textFill>
                        <w14:solidFill>
                          <w14:schemeClr w14:val="tx1"/>
                        </w14:solidFill>
                      </w14:textFill>
                    </w:rPr>
                    <w:t>）</w:t>
                  </w:r>
                </w:p>
              </w:tc>
              <w:tc>
                <w:tcPr>
                  <w:tcW w:w="945" w:type="dxa"/>
                  <w:tcBorders>
                    <w:tl2br w:val="nil"/>
                    <w:tr2bl w:val="nil"/>
                  </w:tcBorders>
                  <w:vAlign w:val="center"/>
                </w:tcPr>
                <w:p w14:paraId="739F6F6A">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r>
                    <w:rPr>
                      <w:b/>
                      <w:bCs/>
                      <w:color w:val="000000" w:themeColor="text1"/>
                      <w:szCs w:val="21"/>
                      <w14:textFill>
                        <w14:solidFill>
                          <w14:schemeClr w14:val="tx1"/>
                        </w14:solidFill>
                      </w14:textFill>
                    </w:rPr>
                    <w:t>kg</w:t>
                  </w:r>
                  <w:r>
                    <w:rPr>
                      <w:b/>
                      <w:bCs/>
                      <w:color w:val="000000" w:themeColor="text1"/>
                      <w:kern w:val="0"/>
                      <w:szCs w:val="21"/>
                      <w14:textFill>
                        <w14:solidFill>
                          <w14:schemeClr w14:val="tx1"/>
                        </w14:solidFill>
                      </w14:textFill>
                    </w:rPr>
                    <w:t>）</w:t>
                  </w:r>
                </w:p>
              </w:tc>
              <w:tc>
                <w:tcPr>
                  <w:tcW w:w="1714" w:type="dxa"/>
                  <w:tcBorders>
                    <w:tl2br w:val="nil"/>
                    <w:tr2bl w:val="nil"/>
                  </w:tcBorders>
                  <w:vAlign w:val="center"/>
                </w:tcPr>
                <w:p w14:paraId="49B43994">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采取措施</w:t>
                  </w:r>
                </w:p>
              </w:tc>
              <w:tc>
                <w:tcPr>
                  <w:tcW w:w="858" w:type="dxa"/>
                  <w:tcBorders>
                    <w:tl2br w:val="nil"/>
                    <w:tr2bl w:val="nil"/>
                  </w:tcBorders>
                  <w:vAlign w:val="center"/>
                </w:tcPr>
                <w:p w14:paraId="41A3DA33">
                  <w:pPr>
                    <w:autoSpaceDE w:val="0"/>
                    <w:autoSpaceDN w:val="0"/>
                    <w:spacing w:line="280" w:lineRule="exact"/>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频次</w:t>
                  </w:r>
                </w:p>
              </w:tc>
            </w:tr>
            <w:tr w14:paraId="1B925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tcBorders>
                    <w:tl2br w:val="nil"/>
                    <w:tr2bl w:val="nil"/>
                  </w:tcBorders>
                  <w:vAlign w:val="center"/>
                </w:tcPr>
                <w:p w14:paraId="4D105A58">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废气处理设施发生故障</w:t>
                  </w:r>
                </w:p>
              </w:tc>
              <w:tc>
                <w:tcPr>
                  <w:tcW w:w="684" w:type="dxa"/>
                  <w:tcBorders>
                    <w:tl2br w:val="nil"/>
                    <w:tr2bl w:val="nil"/>
                  </w:tcBorders>
                  <w:vAlign w:val="center"/>
                </w:tcPr>
                <w:p w14:paraId="75D3D14A">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粉仓和搅拌工序</w:t>
                  </w:r>
                  <w:r>
                    <w:rPr>
                      <w:color w:val="000000" w:themeColor="text1"/>
                      <w:kern w:val="0"/>
                      <w:szCs w:val="21"/>
                      <w14:textFill>
                        <w14:solidFill>
                          <w14:schemeClr w14:val="tx1"/>
                        </w14:solidFill>
                      </w14:textFill>
                    </w:rPr>
                    <w:t xml:space="preserve"> </w:t>
                  </w:r>
                </w:p>
              </w:tc>
              <w:tc>
                <w:tcPr>
                  <w:tcW w:w="478" w:type="dxa"/>
                  <w:tcBorders>
                    <w:tl2br w:val="nil"/>
                    <w:tr2bl w:val="nil"/>
                  </w:tcBorders>
                  <w:vAlign w:val="center"/>
                </w:tcPr>
                <w:p w14:paraId="28C38743">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颗粒物</w:t>
                  </w:r>
                </w:p>
              </w:tc>
              <w:tc>
                <w:tcPr>
                  <w:tcW w:w="721" w:type="dxa"/>
                  <w:tcBorders>
                    <w:tl2br w:val="nil"/>
                    <w:tr2bl w:val="nil"/>
                  </w:tcBorders>
                  <w:vAlign w:val="center"/>
                </w:tcPr>
                <w:p w14:paraId="62AE509D">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无组织</w:t>
                  </w:r>
                </w:p>
              </w:tc>
              <w:tc>
                <w:tcPr>
                  <w:tcW w:w="1137" w:type="dxa"/>
                  <w:tcBorders>
                    <w:tl2br w:val="nil"/>
                    <w:tr2bl w:val="nil"/>
                  </w:tcBorders>
                  <w:vAlign w:val="center"/>
                </w:tcPr>
                <w:p w14:paraId="4B16F9DA">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10min/次</w:t>
                  </w:r>
                </w:p>
              </w:tc>
              <w:tc>
                <w:tcPr>
                  <w:tcW w:w="1313" w:type="dxa"/>
                  <w:tcBorders>
                    <w:tl2br w:val="nil"/>
                    <w:tr2bl w:val="nil"/>
                  </w:tcBorders>
                  <w:vAlign w:val="center"/>
                </w:tcPr>
                <w:p w14:paraId="08693CC6">
                  <w:pPr>
                    <w:autoSpaceDE w:val="0"/>
                    <w:autoSpaceDN w:val="0"/>
                    <w:spacing w:line="28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0.2195</w:t>
                  </w:r>
                </w:p>
              </w:tc>
              <w:tc>
                <w:tcPr>
                  <w:tcW w:w="945" w:type="dxa"/>
                  <w:tcBorders>
                    <w:tl2br w:val="nil"/>
                    <w:tr2bl w:val="nil"/>
                  </w:tcBorders>
                  <w:vAlign w:val="center"/>
                </w:tcPr>
                <w:p w14:paraId="0E2099E9">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2.1948</w:t>
                  </w:r>
                </w:p>
              </w:tc>
              <w:tc>
                <w:tcPr>
                  <w:tcW w:w="1714" w:type="dxa"/>
                  <w:tcBorders>
                    <w:tl2br w:val="nil"/>
                    <w:tr2bl w:val="nil"/>
                  </w:tcBorders>
                  <w:vAlign w:val="center"/>
                </w:tcPr>
                <w:p w14:paraId="66F3AE83">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当发现环保设施故障时，立即停机生产，及时检查维修废气处理设施</w:t>
                  </w:r>
                </w:p>
              </w:tc>
              <w:tc>
                <w:tcPr>
                  <w:tcW w:w="858" w:type="dxa"/>
                  <w:tcBorders>
                    <w:tl2br w:val="nil"/>
                    <w:tr2bl w:val="nil"/>
                  </w:tcBorders>
                  <w:vAlign w:val="center"/>
                </w:tcPr>
                <w:p w14:paraId="17F443A3">
                  <w:pPr>
                    <w:autoSpaceDE w:val="0"/>
                    <w:autoSpaceDN w:val="0"/>
                    <w:spacing w:line="28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3次/a</w:t>
                  </w:r>
                </w:p>
              </w:tc>
            </w:tr>
          </w:tbl>
          <w:p w14:paraId="26EC33BC">
            <w:pPr>
              <w:autoSpaceDE w:val="0"/>
              <w:autoSpaceDN w:val="0"/>
              <w:spacing w:before="120" w:beforeLines="50" w:line="360" w:lineRule="auto"/>
              <w:ind w:firstLine="480" w:firstLineChars="20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为避免项目在生产过程中有不达标情况或不正常工况，造成废气直接排入大气环境，应采取以下措施：</w:t>
            </w:r>
            <w:r>
              <w:rPr>
                <w:rFonts w:hint="eastAsia" w:ascii="宋体" w:hAnsi="宋体" w:cs="宋体"/>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t>加强各类废气治理设备及管道阀门等的维护，发现问题及时解决；</w:t>
            </w:r>
            <w:r>
              <w:rPr>
                <w:rFonts w:hint="eastAsia" w:ascii="宋体" w:hAnsi="宋体" w:cs="宋体"/>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t>事故状态时暂停生产，封闭管道设备，待环保设施恢复后才能生产</w:t>
            </w:r>
            <w:r>
              <w:rPr>
                <w:color w:val="000000" w:themeColor="text1"/>
                <w:kern w:val="0"/>
                <w:sz w:val="24"/>
                <w:lang w:bidi="ar"/>
                <w14:textFill>
                  <w14:solidFill>
                    <w14:schemeClr w14:val="tx1"/>
                  </w14:solidFill>
                </w14:textFill>
              </w:rPr>
              <w:t>。</w:t>
            </w:r>
          </w:p>
          <w:p w14:paraId="7753BBFB">
            <w:pPr>
              <w:pStyle w:val="61"/>
              <w:spacing w:before="120" w:beforeLines="50"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表4-6 排放口基本情况一览表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133"/>
              <w:gridCol w:w="961"/>
              <w:gridCol w:w="1686"/>
              <w:gridCol w:w="1046"/>
              <w:gridCol w:w="749"/>
              <w:gridCol w:w="2316"/>
            </w:tblGrid>
            <w:tr w14:paraId="1C42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14:paraId="1CB602E3">
                  <w:pPr>
                    <w:rPr>
                      <w:b/>
                      <w:bCs/>
                      <w:color w:val="000000" w:themeColor="text1"/>
                      <w14:textFill>
                        <w14:solidFill>
                          <w14:schemeClr w14:val="tx1"/>
                        </w14:solidFill>
                      </w14:textFill>
                    </w:rPr>
                  </w:pPr>
                  <w:r>
                    <w:rPr>
                      <w:b/>
                      <w:bCs/>
                      <w:color w:val="000000" w:themeColor="text1"/>
                      <w14:textFill>
                        <w14:solidFill>
                          <w14:schemeClr w14:val="tx1"/>
                        </w14:solidFill>
                      </w14:textFill>
                    </w:rPr>
                    <w:t>编号</w:t>
                  </w:r>
                </w:p>
              </w:tc>
              <w:tc>
                <w:tcPr>
                  <w:tcW w:w="646" w:type="pct"/>
                  <w:vAlign w:val="center"/>
                </w:tcPr>
                <w:p w14:paraId="67C29631">
                  <w:pPr>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548" w:type="pct"/>
                  <w:vAlign w:val="center"/>
                </w:tcPr>
                <w:p w14:paraId="771C2EA6">
                  <w:pPr>
                    <w:rPr>
                      <w:b/>
                      <w:bCs/>
                      <w:color w:val="000000" w:themeColor="text1"/>
                      <w14:textFill>
                        <w14:solidFill>
                          <w14:schemeClr w14:val="tx1"/>
                        </w14:solidFill>
                      </w14:textFill>
                    </w:rPr>
                  </w:pPr>
                  <w:r>
                    <w:rPr>
                      <w:b/>
                      <w:bCs/>
                      <w:color w:val="000000" w:themeColor="text1"/>
                      <w14:textFill>
                        <w14:solidFill>
                          <w14:schemeClr w14:val="tx1"/>
                        </w14:solidFill>
                      </w14:textFill>
                    </w:rPr>
                    <w:t>高度（m）</w:t>
                  </w:r>
                </w:p>
              </w:tc>
              <w:tc>
                <w:tcPr>
                  <w:tcW w:w="961" w:type="pct"/>
                  <w:vAlign w:val="center"/>
                </w:tcPr>
                <w:p w14:paraId="2A55A9E6">
                  <w:pPr>
                    <w:rPr>
                      <w:b/>
                      <w:bCs/>
                      <w:color w:val="000000" w:themeColor="text1"/>
                      <w14:textFill>
                        <w14:solidFill>
                          <w14:schemeClr w14:val="tx1"/>
                        </w14:solidFill>
                      </w14:textFill>
                    </w:rPr>
                  </w:pPr>
                  <w:r>
                    <w:rPr>
                      <w:b/>
                      <w:bCs/>
                      <w:color w:val="000000" w:themeColor="text1"/>
                      <w14:textFill>
                        <w14:solidFill>
                          <w14:schemeClr w14:val="tx1"/>
                        </w14:solidFill>
                      </w14:textFill>
                    </w:rPr>
                    <w:t>排气筒内径（m）</w:t>
                  </w:r>
                </w:p>
              </w:tc>
              <w:tc>
                <w:tcPr>
                  <w:tcW w:w="596" w:type="pct"/>
                  <w:vAlign w:val="center"/>
                </w:tcPr>
                <w:p w14:paraId="28AA45F6">
                  <w:pPr>
                    <w:rPr>
                      <w:b/>
                      <w:bCs/>
                      <w:color w:val="000000" w:themeColor="text1"/>
                      <w14:textFill>
                        <w14:solidFill>
                          <w14:schemeClr w14:val="tx1"/>
                        </w14:solidFill>
                      </w14:textFill>
                    </w:rPr>
                  </w:pPr>
                  <w:r>
                    <w:rPr>
                      <w:b/>
                      <w:bCs/>
                      <w:color w:val="000000" w:themeColor="text1"/>
                      <w14:textFill>
                        <w14:solidFill>
                          <w14:schemeClr w14:val="tx1"/>
                        </w14:solidFill>
                      </w14:textFill>
                    </w:rPr>
                    <w:t>温度（℃）</w:t>
                  </w:r>
                </w:p>
              </w:tc>
              <w:tc>
                <w:tcPr>
                  <w:tcW w:w="427" w:type="pct"/>
                  <w:vAlign w:val="center"/>
                </w:tcPr>
                <w:p w14:paraId="6E96E297">
                  <w:pPr>
                    <w:rPr>
                      <w:b/>
                      <w:bCs/>
                      <w:color w:val="000000" w:themeColor="text1"/>
                      <w14:textFill>
                        <w14:solidFill>
                          <w14:schemeClr w14:val="tx1"/>
                        </w14:solidFill>
                      </w14:textFill>
                    </w:rPr>
                  </w:pPr>
                  <w:r>
                    <w:rPr>
                      <w:b/>
                      <w:bCs/>
                      <w:color w:val="000000" w:themeColor="text1"/>
                      <w14:textFill>
                        <w14:solidFill>
                          <w14:schemeClr w14:val="tx1"/>
                        </w14:solidFill>
                      </w14:textFill>
                    </w:rPr>
                    <w:t>类型</w:t>
                  </w:r>
                </w:p>
              </w:tc>
              <w:tc>
                <w:tcPr>
                  <w:tcW w:w="1320" w:type="pct"/>
                  <w:vAlign w:val="center"/>
                </w:tcPr>
                <w:p w14:paraId="09CA2F13">
                  <w:pPr>
                    <w:rPr>
                      <w:b/>
                      <w:bCs/>
                      <w:color w:val="000000" w:themeColor="text1"/>
                      <w14:textFill>
                        <w14:solidFill>
                          <w14:schemeClr w14:val="tx1"/>
                        </w14:solidFill>
                      </w14:textFill>
                    </w:rPr>
                  </w:pPr>
                  <w:r>
                    <w:rPr>
                      <w:b/>
                      <w:bCs/>
                      <w:color w:val="000000" w:themeColor="text1"/>
                      <w14:textFill>
                        <w14:solidFill>
                          <w14:schemeClr w14:val="tx1"/>
                        </w14:solidFill>
                      </w14:textFill>
                    </w:rPr>
                    <w:t>地理坐标</w:t>
                  </w:r>
                </w:p>
              </w:tc>
            </w:tr>
            <w:tr w14:paraId="7268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14:paraId="733A1AEE">
                  <w:pPr>
                    <w:rPr>
                      <w:color w:val="000000" w:themeColor="text1"/>
                      <w14:textFill>
                        <w14:solidFill>
                          <w14:schemeClr w14:val="tx1"/>
                        </w14:solidFill>
                      </w14:textFill>
                    </w:rPr>
                  </w:pPr>
                  <w:r>
                    <w:rPr>
                      <w:color w:val="000000" w:themeColor="text1"/>
                      <w14:textFill>
                        <w14:solidFill>
                          <w14:schemeClr w14:val="tx1"/>
                        </w14:solidFill>
                      </w14:textFill>
                    </w:rPr>
                    <w:t>DA001</w:t>
                  </w:r>
                </w:p>
              </w:tc>
              <w:tc>
                <w:tcPr>
                  <w:tcW w:w="646" w:type="pct"/>
                  <w:vAlign w:val="center"/>
                </w:tcPr>
                <w:p w14:paraId="60F8B91E">
                  <w:pPr>
                    <w:rPr>
                      <w:color w:val="000000" w:themeColor="text1"/>
                      <w14:textFill>
                        <w14:solidFill>
                          <w14:schemeClr w14:val="tx1"/>
                        </w14:solidFill>
                      </w14:textFill>
                    </w:rPr>
                  </w:pPr>
                  <w:r>
                    <w:rPr>
                      <w:color w:val="000000" w:themeColor="text1"/>
                      <w14:textFill>
                        <w14:solidFill>
                          <w14:schemeClr w14:val="tx1"/>
                        </w14:solidFill>
                      </w14:textFill>
                    </w:rPr>
                    <w:t>布袋除尘器排气筒</w:t>
                  </w:r>
                </w:p>
              </w:tc>
              <w:tc>
                <w:tcPr>
                  <w:tcW w:w="548" w:type="pct"/>
                  <w:vAlign w:val="center"/>
                </w:tcPr>
                <w:p w14:paraId="5ADC4A63">
                  <w:pP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961" w:type="pct"/>
                  <w:vAlign w:val="center"/>
                </w:tcPr>
                <w:p w14:paraId="5F78331F">
                  <w:pPr>
                    <w:rPr>
                      <w:color w:val="000000" w:themeColor="text1"/>
                      <w14:textFill>
                        <w14:solidFill>
                          <w14:schemeClr w14:val="tx1"/>
                        </w14:solidFill>
                      </w14:textFill>
                    </w:rPr>
                  </w:pPr>
                  <w:r>
                    <w:rPr>
                      <w:color w:val="000000" w:themeColor="text1"/>
                      <w14:textFill>
                        <w14:solidFill>
                          <w14:schemeClr w14:val="tx1"/>
                        </w14:solidFill>
                      </w14:textFill>
                    </w:rPr>
                    <w:t>0.3</w:t>
                  </w:r>
                </w:p>
              </w:tc>
              <w:tc>
                <w:tcPr>
                  <w:tcW w:w="596" w:type="pct"/>
                  <w:vAlign w:val="center"/>
                </w:tcPr>
                <w:p w14:paraId="14430EE8">
                  <w:pP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427" w:type="pct"/>
                  <w:vAlign w:val="center"/>
                </w:tcPr>
                <w:p w14:paraId="2AB3679D">
                  <w:pPr>
                    <w:rPr>
                      <w:color w:val="000000" w:themeColor="text1"/>
                      <w14:textFill>
                        <w14:solidFill>
                          <w14:schemeClr w14:val="tx1"/>
                        </w14:solidFill>
                      </w14:textFill>
                    </w:rPr>
                  </w:pPr>
                  <w:r>
                    <w:rPr>
                      <w:color w:val="000000" w:themeColor="text1"/>
                      <w14:textFill>
                        <w14:solidFill>
                          <w14:schemeClr w14:val="tx1"/>
                        </w14:solidFill>
                      </w14:textFill>
                    </w:rPr>
                    <w:t>点源</w:t>
                  </w:r>
                </w:p>
              </w:tc>
              <w:tc>
                <w:tcPr>
                  <w:tcW w:w="1320" w:type="pct"/>
                  <w:vAlign w:val="center"/>
                </w:tcPr>
                <w:p w14:paraId="2EF4837D">
                  <w:pPr>
                    <w:rPr>
                      <w:color w:val="000000" w:themeColor="text1"/>
                      <w14:textFill>
                        <w14:solidFill>
                          <w14:schemeClr w14:val="tx1"/>
                        </w14:solidFill>
                      </w14:textFill>
                    </w:rPr>
                  </w:pPr>
                  <w:r>
                    <w:rPr>
                      <w:color w:val="000000" w:themeColor="text1"/>
                      <w14:textFill>
                        <w14:solidFill>
                          <w14:schemeClr w14:val="tx1"/>
                        </w14:solidFill>
                      </w14:textFill>
                    </w:rPr>
                    <w:t>105°15′53.37724″E，</w:t>
                  </w:r>
                </w:p>
                <w:p w14:paraId="0EE84382">
                  <w:pPr>
                    <w:rPr>
                      <w:color w:val="000000" w:themeColor="text1"/>
                      <w14:textFill>
                        <w14:solidFill>
                          <w14:schemeClr w14:val="tx1"/>
                        </w14:solidFill>
                      </w14:textFill>
                    </w:rPr>
                  </w:pPr>
                  <w:r>
                    <w:rPr>
                      <w:color w:val="000000" w:themeColor="text1"/>
                      <w14:textFill>
                        <w14:solidFill>
                          <w14:schemeClr w14:val="tx1"/>
                        </w14:solidFill>
                      </w14:textFill>
                    </w:rPr>
                    <w:t>30°36′57.98851″N</w:t>
                  </w:r>
                </w:p>
              </w:tc>
            </w:tr>
            <w:tr w14:paraId="27EE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14:paraId="49647937">
                  <w:pPr>
                    <w:rPr>
                      <w:color w:val="000000" w:themeColor="text1"/>
                      <w14:textFill>
                        <w14:solidFill>
                          <w14:schemeClr w14:val="tx1"/>
                        </w14:solidFill>
                      </w14:textFill>
                    </w:rPr>
                  </w:pPr>
                  <w:r>
                    <w:rPr>
                      <w:color w:val="000000" w:themeColor="text1"/>
                      <w14:textFill>
                        <w14:solidFill>
                          <w14:schemeClr w14:val="tx1"/>
                        </w14:solidFill>
                      </w14:textFill>
                    </w:rPr>
                    <w:t>DA002</w:t>
                  </w:r>
                </w:p>
              </w:tc>
              <w:tc>
                <w:tcPr>
                  <w:tcW w:w="646" w:type="pct"/>
                  <w:vAlign w:val="center"/>
                </w:tcPr>
                <w:p w14:paraId="1B89206C">
                  <w:pPr>
                    <w:rPr>
                      <w:color w:val="000000" w:themeColor="text1"/>
                      <w14:textFill>
                        <w14:solidFill>
                          <w14:schemeClr w14:val="tx1"/>
                        </w14:solidFill>
                      </w14:textFill>
                    </w:rPr>
                  </w:pPr>
                  <w:r>
                    <w:rPr>
                      <w:color w:val="000000" w:themeColor="text1"/>
                      <w14:textFill>
                        <w14:solidFill>
                          <w14:schemeClr w14:val="tx1"/>
                        </w14:solidFill>
                      </w14:textFill>
                    </w:rPr>
                    <w:t>锅炉排气筒</w:t>
                  </w:r>
                </w:p>
              </w:tc>
              <w:tc>
                <w:tcPr>
                  <w:tcW w:w="548" w:type="pct"/>
                  <w:vAlign w:val="center"/>
                </w:tcPr>
                <w:p w14:paraId="70163F51">
                  <w:pP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961" w:type="pct"/>
                  <w:vAlign w:val="center"/>
                </w:tcPr>
                <w:p w14:paraId="2BE5801E">
                  <w:pPr>
                    <w:rPr>
                      <w:color w:val="000000" w:themeColor="text1"/>
                      <w14:textFill>
                        <w14:solidFill>
                          <w14:schemeClr w14:val="tx1"/>
                        </w14:solidFill>
                      </w14:textFill>
                    </w:rPr>
                  </w:pPr>
                  <w:r>
                    <w:rPr>
                      <w:color w:val="000000" w:themeColor="text1"/>
                      <w14:textFill>
                        <w14:solidFill>
                          <w14:schemeClr w14:val="tx1"/>
                        </w14:solidFill>
                      </w14:textFill>
                    </w:rPr>
                    <w:t>0.2</w:t>
                  </w:r>
                </w:p>
              </w:tc>
              <w:tc>
                <w:tcPr>
                  <w:tcW w:w="596" w:type="pct"/>
                  <w:vAlign w:val="center"/>
                </w:tcPr>
                <w:p w14:paraId="15943398">
                  <w:pPr>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427" w:type="pct"/>
                  <w:vAlign w:val="center"/>
                </w:tcPr>
                <w:p w14:paraId="0B82DD51">
                  <w:pPr>
                    <w:rPr>
                      <w:color w:val="000000" w:themeColor="text1"/>
                      <w14:textFill>
                        <w14:solidFill>
                          <w14:schemeClr w14:val="tx1"/>
                        </w14:solidFill>
                      </w14:textFill>
                    </w:rPr>
                  </w:pPr>
                  <w:r>
                    <w:rPr>
                      <w:color w:val="000000" w:themeColor="text1"/>
                      <w14:textFill>
                        <w14:solidFill>
                          <w14:schemeClr w14:val="tx1"/>
                        </w14:solidFill>
                      </w14:textFill>
                    </w:rPr>
                    <w:t>点源</w:t>
                  </w:r>
                </w:p>
              </w:tc>
              <w:tc>
                <w:tcPr>
                  <w:tcW w:w="1320" w:type="pct"/>
                  <w:vAlign w:val="center"/>
                </w:tcPr>
                <w:p w14:paraId="77645088">
                  <w:pPr>
                    <w:rPr>
                      <w:color w:val="000000" w:themeColor="text1"/>
                      <w14:textFill>
                        <w14:solidFill>
                          <w14:schemeClr w14:val="tx1"/>
                        </w14:solidFill>
                      </w14:textFill>
                    </w:rPr>
                  </w:pPr>
                  <w:r>
                    <w:rPr>
                      <w:color w:val="000000" w:themeColor="text1"/>
                      <w14:textFill>
                        <w14:solidFill>
                          <w14:schemeClr w14:val="tx1"/>
                        </w14:solidFill>
                      </w14:textFill>
                    </w:rPr>
                    <w:t>105°15′42.19323″E，</w:t>
                  </w:r>
                </w:p>
                <w:p w14:paraId="10817147">
                  <w:pPr>
                    <w:rPr>
                      <w:color w:val="000000" w:themeColor="text1"/>
                      <w14:textFill>
                        <w14:solidFill>
                          <w14:schemeClr w14:val="tx1"/>
                        </w14:solidFill>
                      </w14:textFill>
                    </w:rPr>
                  </w:pPr>
                  <w:r>
                    <w:rPr>
                      <w:color w:val="000000" w:themeColor="text1"/>
                      <w14:textFill>
                        <w14:solidFill>
                          <w14:schemeClr w14:val="tx1"/>
                        </w14:solidFill>
                      </w14:textFill>
                    </w:rPr>
                    <w:t>30°37′9.63023″N</w:t>
                  </w:r>
                </w:p>
              </w:tc>
            </w:tr>
          </w:tbl>
          <w:p w14:paraId="1F83DCAF">
            <w:pPr>
              <w:spacing w:before="120" w:beforeLines="50"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1.6废气处理措施可行性分析</w:t>
            </w:r>
          </w:p>
          <w:p w14:paraId="7232C883">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布袋除尘器的工作原理：布袋除尘器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布袋除尘器是目前常用的除尘效率高，运行可靠的除尘设备，除尘效率可达99.9%，属于</w:t>
            </w:r>
            <w:r>
              <w:rPr>
                <w:rFonts w:eastAsiaTheme="minorEastAsia"/>
                <w:color w:val="000000" w:themeColor="text1"/>
                <w:kern w:val="0"/>
                <w:sz w:val="24"/>
                <w14:textFill>
                  <w14:solidFill>
                    <w14:schemeClr w14:val="tx1"/>
                  </w14:solidFill>
                </w14:textFill>
              </w:rPr>
              <w:t>《排污许可证申请与核发技术规范陶瓷砖瓦行业》（HJ954-2018）中</w:t>
            </w:r>
            <w:r>
              <w:rPr>
                <w:rFonts w:eastAsiaTheme="minorEastAsia"/>
                <w:color w:val="000000" w:themeColor="text1"/>
                <w:sz w:val="24"/>
                <w14:textFill>
                  <w14:solidFill>
                    <w14:schemeClr w14:val="tx1"/>
                  </w14:solidFill>
                </w14:textFill>
              </w:rPr>
              <w:t>表29-砖瓦工业排污单位废气污染防治可行技术中的可行技术。</w:t>
            </w:r>
          </w:p>
          <w:p w14:paraId="378A00A0">
            <w:pPr>
              <w:pStyle w:val="2"/>
              <w:spacing w:after="0" w:line="360" w:lineRule="auto"/>
              <w:ind w:left="0" w:leftChars="0"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粉料通过与相应料筒管道封闭直连，以压缩空气吹入形式进入相应料筒，筒仓与配料机之间采取密闭输送带相连，配料机运行时为密闭状态，集气系统直接对粉料筒仓以及配料机进行粉尘收集，收集效率可达99%。根据表4-2可知处理后的粉尘满足《水泥工业大气污染物排放标准》（GB4915-2013）散装水泥及水泥制品生产标准限值。</w:t>
            </w:r>
          </w:p>
          <w:p w14:paraId="030E0EDF">
            <w:pPr>
              <w:spacing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1.7废气监测要求</w:t>
            </w:r>
          </w:p>
          <w:p w14:paraId="5A088F32">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根据《排污单位自行监测技术指南总则》（HJ819-2017）和《排污单位自行监测技术指南 砖瓦工业》（HJ 1254—2022），</w:t>
            </w:r>
            <w:r>
              <w:fldChar w:fldCharType="begin"/>
            </w:r>
            <w:r>
              <w:instrText xml:space="preserve"> HYPERLINK "https://www.mee.gov.cn/ywgz/fgbz/bz/bzwb/shjbh/xgbzh/201705/W020170511330877890199.pdf" </w:instrText>
            </w:r>
            <w:r>
              <w:fldChar w:fldCharType="separate"/>
            </w:r>
            <w:r>
              <w:rPr>
                <w:rStyle w:val="29"/>
                <w:rFonts w:eastAsiaTheme="minorEastAsia"/>
                <w:color w:val="000000" w:themeColor="text1"/>
                <w:sz w:val="24"/>
                <w:u w:val="none"/>
                <w14:textFill>
                  <w14:solidFill>
                    <w14:schemeClr w14:val="tx1"/>
                  </w14:solidFill>
                </w14:textFill>
              </w:rPr>
              <w:t>排污单位自行监测技术指南 火力发电及锅炉(HJ 820-2017)</w:t>
            </w:r>
            <w:r>
              <w:rPr>
                <w:rStyle w:val="29"/>
                <w:rFonts w:eastAsiaTheme="minorEastAsia"/>
                <w:color w:val="000000" w:themeColor="text1"/>
                <w:sz w:val="24"/>
                <w:u w:val="none"/>
                <w14:textFill>
                  <w14:solidFill>
                    <w14:schemeClr w14:val="tx1"/>
                  </w14:solidFill>
                </w14:textFill>
              </w:rPr>
              <w:fldChar w:fldCharType="end"/>
            </w:r>
            <w:r>
              <w:rPr>
                <w:rFonts w:eastAsiaTheme="minorEastAsia"/>
                <w:color w:val="000000" w:themeColor="text1"/>
                <w:sz w:val="24"/>
                <w14:textFill>
                  <w14:solidFill>
                    <w14:schemeClr w14:val="tx1"/>
                  </w14:solidFill>
                </w14:textFill>
              </w:rPr>
              <w:t>等自行监测技术指南，确定本项目废气监测要求如下表。</w:t>
            </w:r>
          </w:p>
          <w:p w14:paraId="07CE44AD">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表4-7 废气监测要求</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1277"/>
              <w:gridCol w:w="1346"/>
              <w:gridCol w:w="1123"/>
              <w:gridCol w:w="1277"/>
              <w:gridCol w:w="2008"/>
            </w:tblGrid>
            <w:tr w14:paraId="0F8B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pct"/>
                  <w:vAlign w:val="center"/>
                </w:tcPr>
                <w:p w14:paraId="47B15260">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监测点位</w:t>
                  </w:r>
                </w:p>
              </w:tc>
              <w:tc>
                <w:tcPr>
                  <w:tcW w:w="728" w:type="pct"/>
                  <w:vAlign w:val="center"/>
                </w:tcPr>
                <w:p w14:paraId="566E328A">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监测形式</w:t>
                  </w:r>
                </w:p>
              </w:tc>
              <w:tc>
                <w:tcPr>
                  <w:tcW w:w="767" w:type="pct"/>
                  <w:vAlign w:val="center"/>
                </w:tcPr>
                <w:p w14:paraId="2F5C9F1D">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监测内容</w:t>
                  </w:r>
                </w:p>
              </w:tc>
              <w:tc>
                <w:tcPr>
                  <w:tcW w:w="640" w:type="pct"/>
                  <w:vAlign w:val="center"/>
                </w:tcPr>
                <w:p w14:paraId="05E3509E">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监测因子</w:t>
                  </w:r>
                </w:p>
              </w:tc>
              <w:tc>
                <w:tcPr>
                  <w:tcW w:w="728" w:type="pct"/>
                  <w:vAlign w:val="center"/>
                </w:tcPr>
                <w:p w14:paraId="60AE85A2">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监测频次</w:t>
                  </w:r>
                </w:p>
              </w:tc>
              <w:tc>
                <w:tcPr>
                  <w:tcW w:w="1144" w:type="pct"/>
                  <w:vAlign w:val="center"/>
                </w:tcPr>
                <w:p w14:paraId="226BFC5E">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监测频率</w:t>
                  </w:r>
                </w:p>
              </w:tc>
            </w:tr>
            <w:tr w14:paraId="6163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pct"/>
                  <w:vAlign w:val="center"/>
                </w:tcPr>
                <w:p w14:paraId="37A8D8E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布袋除尘器排气筒（DA001）</w:t>
                  </w:r>
                </w:p>
              </w:tc>
              <w:tc>
                <w:tcPr>
                  <w:tcW w:w="728" w:type="pct"/>
                  <w:vAlign w:val="center"/>
                </w:tcPr>
                <w:p w14:paraId="0F14B49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有组织</w:t>
                  </w:r>
                </w:p>
              </w:tc>
              <w:tc>
                <w:tcPr>
                  <w:tcW w:w="767" w:type="pct"/>
                  <w:vAlign w:val="center"/>
                </w:tcPr>
                <w:p w14:paraId="18742DF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烟气流速、烟气温度、烟气压力</w:t>
                  </w:r>
                </w:p>
              </w:tc>
              <w:tc>
                <w:tcPr>
                  <w:tcW w:w="640" w:type="pct"/>
                  <w:vAlign w:val="center"/>
                </w:tcPr>
                <w:p w14:paraId="0B36162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颗粒物</w:t>
                  </w:r>
                </w:p>
              </w:tc>
              <w:tc>
                <w:tcPr>
                  <w:tcW w:w="728" w:type="pct"/>
                  <w:vAlign w:val="center"/>
                </w:tcPr>
                <w:p w14:paraId="78D0997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1次/年</w:t>
                  </w:r>
                </w:p>
              </w:tc>
              <w:tc>
                <w:tcPr>
                  <w:tcW w:w="1144" w:type="pct"/>
                  <w:vMerge w:val="restart"/>
                  <w:vAlign w:val="center"/>
                </w:tcPr>
                <w:p w14:paraId="285E974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《砖瓦工业大气污染物排放标准》（GB29620-2013）表2中污染物排放限值</w:t>
                  </w:r>
                </w:p>
              </w:tc>
            </w:tr>
            <w:tr w14:paraId="26F4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pct"/>
                  <w:vAlign w:val="center"/>
                </w:tcPr>
                <w:p w14:paraId="3D0A4CC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厂界</w:t>
                  </w:r>
                </w:p>
              </w:tc>
              <w:tc>
                <w:tcPr>
                  <w:tcW w:w="728" w:type="pct"/>
                  <w:vAlign w:val="center"/>
                </w:tcPr>
                <w:p w14:paraId="11E5BF7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无组织</w:t>
                  </w:r>
                </w:p>
              </w:tc>
              <w:tc>
                <w:tcPr>
                  <w:tcW w:w="767" w:type="pct"/>
                  <w:vAlign w:val="center"/>
                </w:tcPr>
                <w:p w14:paraId="1035E459">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风速、风向</w:t>
                  </w:r>
                </w:p>
              </w:tc>
              <w:tc>
                <w:tcPr>
                  <w:tcW w:w="640" w:type="pct"/>
                  <w:vAlign w:val="center"/>
                </w:tcPr>
                <w:p w14:paraId="3324BFA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颗粒物</w:t>
                  </w:r>
                </w:p>
              </w:tc>
              <w:tc>
                <w:tcPr>
                  <w:tcW w:w="728" w:type="pct"/>
                  <w:vAlign w:val="center"/>
                </w:tcPr>
                <w:p w14:paraId="490C840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1次/年</w:t>
                  </w:r>
                </w:p>
              </w:tc>
              <w:tc>
                <w:tcPr>
                  <w:tcW w:w="1144" w:type="pct"/>
                  <w:vMerge w:val="continue"/>
                  <w:vAlign w:val="center"/>
                </w:tcPr>
                <w:p w14:paraId="388772E7">
                  <w:pPr>
                    <w:pStyle w:val="79"/>
                    <w:jc w:val="both"/>
                    <w:rPr>
                      <w:rFonts w:ascii="Times New Roman" w:hAnsi="Times New Roman" w:eastAsiaTheme="minorEastAsia"/>
                      <w:color w:val="000000" w:themeColor="text1"/>
                      <w:sz w:val="24"/>
                      <w:szCs w:val="24"/>
                      <w14:textFill>
                        <w14:solidFill>
                          <w14:schemeClr w14:val="tx1"/>
                        </w14:solidFill>
                      </w14:textFill>
                    </w:rPr>
                  </w:pPr>
                </w:p>
              </w:tc>
            </w:tr>
            <w:tr w14:paraId="64F5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pct"/>
                  <w:vMerge w:val="restart"/>
                  <w:vAlign w:val="center"/>
                </w:tcPr>
                <w:p w14:paraId="49D6F8A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锅炉排气筒（DA002）</w:t>
                  </w:r>
                </w:p>
              </w:tc>
              <w:tc>
                <w:tcPr>
                  <w:tcW w:w="728" w:type="pct"/>
                  <w:vMerge w:val="restart"/>
                  <w:vAlign w:val="center"/>
                </w:tcPr>
                <w:p w14:paraId="4F5B5CF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有组织</w:t>
                  </w:r>
                </w:p>
              </w:tc>
              <w:tc>
                <w:tcPr>
                  <w:tcW w:w="767" w:type="pct"/>
                  <w:vMerge w:val="restart"/>
                  <w:vAlign w:val="center"/>
                </w:tcPr>
                <w:p w14:paraId="2C8CCB2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烟气流速、烟气温度、烟气压力</w:t>
                  </w:r>
                </w:p>
              </w:tc>
              <w:tc>
                <w:tcPr>
                  <w:tcW w:w="640" w:type="pct"/>
                  <w:vAlign w:val="center"/>
                </w:tcPr>
                <w:p w14:paraId="120CA929">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NO</w:t>
                  </w:r>
                  <w:r>
                    <w:rPr>
                      <w:rFonts w:ascii="Times New Roman" w:hAnsi="Times New Roman" w:eastAsiaTheme="minorEastAsia"/>
                      <w:color w:val="000000" w:themeColor="text1"/>
                      <w:sz w:val="24"/>
                      <w:szCs w:val="24"/>
                      <w:vertAlign w:val="subscript"/>
                      <w14:textFill>
                        <w14:solidFill>
                          <w14:schemeClr w14:val="tx1"/>
                        </w14:solidFill>
                      </w14:textFill>
                    </w:rPr>
                    <w:t>x</w:t>
                  </w:r>
                </w:p>
              </w:tc>
              <w:tc>
                <w:tcPr>
                  <w:tcW w:w="728" w:type="pct"/>
                  <w:vAlign w:val="center"/>
                </w:tcPr>
                <w:p w14:paraId="04203AB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1次/月</w:t>
                  </w:r>
                </w:p>
              </w:tc>
              <w:tc>
                <w:tcPr>
                  <w:tcW w:w="1144" w:type="pct"/>
                  <w:vMerge w:val="restart"/>
                  <w:vAlign w:val="center"/>
                </w:tcPr>
                <w:p w14:paraId="7A98CD4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《锅炉大气污染物排放标准》（GB13271-2014）表3 燃气标准</w:t>
                  </w:r>
                </w:p>
              </w:tc>
            </w:tr>
            <w:tr w14:paraId="090C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92" w:type="pct"/>
                  <w:vMerge w:val="continue"/>
                  <w:vAlign w:val="center"/>
                </w:tcPr>
                <w:p w14:paraId="302BF542">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728" w:type="pct"/>
                  <w:vMerge w:val="continue"/>
                  <w:vAlign w:val="center"/>
                </w:tcPr>
                <w:p w14:paraId="3BBEA433">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767" w:type="pct"/>
                  <w:vMerge w:val="continue"/>
                  <w:vAlign w:val="center"/>
                </w:tcPr>
                <w:p w14:paraId="7BB203DD">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640" w:type="pct"/>
                  <w:vAlign w:val="center"/>
                </w:tcPr>
                <w:p w14:paraId="61DE1C5F">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SO</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、、颗粒物，林格曼黑度</w:t>
                  </w:r>
                </w:p>
              </w:tc>
              <w:tc>
                <w:tcPr>
                  <w:tcW w:w="728" w:type="pct"/>
                  <w:vAlign w:val="center"/>
                </w:tcPr>
                <w:p w14:paraId="38720CF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1次/年</w:t>
                  </w:r>
                </w:p>
              </w:tc>
              <w:tc>
                <w:tcPr>
                  <w:tcW w:w="1144" w:type="pct"/>
                  <w:vMerge w:val="continue"/>
                  <w:vAlign w:val="center"/>
                </w:tcPr>
                <w:p w14:paraId="10428A76">
                  <w:pPr>
                    <w:pStyle w:val="79"/>
                    <w:jc w:val="both"/>
                    <w:rPr>
                      <w:rFonts w:ascii="Times New Roman" w:hAnsi="Times New Roman" w:eastAsiaTheme="minorEastAsia"/>
                      <w:color w:val="000000" w:themeColor="text1"/>
                      <w:sz w:val="24"/>
                      <w:szCs w:val="24"/>
                      <w14:textFill>
                        <w14:solidFill>
                          <w14:schemeClr w14:val="tx1"/>
                        </w14:solidFill>
                      </w14:textFill>
                    </w:rPr>
                  </w:pPr>
                </w:p>
              </w:tc>
            </w:tr>
          </w:tbl>
          <w:p w14:paraId="43B1F77A">
            <w:pPr>
              <w:spacing w:before="120" w:beforeLines="50" w:line="360" w:lineRule="auto"/>
              <w:ind w:firstLine="482" w:firstLineChars="200"/>
              <w:rPr>
                <w:rFonts w:eastAsiaTheme="minorEastAsia"/>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1.8卫生防护距离</w:t>
            </w:r>
          </w:p>
          <w:p w14:paraId="6B43DC7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为有效减轻废气无组织排放对外环境造成的不利影响，本次环评对无组织排放的颗粒物设置卫生防护距离。卫生防护距离的计算方法采用《大气有害物质无组织排放卫生防护距离推导技术导则》（GB/T39499-2020）所指定的方法：</w:t>
            </w:r>
          </w:p>
          <w:p w14:paraId="55F024BF">
            <w:pPr>
              <w:tabs>
                <w:tab w:val="left" w:pos="7740"/>
              </w:tabs>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position w:val="-30"/>
                <w:sz w:val="24"/>
                <w14:textFill>
                  <w14:solidFill>
                    <w14:schemeClr w14:val="tx1"/>
                  </w14:solidFill>
                </w14:textFill>
              </w:rPr>
              <w:object>
                <v:shape id="_x0000_i1028" o:spt="75" type="#_x0000_t75" style="height:34.5pt;width:121.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14:paraId="6E30B188">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式中：Q</w:t>
            </w:r>
            <w:r>
              <w:rPr>
                <w:rFonts w:eastAsiaTheme="minorEastAsia"/>
                <w:color w:val="000000" w:themeColor="text1"/>
                <w:sz w:val="24"/>
                <w14:textFill>
                  <w14:solidFill>
                    <w14:schemeClr w14:val="tx1"/>
                  </w14:solidFill>
                </w14:textFill>
              </w:rPr>
              <w:softHyphen/>
            </w:r>
            <w:r>
              <w:rPr>
                <w:rFonts w:eastAsiaTheme="minorEastAsia"/>
                <w:color w:val="000000" w:themeColor="text1"/>
                <w:sz w:val="24"/>
                <w14:textFill>
                  <w14:solidFill>
                    <w14:schemeClr w14:val="tx1"/>
                  </w14:solidFill>
                </w14:textFill>
              </w:rPr>
              <w:softHyphen/>
            </w:r>
            <w:r>
              <w:rPr>
                <w:rFonts w:eastAsiaTheme="minorEastAsia"/>
                <w:color w:val="000000" w:themeColor="text1"/>
                <w:sz w:val="24"/>
                <w14:textFill>
                  <w14:solidFill>
                    <w14:schemeClr w14:val="tx1"/>
                  </w14:solidFill>
                </w14:textFill>
              </w:rPr>
              <w:t>C</w:t>
            </w:r>
            <w:r>
              <w:rPr>
                <w:rFonts w:eastAsiaTheme="minorEastAsia"/>
                <w:color w:val="000000" w:themeColor="text1"/>
                <w:sz w:val="24"/>
                <w14:textFill>
                  <w14:solidFill>
                    <w14:schemeClr w14:val="tx1"/>
                  </w14:solidFill>
                </w14:textFill>
              </w:rPr>
              <w:softHyphen/>
            </w:r>
            <w:r>
              <w:rPr>
                <w:rFonts w:eastAsiaTheme="minorEastAsia"/>
                <w:color w:val="000000" w:themeColor="text1"/>
                <w:sz w:val="24"/>
                <w14:textFill>
                  <w14:solidFill>
                    <w14:schemeClr w14:val="tx1"/>
                  </w14:solidFill>
                </w14:textFill>
              </w:rPr>
              <w:softHyphen/>
            </w:r>
            <w:r>
              <w:rPr>
                <w:rFonts w:eastAsiaTheme="minorEastAsia"/>
                <w:color w:val="000000" w:themeColor="text1"/>
                <w:sz w:val="24"/>
                <w14:textFill>
                  <w14:solidFill>
                    <w14:schemeClr w14:val="tx1"/>
                  </w14:solidFill>
                </w14:textFill>
              </w:rPr>
              <w:t>—工业企业有害气体无组织排放量，kg/h；</w:t>
            </w:r>
          </w:p>
          <w:p w14:paraId="1B6AC070">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      Cm —污染物标准浓度限值，mg/m3；L—卫生防护距离，m；</w:t>
            </w:r>
          </w:p>
          <w:p w14:paraId="6116C039">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      r —生产单元的等效半径；A、B、C、D—计算系数。</w:t>
            </w:r>
          </w:p>
          <w:p w14:paraId="2568D249">
            <w:pPr>
              <w:pStyle w:val="2"/>
            </w:pPr>
          </w:p>
          <w:p w14:paraId="5006ADA6">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表4-8 卫生防护距离的计算结果</w:t>
            </w:r>
          </w:p>
          <w:tbl>
            <w:tblPr>
              <w:tblStyle w:val="25"/>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850"/>
              <w:gridCol w:w="851"/>
              <w:gridCol w:w="1134"/>
              <w:gridCol w:w="917"/>
              <w:gridCol w:w="1134"/>
              <w:gridCol w:w="1388"/>
              <w:gridCol w:w="1162"/>
            </w:tblGrid>
            <w:tr w14:paraId="7162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Align w:val="center"/>
                </w:tcPr>
                <w:p w14:paraId="399D8650">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源项</w:t>
                  </w:r>
                </w:p>
              </w:tc>
              <w:tc>
                <w:tcPr>
                  <w:tcW w:w="850" w:type="dxa"/>
                  <w:vAlign w:val="center"/>
                </w:tcPr>
                <w:p w14:paraId="28D7DB4F">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污染</w:t>
                  </w:r>
                </w:p>
                <w:p w14:paraId="4445D33F">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因子</w:t>
                  </w:r>
                </w:p>
              </w:tc>
              <w:tc>
                <w:tcPr>
                  <w:tcW w:w="851" w:type="dxa"/>
                  <w:vAlign w:val="center"/>
                </w:tcPr>
                <w:p w14:paraId="60CF1C43">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面源高度m</w:t>
                  </w:r>
                </w:p>
              </w:tc>
              <w:tc>
                <w:tcPr>
                  <w:tcW w:w="1134" w:type="dxa"/>
                  <w:vAlign w:val="center"/>
                </w:tcPr>
                <w:p w14:paraId="2E716C95">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无组织排放面积m</w:t>
                  </w:r>
                  <w:r>
                    <w:rPr>
                      <w:rFonts w:ascii="Times New Roman" w:hAnsi="Times New Roman" w:eastAsiaTheme="minorEastAsia"/>
                      <w:color w:val="000000" w:themeColor="text1"/>
                      <w:sz w:val="24"/>
                      <w:szCs w:val="24"/>
                      <w:vertAlign w:val="superscript"/>
                      <w14:textFill>
                        <w14:solidFill>
                          <w14:schemeClr w14:val="tx1"/>
                        </w14:solidFill>
                      </w14:textFill>
                    </w:rPr>
                    <w:t>2</w:t>
                  </w:r>
                </w:p>
              </w:tc>
              <w:tc>
                <w:tcPr>
                  <w:tcW w:w="917" w:type="dxa"/>
                  <w:vAlign w:val="center"/>
                </w:tcPr>
                <w:p w14:paraId="74A596E4">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标准值</w:t>
                  </w:r>
                </w:p>
                <w:p w14:paraId="32F9A247">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mg/m</w:t>
                  </w:r>
                  <w:r>
                    <w:rPr>
                      <w:rFonts w:ascii="Times New Roman" w:hAnsi="Times New Roman" w:eastAsiaTheme="minorEastAsia"/>
                      <w:color w:val="000000" w:themeColor="text1"/>
                      <w:sz w:val="24"/>
                      <w:szCs w:val="24"/>
                      <w:vertAlign w:val="superscript"/>
                      <w14:textFill>
                        <w14:solidFill>
                          <w14:schemeClr w14:val="tx1"/>
                        </w14:solidFill>
                      </w14:textFill>
                    </w:rPr>
                    <w:t>3</w:t>
                  </w:r>
                </w:p>
              </w:tc>
              <w:tc>
                <w:tcPr>
                  <w:tcW w:w="1134" w:type="dxa"/>
                  <w:vAlign w:val="center"/>
                </w:tcPr>
                <w:p w14:paraId="4B6B3111">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无组织排放量kg/h</w:t>
                  </w:r>
                </w:p>
              </w:tc>
              <w:tc>
                <w:tcPr>
                  <w:tcW w:w="1388" w:type="dxa"/>
                  <w:vAlign w:val="center"/>
                </w:tcPr>
                <w:p w14:paraId="7A7D659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卫生防护距离计算值m</w:t>
                  </w:r>
                </w:p>
              </w:tc>
              <w:tc>
                <w:tcPr>
                  <w:tcW w:w="1162" w:type="dxa"/>
                  <w:vAlign w:val="center"/>
                </w:tcPr>
                <w:p w14:paraId="22254EEE">
                  <w:pPr>
                    <w:pStyle w:val="79"/>
                    <w:jc w:val="both"/>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卫生防护距离m</w:t>
                  </w:r>
                </w:p>
              </w:tc>
            </w:tr>
            <w:tr w14:paraId="3CEE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69" w:type="dxa"/>
                  <w:vAlign w:val="center"/>
                </w:tcPr>
                <w:p w14:paraId="79855353">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生产车间</w:t>
                  </w:r>
                </w:p>
              </w:tc>
              <w:tc>
                <w:tcPr>
                  <w:tcW w:w="850" w:type="dxa"/>
                  <w:vAlign w:val="center"/>
                </w:tcPr>
                <w:p w14:paraId="488DA518">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颗粒物</w:t>
                  </w:r>
                </w:p>
              </w:tc>
              <w:tc>
                <w:tcPr>
                  <w:tcW w:w="851" w:type="dxa"/>
                  <w:vAlign w:val="center"/>
                </w:tcPr>
                <w:p w14:paraId="3A26500A">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12</w:t>
                  </w:r>
                </w:p>
              </w:tc>
              <w:tc>
                <w:tcPr>
                  <w:tcW w:w="1134" w:type="dxa"/>
                  <w:vAlign w:val="center"/>
                </w:tcPr>
                <w:p w14:paraId="61D6D2EB">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186</w:t>
                  </w:r>
                </w:p>
              </w:tc>
              <w:tc>
                <w:tcPr>
                  <w:tcW w:w="917" w:type="dxa"/>
                  <w:vAlign w:val="center"/>
                </w:tcPr>
                <w:p w14:paraId="62FA40E5">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0.9</w:t>
                  </w:r>
                </w:p>
              </w:tc>
              <w:tc>
                <w:tcPr>
                  <w:tcW w:w="1134" w:type="dxa"/>
                  <w:vAlign w:val="center"/>
                </w:tcPr>
                <w:p w14:paraId="65581DD3">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0.132</w:t>
                  </w:r>
                </w:p>
              </w:tc>
              <w:tc>
                <w:tcPr>
                  <w:tcW w:w="1388" w:type="dxa"/>
                  <w:vAlign w:val="center"/>
                </w:tcPr>
                <w:p w14:paraId="3D263FB0">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28.6</w:t>
                  </w:r>
                </w:p>
              </w:tc>
              <w:tc>
                <w:tcPr>
                  <w:tcW w:w="1162" w:type="dxa"/>
                  <w:vAlign w:val="center"/>
                </w:tcPr>
                <w:p w14:paraId="2866B385">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50</w:t>
                  </w:r>
                </w:p>
              </w:tc>
            </w:tr>
          </w:tbl>
          <w:p w14:paraId="3B009EEB">
            <w:pPr>
              <w:spacing w:before="120" w:beforeLines="50"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根据计算结果，本项目要求以生产车间为边界划定50m的卫生防护距离。根据现场调查，卫生防护距离内有2户农户（北侧，东侧48m处各有1户）。</w:t>
            </w:r>
            <w:r>
              <w:rPr>
                <w:rFonts w:eastAsiaTheme="minorEastAsia"/>
                <w:b/>
                <w:color w:val="000000" w:themeColor="text1"/>
                <w:sz w:val="24"/>
                <w14:textFill>
                  <w14:solidFill>
                    <w14:schemeClr w14:val="tx1"/>
                  </w14:solidFill>
                </w14:textFill>
              </w:rPr>
              <w:t>环评要求：就近聘用周边农户作为本项目工作人员，同时租用附近农户民房作为本项目的办公、生活用房。</w:t>
            </w:r>
            <w:r>
              <w:rPr>
                <w:rFonts w:eastAsiaTheme="minorEastAsia"/>
                <w:color w:val="000000" w:themeColor="text1"/>
                <w:sz w:val="24"/>
                <w14:textFill>
                  <w14:solidFill>
                    <w14:schemeClr w14:val="tx1"/>
                  </w14:solidFill>
                </w14:textFill>
              </w:rPr>
              <w:t>因此，本项目划定的卫生防护距离内无居民等特殊敏感目标。</w:t>
            </w:r>
          </w:p>
          <w:p w14:paraId="1A4B8FAA">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经建设单位对卫生防护距离内2户农户征求公众意见表明，农户均同意项目建设。</w:t>
            </w:r>
          </w:p>
          <w:p w14:paraId="76953971">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由于卫生防护距离内不得设置经常居住的房屋，环评建议有关部门对项目周围发展做出规划时，禁止在项目卫生防护距离50m范围内新建居民点、医院、学校等环境敏感点，也不得引入对环境较为敏感的食品、医药等企业。</w:t>
            </w:r>
          </w:p>
          <w:p w14:paraId="7D6E6BDB">
            <w:pPr>
              <w:spacing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1.9废气排放环境影响分析</w:t>
            </w:r>
          </w:p>
          <w:p w14:paraId="3CCD2BD6">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所在区域TSP满足环境质量要求，项目生产车间密闭，最近敏感点位于项目厂界约东面48m；项目生产过程中产生的粉尘经收集后通过布袋除尘器处理后通过15m排气筒（DA001）实现有组织达标排放。为了减少粉尘无组织排放对项目生产车间周边的农户的影响，环评要求以生产车间为边界划定50m卫生防护距离，并将卫生防护距离内的农户民房租用为项目办公生活用房。因此，项目产生的粉尘排放对环境影响较小。</w:t>
            </w:r>
          </w:p>
          <w:p w14:paraId="12164136">
            <w:pPr>
              <w:pStyle w:val="7"/>
              <w:ind w:firstLine="0" w:firstLineChars="0"/>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2</w:t>
            </w:r>
            <w:r>
              <w:rPr>
                <w:rFonts w:ascii="Times New Roman" w:hAnsi="Times New Roman" w:cs="Times New Roman"/>
                <w:b w:val="0"/>
                <w:color w:val="000000" w:themeColor="text1"/>
                <w14:textFill>
                  <w14:solidFill>
                    <w14:schemeClr w14:val="tx1"/>
                  </w14:solidFill>
                </w14:textFill>
              </w:rPr>
              <w:t>、</w:t>
            </w:r>
            <w:r>
              <w:rPr>
                <w:rFonts w:ascii="Times New Roman" w:hAnsi="Times New Roman" w:cs="Times New Roman" w:eastAsiaTheme="minorEastAsia"/>
                <w:color w:val="000000" w:themeColor="text1"/>
                <w14:textFill>
                  <w14:solidFill>
                    <w14:schemeClr w14:val="tx1"/>
                  </w14:solidFill>
                </w14:textFill>
              </w:rPr>
              <w:t>废水</w:t>
            </w:r>
          </w:p>
          <w:p w14:paraId="7F185636">
            <w:pPr>
              <w:spacing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2.1.废水污染物排放及治理措施</w:t>
            </w:r>
          </w:p>
          <w:p w14:paraId="4D2AC967">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（1）生活污水</w:t>
            </w:r>
          </w:p>
          <w:p w14:paraId="46CC6F40">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项目营运期工作人员28人，不设食堂与宿舍，员工用水量按50L/人·d计算，生活污水产污系数按85%计，则生活污水量为1.19m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/d（357m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/a）。生活污水大英县火井建材有限公司虎林砖厂已有的预处理池处理后用于周边农田施肥。根据建设单位提供资料，虎林砖厂预处理池容积为10m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，可储存8.4天的生活污水量。根据相关文献资料，蔬菜地每年灌溉水量为200～500m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/亩，稻田地每年灌溉水量为800m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/亩，旱地每年灌溉水量为300m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/亩。按最低的蔬菜地每年灌溉水量200m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亩计算，仅需要1.79亩菜地就可消纳本项目全部生活污水根据项目外环境可知，临近项目周边分布有大面积农田、耕地、林地。其用水需求远远大于本项目生活污水的产生量，因此本项目的生活污水可得到有效的消纳。</w:t>
            </w:r>
          </w:p>
          <w:p w14:paraId="01A3A4EC">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（2）锅炉蒸汽废水</w:t>
            </w:r>
          </w:p>
          <w:p w14:paraId="0F71CF27">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项目锅炉的用水量为5 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/d，全部用于制蒸汽用于产品养护，其中30%的蒸汽在养护的过程中损耗，剩余70%的蒸汽冷凝后通过导流沟进入沉淀池，该部分废水量约为3.5m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/d，回用于建筑垃圾与碎石的湿式球磨工序，不外排。</w:t>
            </w:r>
          </w:p>
          <w:p w14:paraId="05B04A69">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（3）切割边角料冲洗废水</w:t>
            </w:r>
          </w:p>
          <w:p w14:paraId="6B7A64D0">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项目轻质材料在静停养护完成后，将通过切割机分割成特定尺寸的产品，此时产品还未完全固化，切割产生的边角料采用水冲洗方式进入沉淀池，根据建设单位提供资料，切割冲洗用水量约为3 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/d，废水产生量按85%计，则切割边角料冲洗废水量为2.55 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/d，该部分废水经导流沟进入沉淀池处理后用于建筑垃圾与碎石的湿式球磨工序，不外排。</w:t>
            </w:r>
          </w:p>
          <w:p w14:paraId="623EA175">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（4）配料机冲洗废水</w:t>
            </w:r>
          </w:p>
          <w:p w14:paraId="6C3B38A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项目设配料机1台，每天需对其进行冲洗1次，每次冲洗用水量以1.5m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计。清洗过程中15%的水蒸发、损耗，则配料机清洗废水产生量为1.275m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/d（382.5m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/a），经导流沟进入沉淀池处理后用于建筑垃圾与碎石的湿式球磨工序，不外排。</w:t>
            </w:r>
          </w:p>
          <w:p w14:paraId="4F09A468">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（5）厂区道路降尘废水</w:t>
            </w:r>
          </w:p>
          <w:p w14:paraId="38BA9374">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由于厂区内来往车辆较多，为进一步减少道路扬尘的产生，需对厂区运输道路定时洒水，项目设移动式雾炮机对道路进行洒水抑尘，项目厂区道路洒水量约为2m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/d，这部分用水自然损耗，不外排。</w:t>
            </w:r>
          </w:p>
          <w:p w14:paraId="44D631BB">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（6）车间和车辆冲洗废水</w:t>
            </w:r>
          </w:p>
          <w:p w14:paraId="631C7976">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本项目要求每天对车间地面进行冲洗，保持车间地面清洁。日冲洗水量约为1 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，这部分用水自然损耗，不外排。车辆日冲洗水量约为3 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，这部分用水自然损耗，不外排。</w:t>
            </w:r>
          </w:p>
          <w:p w14:paraId="621D2116">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项目在车间设隔油沉淀池1座，容积10m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，生产废水经沉淀池沉淀后回用于生产。本项目废水的产生排放情况见下表。</w:t>
            </w:r>
          </w:p>
          <w:p w14:paraId="2A6EFC7A">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表4-9 本项目废水产生量及排放情况统计</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425"/>
              <w:gridCol w:w="2604"/>
              <w:gridCol w:w="918"/>
              <w:gridCol w:w="2225"/>
            </w:tblGrid>
            <w:tr w14:paraId="2F02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12" w:type="pct"/>
                  <w:vAlign w:val="center"/>
                </w:tcPr>
                <w:p w14:paraId="6601F929">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项目</w:t>
                  </w:r>
                </w:p>
              </w:tc>
              <w:tc>
                <w:tcPr>
                  <w:tcW w:w="812" w:type="pct"/>
                  <w:vAlign w:val="center"/>
                </w:tcPr>
                <w:p w14:paraId="647A8606">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产生量</w:t>
                  </w:r>
                </w:p>
              </w:tc>
              <w:tc>
                <w:tcPr>
                  <w:tcW w:w="1484" w:type="pct"/>
                  <w:vAlign w:val="center"/>
                </w:tcPr>
                <w:p w14:paraId="3F771746">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治理措施</w:t>
                  </w:r>
                </w:p>
              </w:tc>
              <w:tc>
                <w:tcPr>
                  <w:tcW w:w="523" w:type="pct"/>
                  <w:vAlign w:val="center"/>
                </w:tcPr>
                <w:p w14:paraId="45BF3665">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排放量</w:t>
                  </w:r>
                </w:p>
              </w:tc>
              <w:tc>
                <w:tcPr>
                  <w:tcW w:w="1268" w:type="pct"/>
                  <w:vAlign w:val="center"/>
                </w:tcPr>
                <w:p w14:paraId="6B1C4215">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排放去向</w:t>
                  </w:r>
                </w:p>
              </w:tc>
            </w:tr>
            <w:tr w14:paraId="6292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12" w:type="pct"/>
                  <w:vAlign w:val="center"/>
                </w:tcPr>
                <w:p w14:paraId="0A9070A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生活污水</w:t>
                  </w:r>
                </w:p>
              </w:tc>
              <w:tc>
                <w:tcPr>
                  <w:tcW w:w="812" w:type="pct"/>
                  <w:vAlign w:val="center"/>
                </w:tcPr>
                <w:p w14:paraId="027B534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1.19m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p>
              </w:tc>
              <w:tc>
                <w:tcPr>
                  <w:tcW w:w="1484" w:type="pct"/>
                  <w:vAlign w:val="center"/>
                </w:tcPr>
                <w:p w14:paraId="340E894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预处理池</w:t>
                  </w:r>
                </w:p>
              </w:tc>
              <w:tc>
                <w:tcPr>
                  <w:tcW w:w="523" w:type="pct"/>
                  <w:vAlign w:val="center"/>
                </w:tcPr>
                <w:p w14:paraId="20E37779">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1268" w:type="pct"/>
                  <w:vAlign w:val="center"/>
                </w:tcPr>
                <w:p w14:paraId="29FE480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施用于农田耕地</w:t>
                  </w:r>
                </w:p>
              </w:tc>
            </w:tr>
            <w:tr w14:paraId="2515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33D7484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锅炉蒸汽废水</w:t>
                  </w:r>
                </w:p>
              </w:tc>
              <w:tc>
                <w:tcPr>
                  <w:tcW w:w="812" w:type="pct"/>
                  <w:vAlign w:val="center"/>
                </w:tcPr>
                <w:p w14:paraId="33215CB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3.5m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p>
              </w:tc>
              <w:tc>
                <w:tcPr>
                  <w:tcW w:w="1484" w:type="pct"/>
                  <w:vAlign w:val="center"/>
                </w:tcPr>
                <w:p w14:paraId="6531503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经导流沟进入沉淀池收集回用于生产</w:t>
                  </w:r>
                </w:p>
              </w:tc>
              <w:tc>
                <w:tcPr>
                  <w:tcW w:w="523" w:type="pct"/>
                  <w:vAlign w:val="center"/>
                </w:tcPr>
                <w:p w14:paraId="381FC15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1268" w:type="pct"/>
                  <w:vAlign w:val="center"/>
                </w:tcPr>
                <w:p w14:paraId="4B3D9D9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回用于湿式球磨工序，不外排</w:t>
                  </w:r>
                </w:p>
              </w:tc>
            </w:tr>
            <w:tr w14:paraId="26DF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3F01273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切割边角料冲洗废水</w:t>
                  </w:r>
                </w:p>
              </w:tc>
              <w:tc>
                <w:tcPr>
                  <w:tcW w:w="812" w:type="pct"/>
                  <w:vAlign w:val="center"/>
                </w:tcPr>
                <w:p w14:paraId="219BE36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2.55m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p>
              </w:tc>
              <w:tc>
                <w:tcPr>
                  <w:tcW w:w="1484" w:type="pct"/>
                  <w:vAlign w:val="center"/>
                </w:tcPr>
                <w:p w14:paraId="2473935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经导流沟进入沉淀池收集沉淀后回用于生产</w:t>
                  </w:r>
                </w:p>
              </w:tc>
              <w:tc>
                <w:tcPr>
                  <w:tcW w:w="523" w:type="pct"/>
                  <w:vAlign w:val="center"/>
                </w:tcPr>
                <w:p w14:paraId="6C56674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1268" w:type="pct"/>
                  <w:vAlign w:val="center"/>
                </w:tcPr>
                <w:p w14:paraId="074F8EA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回用于湿式球磨工序，不外排</w:t>
                  </w:r>
                </w:p>
              </w:tc>
            </w:tr>
            <w:tr w14:paraId="0CFB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5F3412E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配料机冲洗废水</w:t>
                  </w:r>
                </w:p>
              </w:tc>
              <w:tc>
                <w:tcPr>
                  <w:tcW w:w="812" w:type="pct"/>
                  <w:vAlign w:val="center"/>
                </w:tcPr>
                <w:p w14:paraId="5B397DC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1.275m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p>
              </w:tc>
              <w:tc>
                <w:tcPr>
                  <w:tcW w:w="1484" w:type="pct"/>
                  <w:vAlign w:val="center"/>
                </w:tcPr>
                <w:p w14:paraId="553E63A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经导流沟进入沉淀池收集沉淀后回用于生产</w:t>
                  </w:r>
                </w:p>
              </w:tc>
              <w:tc>
                <w:tcPr>
                  <w:tcW w:w="523" w:type="pct"/>
                  <w:vAlign w:val="center"/>
                </w:tcPr>
                <w:p w14:paraId="5012580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1268" w:type="pct"/>
                  <w:vAlign w:val="center"/>
                </w:tcPr>
                <w:p w14:paraId="4BE3B58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回用于湿式球磨工序，不外排</w:t>
                  </w:r>
                </w:p>
              </w:tc>
            </w:tr>
            <w:tr w14:paraId="08F9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371D24E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厂区道路降尘废水</w:t>
                  </w:r>
                </w:p>
              </w:tc>
              <w:tc>
                <w:tcPr>
                  <w:tcW w:w="812" w:type="pct"/>
                  <w:vAlign w:val="center"/>
                </w:tcPr>
                <w:p w14:paraId="5B90615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p>
              </w:tc>
              <w:tc>
                <w:tcPr>
                  <w:tcW w:w="1484" w:type="pct"/>
                  <w:vAlign w:val="center"/>
                </w:tcPr>
                <w:p w14:paraId="366F062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自然蒸发，损耗</w:t>
                  </w:r>
                </w:p>
              </w:tc>
              <w:tc>
                <w:tcPr>
                  <w:tcW w:w="523" w:type="pct"/>
                  <w:vAlign w:val="center"/>
                </w:tcPr>
                <w:p w14:paraId="6D5A455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1268" w:type="pct"/>
                  <w:vAlign w:val="center"/>
                </w:tcPr>
                <w:p w14:paraId="2772013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自然蒸发，损耗，无废水产生</w:t>
                  </w:r>
                </w:p>
              </w:tc>
            </w:tr>
            <w:tr w14:paraId="33F0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pct"/>
                  <w:vAlign w:val="center"/>
                </w:tcPr>
                <w:p w14:paraId="6DE7A72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车间和车辆冲洗废水</w:t>
                  </w:r>
                </w:p>
              </w:tc>
              <w:tc>
                <w:tcPr>
                  <w:tcW w:w="812" w:type="pct"/>
                  <w:vAlign w:val="center"/>
                </w:tcPr>
                <w:p w14:paraId="15641D29">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w:t>
                  </w:r>
                </w:p>
              </w:tc>
              <w:tc>
                <w:tcPr>
                  <w:tcW w:w="1484" w:type="pct"/>
                  <w:vAlign w:val="center"/>
                </w:tcPr>
                <w:p w14:paraId="7CE5127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自然蒸发，损耗</w:t>
                  </w:r>
                </w:p>
              </w:tc>
              <w:tc>
                <w:tcPr>
                  <w:tcW w:w="523" w:type="pct"/>
                  <w:vAlign w:val="center"/>
                </w:tcPr>
                <w:p w14:paraId="425E558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1268" w:type="pct"/>
                  <w:vAlign w:val="center"/>
                </w:tcPr>
                <w:p w14:paraId="0AA031D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自然蒸发，损耗，无废水产生</w:t>
                  </w:r>
                </w:p>
              </w:tc>
            </w:tr>
          </w:tbl>
          <w:p w14:paraId="09B39327">
            <w:pPr>
              <w:spacing w:before="120" w:beforeLines="50"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综上，项目运营期废水不会对周边地表水体产生不良影响。</w:t>
            </w:r>
          </w:p>
          <w:p w14:paraId="6F25A12B">
            <w:pPr>
              <w:spacing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2.2废水监测要求</w:t>
            </w:r>
          </w:p>
          <w:p w14:paraId="5CFFE9D7">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本项目废水不外排至地表水体，故不做监测要求。</w:t>
            </w:r>
          </w:p>
          <w:p w14:paraId="6D23A362">
            <w:pPr>
              <w:pStyle w:val="7"/>
              <w:ind w:firstLine="0" w:firstLineChars="0"/>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3</w:t>
            </w:r>
            <w:r>
              <w:rPr>
                <w:rFonts w:ascii="Times New Roman" w:hAnsi="Times New Roman" w:cs="Times New Roman"/>
                <w:b w:val="0"/>
                <w:color w:val="000000" w:themeColor="text1"/>
                <w14:textFill>
                  <w14:solidFill>
                    <w14:schemeClr w14:val="tx1"/>
                  </w14:solidFill>
                </w14:textFill>
              </w:rPr>
              <w:t>、</w:t>
            </w:r>
            <w:r>
              <w:rPr>
                <w:rFonts w:ascii="Times New Roman" w:hAnsi="Times New Roman" w:cs="Times New Roman" w:eastAsiaTheme="minorEastAsia"/>
                <w:color w:val="000000" w:themeColor="text1"/>
                <w14:textFill>
                  <w14:solidFill>
                    <w14:schemeClr w14:val="tx1"/>
                  </w14:solidFill>
                </w14:textFill>
              </w:rPr>
              <w:t>噪声</w:t>
            </w:r>
          </w:p>
          <w:p w14:paraId="382EF9E9">
            <w:pPr>
              <w:spacing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3.1噪声源</w:t>
            </w:r>
          </w:p>
          <w:p w14:paraId="32D46068">
            <w:pPr>
              <w:pStyle w:val="61"/>
              <w:spacing w:line="360" w:lineRule="auto"/>
              <w:ind w:firstLine="482" w:firstLineChars="200"/>
              <w:rPr>
                <w:rFonts w:eastAsiaTheme="minorEastAsia"/>
                <w:color w:val="000000" w:themeColor="text1"/>
                <w14:textFill>
                  <w14:solidFill>
                    <w14:schemeClr w14:val="tx1"/>
                  </w14:solidFill>
                </w14:textFill>
              </w:rPr>
            </w:pPr>
          </w:p>
          <w:p w14:paraId="047B201B"/>
          <w:p w14:paraId="2AEA99E8">
            <w:pPr>
              <w:pStyle w:val="2"/>
            </w:pPr>
          </w:p>
          <w:p w14:paraId="2055C412"/>
          <w:p w14:paraId="2BAB9597">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表4-10 本项目噪声源强及治理设施</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639"/>
              <w:gridCol w:w="1646"/>
              <w:gridCol w:w="2600"/>
              <w:gridCol w:w="1967"/>
            </w:tblGrid>
            <w:tr w14:paraId="150E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19D21B36">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序号</w:t>
                  </w:r>
                </w:p>
              </w:tc>
              <w:tc>
                <w:tcPr>
                  <w:tcW w:w="934" w:type="pct"/>
                  <w:vAlign w:val="center"/>
                </w:tcPr>
                <w:p w14:paraId="3B743818">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主要声源</w:t>
                  </w:r>
                </w:p>
              </w:tc>
              <w:tc>
                <w:tcPr>
                  <w:tcW w:w="938" w:type="pct"/>
                  <w:vAlign w:val="center"/>
                </w:tcPr>
                <w:p w14:paraId="191CE1F9">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治理前声级</w:t>
                  </w:r>
                </w:p>
                <w:p w14:paraId="5E1E300D">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dB(A)</w:t>
                  </w:r>
                </w:p>
              </w:tc>
              <w:tc>
                <w:tcPr>
                  <w:tcW w:w="1482" w:type="pct"/>
                  <w:vAlign w:val="center"/>
                </w:tcPr>
                <w:p w14:paraId="4D476CD0">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处理措施</w:t>
                  </w:r>
                </w:p>
              </w:tc>
              <w:tc>
                <w:tcPr>
                  <w:tcW w:w="1121" w:type="pct"/>
                  <w:vAlign w:val="center"/>
                </w:tcPr>
                <w:p w14:paraId="3A621D45">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治理后室外声级dB(A)</w:t>
                  </w:r>
                </w:p>
              </w:tc>
            </w:tr>
            <w:tr w14:paraId="2908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43BB71A5">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w:t>
                  </w:r>
                </w:p>
              </w:tc>
              <w:tc>
                <w:tcPr>
                  <w:tcW w:w="934" w:type="pct"/>
                  <w:vAlign w:val="center"/>
                </w:tcPr>
                <w:p w14:paraId="269EDF05">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球磨机</w:t>
                  </w:r>
                </w:p>
              </w:tc>
              <w:tc>
                <w:tcPr>
                  <w:tcW w:w="938" w:type="pct"/>
                  <w:vAlign w:val="center"/>
                </w:tcPr>
                <w:p w14:paraId="57905795">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85~95</w:t>
                  </w:r>
                </w:p>
              </w:tc>
              <w:tc>
                <w:tcPr>
                  <w:tcW w:w="1482" w:type="pct"/>
                  <w:vMerge w:val="restart"/>
                  <w:vAlign w:val="center"/>
                </w:tcPr>
                <w:p w14:paraId="49D2D58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选用低噪声设备，基础减震、厂房建筑隔声</w:t>
                  </w:r>
                </w:p>
              </w:tc>
              <w:tc>
                <w:tcPr>
                  <w:tcW w:w="1121" w:type="pct"/>
                  <w:vAlign w:val="center"/>
                </w:tcPr>
                <w:p w14:paraId="70A14F7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＜70</w:t>
                  </w:r>
                </w:p>
              </w:tc>
            </w:tr>
            <w:tr w14:paraId="324A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3DB2964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p>
              </w:tc>
              <w:tc>
                <w:tcPr>
                  <w:tcW w:w="934" w:type="pct"/>
                  <w:vAlign w:val="center"/>
                </w:tcPr>
                <w:p w14:paraId="03966E1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配料机</w:t>
                  </w:r>
                </w:p>
              </w:tc>
              <w:tc>
                <w:tcPr>
                  <w:tcW w:w="938" w:type="pct"/>
                  <w:vAlign w:val="center"/>
                </w:tcPr>
                <w:p w14:paraId="7B92962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80~85</w:t>
                  </w:r>
                </w:p>
              </w:tc>
              <w:tc>
                <w:tcPr>
                  <w:tcW w:w="1482" w:type="pct"/>
                  <w:vMerge w:val="continue"/>
                  <w:vAlign w:val="center"/>
                </w:tcPr>
                <w:p w14:paraId="58229E02">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vAlign w:val="center"/>
                </w:tcPr>
                <w:p w14:paraId="05A7F2E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＜70</w:t>
                  </w:r>
                </w:p>
              </w:tc>
            </w:tr>
            <w:tr w14:paraId="1A77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203F5DA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w:t>
                  </w:r>
                </w:p>
              </w:tc>
              <w:tc>
                <w:tcPr>
                  <w:tcW w:w="934" w:type="pct"/>
                  <w:vAlign w:val="center"/>
                </w:tcPr>
                <w:p w14:paraId="59EEEBC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切割机</w:t>
                  </w:r>
                </w:p>
              </w:tc>
              <w:tc>
                <w:tcPr>
                  <w:tcW w:w="938" w:type="pct"/>
                  <w:vAlign w:val="center"/>
                </w:tcPr>
                <w:p w14:paraId="543788D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70~80</w:t>
                  </w:r>
                </w:p>
              </w:tc>
              <w:tc>
                <w:tcPr>
                  <w:tcW w:w="1482" w:type="pct"/>
                  <w:vMerge w:val="continue"/>
                  <w:vAlign w:val="center"/>
                </w:tcPr>
                <w:p w14:paraId="72B15D15">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vAlign w:val="center"/>
                </w:tcPr>
                <w:p w14:paraId="48E0DBC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＜60</w:t>
                  </w:r>
                </w:p>
              </w:tc>
            </w:tr>
            <w:tr w14:paraId="650D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5655470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w:t>
                  </w:r>
                </w:p>
              </w:tc>
              <w:tc>
                <w:tcPr>
                  <w:tcW w:w="934" w:type="pct"/>
                  <w:vAlign w:val="center"/>
                </w:tcPr>
                <w:p w14:paraId="588183D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轮碾搅拌机</w:t>
                  </w:r>
                </w:p>
              </w:tc>
              <w:tc>
                <w:tcPr>
                  <w:tcW w:w="938" w:type="pct"/>
                  <w:vAlign w:val="center"/>
                </w:tcPr>
                <w:p w14:paraId="0CB4ED9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80~85</w:t>
                  </w:r>
                </w:p>
              </w:tc>
              <w:tc>
                <w:tcPr>
                  <w:tcW w:w="1482" w:type="pct"/>
                  <w:vMerge w:val="continue"/>
                  <w:vAlign w:val="center"/>
                </w:tcPr>
                <w:p w14:paraId="3996A79C">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vAlign w:val="center"/>
                </w:tcPr>
                <w:p w14:paraId="5E4C126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＜55</w:t>
                  </w:r>
                </w:p>
              </w:tc>
            </w:tr>
            <w:tr w14:paraId="6AEC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406A978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5</w:t>
                  </w:r>
                </w:p>
              </w:tc>
              <w:tc>
                <w:tcPr>
                  <w:tcW w:w="934" w:type="pct"/>
                  <w:vAlign w:val="center"/>
                </w:tcPr>
                <w:p w14:paraId="3835B21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码垛机</w:t>
                  </w:r>
                </w:p>
              </w:tc>
              <w:tc>
                <w:tcPr>
                  <w:tcW w:w="938" w:type="pct"/>
                </w:tcPr>
                <w:p w14:paraId="5EED007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70~80</w:t>
                  </w:r>
                </w:p>
              </w:tc>
              <w:tc>
                <w:tcPr>
                  <w:tcW w:w="1482" w:type="pct"/>
                  <w:vMerge w:val="continue"/>
                  <w:vAlign w:val="center"/>
                </w:tcPr>
                <w:p w14:paraId="0F1A9AC1">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vAlign w:val="center"/>
                </w:tcPr>
                <w:p w14:paraId="363A5B5F">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＜65</w:t>
                  </w:r>
                </w:p>
              </w:tc>
            </w:tr>
            <w:tr w14:paraId="28B1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6F1B335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w:t>
                  </w:r>
                </w:p>
              </w:tc>
              <w:tc>
                <w:tcPr>
                  <w:tcW w:w="934" w:type="pct"/>
                  <w:vAlign w:val="center"/>
                </w:tcPr>
                <w:p w14:paraId="149170E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静压机</w:t>
                  </w:r>
                </w:p>
              </w:tc>
              <w:tc>
                <w:tcPr>
                  <w:tcW w:w="938" w:type="pct"/>
                </w:tcPr>
                <w:p w14:paraId="32A3406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70~80</w:t>
                  </w:r>
                </w:p>
              </w:tc>
              <w:tc>
                <w:tcPr>
                  <w:tcW w:w="1482" w:type="pct"/>
                  <w:vMerge w:val="continue"/>
                  <w:vAlign w:val="center"/>
                </w:tcPr>
                <w:p w14:paraId="3D0A7BD7">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tcPr>
                <w:p w14:paraId="53AD794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＜60</w:t>
                  </w:r>
                </w:p>
              </w:tc>
            </w:tr>
            <w:tr w14:paraId="0392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183C7C9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7</w:t>
                  </w:r>
                </w:p>
              </w:tc>
              <w:tc>
                <w:tcPr>
                  <w:tcW w:w="934" w:type="pct"/>
                  <w:vAlign w:val="center"/>
                </w:tcPr>
                <w:p w14:paraId="45CBD1AD">
                  <w:pPr>
                    <w:pStyle w:val="7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螺旋输送机</w:t>
                  </w:r>
                </w:p>
              </w:tc>
              <w:tc>
                <w:tcPr>
                  <w:tcW w:w="938" w:type="pct"/>
                </w:tcPr>
                <w:p w14:paraId="5C5D4145">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70~80</w:t>
                  </w:r>
                </w:p>
              </w:tc>
              <w:tc>
                <w:tcPr>
                  <w:tcW w:w="1482" w:type="pct"/>
                  <w:vMerge w:val="continue"/>
                  <w:vAlign w:val="center"/>
                </w:tcPr>
                <w:p w14:paraId="35B06D6E">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tcPr>
                <w:p w14:paraId="4C15874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＜60</w:t>
                  </w:r>
                </w:p>
              </w:tc>
            </w:tr>
            <w:tr w14:paraId="7CA6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3BE5860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8</w:t>
                  </w:r>
                </w:p>
              </w:tc>
              <w:tc>
                <w:tcPr>
                  <w:tcW w:w="934" w:type="pct"/>
                  <w:vAlign w:val="center"/>
                </w:tcPr>
                <w:p w14:paraId="20537118">
                  <w:pPr>
                    <w:pStyle w:val="79"/>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皮带输送机</w:t>
                  </w:r>
                </w:p>
              </w:tc>
              <w:tc>
                <w:tcPr>
                  <w:tcW w:w="938" w:type="pct"/>
                </w:tcPr>
                <w:p w14:paraId="613D254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70~80</w:t>
                  </w:r>
                </w:p>
              </w:tc>
              <w:tc>
                <w:tcPr>
                  <w:tcW w:w="1482" w:type="pct"/>
                  <w:vMerge w:val="continue"/>
                  <w:vAlign w:val="center"/>
                </w:tcPr>
                <w:p w14:paraId="43C02F60">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1121" w:type="pct"/>
                </w:tcPr>
                <w:p w14:paraId="3E6D0B1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＜60</w:t>
                  </w:r>
                </w:p>
              </w:tc>
            </w:tr>
          </w:tbl>
          <w:p w14:paraId="7D7EA143">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本项目噪声主要来自生产车间内的机械设备（主要为球磨机、破碎机、切割机等）产生的噪声，</w:t>
            </w:r>
            <w:r>
              <w:rPr>
                <w:bCs/>
                <w:color w:val="000000" w:themeColor="text1"/>
                <w:kern w:val="0"/>
                <w:sz w:val="24"/>
                <w14:textFill>
                  <w14:solidFill>
                    <w14:schemeClr w14:val="tx1"/>
                  </w14:solidFill>
                </w14:textFill>
              </w:rPr>
              <w:t>噪声调查清单及降噪措施见下表</w:t>
            </w:r>
            <w:r>
              <w:rPr>
                <w:rFonts w:eastAsiaTheme="minorEastAsia"/>
                <w:color w:val="000000" w:themeColor="text1"/>
                <w:sz w:val="24"/>
                <w14:textFill>
                  <w14:solidFill>
                    <w14:schemeClr w14:val="tx1"/>
                  </w14:solidFill>
                </w14:textFill>
              </w:rPr>
              <w:t>。</w:t>
            </w:r>
          </w:p>
          <w:p w14:paraId="16C1932D">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表4-11项目运营期主要设备噪声及治理情况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442"/>
              <w:gridCol w:w="584"/>
              <w:gridCol w:w="443"/>
              <w:gridCol w:w="790"/>
              <w:gridCol w:w="636"/>
              <w:gridCol w:w="594"/>
              <w:gridCol w:w="594"/>
              <w:gridCol w:w="594"/>
              <w:gridCol w:w="745"/>
              <w:gridCol w:w="790"/>
              <w:gridCol w:w="445"/>
              <w:gridCol w:w="823"/>
              <w:gridCol w:w="826"/>
            </w:tblGrid>
            <w:tr w14:paraId="24D6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72" w:type="pct"/>
                  <w:vMerge w:val="restart"/>
                  <w:vAlign w:val="center"/>
                </w:tcPr>
                <w:p w14:paraId="04FD77A5">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序号</w:t>
                  </w:r>
                </w:p>
              </w:tc>
              <w:tc>
                <w:tcPr>
                  <w:tcW w:w="258" w:type="pct"/>
                  <w:vMerge w:val="restart"/>
                  <w:vAlign w:val="center"/>
                </w:tcPr>
                <w:p w14:paraId="41849A99">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建筑物名称</w:t>
                  </w:r>
                </w:p>
              </w:tc>
              <w:tc>
                <w:tcPr>
                  <w:tcW w:w="339" w:type="pct"/>
                  <w:vMerge w:val="restart"/>
                  <w:vAlign w:val="center"/>
                </w:tcPr>
                <w:p w14:paraId="560492D1">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声源名称</w:t>
                  </w:r>
                </w:p>
              </w:tc>
              <w:tc>
                <w:tcPr>
                  <w:tcW w:w="259" w:type="pct"/>
                  <w:vMerge w:val="restart"/>
                  <w:vAlign w:val="center"/>
                </w:tcPr>
                <w:p w14:paraId="41E7A9E5">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型号</w:t>
                  </w:r>
                </w:p>
              </w:tc>
              <w:tc>
                <w:tcPr>
                  <w:tcW w:w="433" w:type="pct"/>
                  <w:vMerge w:val="restart"/>
                  <w:vAlign w:val="center"/>
                </w:tcPr>
                <w:p w14:paraId="4427D8BC">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声源源强dB（A）</w:t>
                  </w:r>
                </w:p>
              </w:tc>
              <w:tc>
                <w:tcPr>
                  <w:tcW w:w="354" w:type="pct"/>
                  <w:vMerge w:val="restart"/>
                  <w:vAlign w:val="center"/>
                </w:tcPr>
                <w:p w14:paraId="1E100671">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声源控制措施</w:t>
                  </w:r>
                </w:p>
              </w:tc>
              <w:tc>
                <w:tcPr>
                  <w:tcW w:w="1034" w:type="pct"/>
                  <w:gridSpan w:val="3"/>
                  <w:vAlign w:val="center"/>
                </w:tcPr>
                <w:p w14:paraId="08AA7192">
                  <w:pPr>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lang w:eastAsia="zh-CN"/>
                      <w14:textFill>
                        <w14:solidFill>
                          <w14:schemeClr w14:val="tx1"/>
                        </w14:solidFill>
                      </w14:textFill>
                    </w:rPr>
                    <w:t>空间相对位置</w:t>
                  </w:r>
                  <w:r>
                    <w:rPr>
                      <w:b/>
                      <w:color w:val="000000" w:themeColor="text1"/>
                      <w:kern w:val="0"/>
                      <w:szCs w:val="21"/>
                      <w14:textFill>
                        <w14:solidFill>
                          <w14:schemeClr w14:val="tx1"/>
                        </w14:solidFill>
                      </w14:textFill>
                    </w:rPr>
                    <w:t>/m</w:t>
                  </w:r>
                </w:p>
              </w:tc>
              <w:tc>
                <w:tcPr>
                  <w:tcW w:w="431" w:type="pct"/>
                  <w:vMerge w:val="restart"/>
                  <w:vAlign w:val="center"/>
                </w:tcPr>
                <w:p w14:paraId="7871BAC2">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距室内边界距离/m</w:t>
                  </w:r>
                </w:p>
              </w:tc>
              <w:tc>
                <w:tcPr>
                  <w:tcW w:w="432" w:type="pct"/>
                  <w:vMerge w:val="restart"/>
                  <w:vAlign w:val="center"/>
                </w:tcPr>
                <w:p w14:paraId="3F221D86">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室内边界声级dB（A）</w:t>
                  </w:r>
                </w:p>
              </w:tc>
              <w:tc>
                <w:tcPr>
                  <w:tcW w:w="260" w:type="pct"/>
                  <w:vMerge w:val="restart"/>
                  <w:vAlign w:val="center"/>
                </w:tcPr>
                <w:p w14:paraId="0DC817E7">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运行时段</w:t>
                  </w:r>
                </w:p>
              </w:tc>
              <w:tc>
                <w:tcPr>
                  <w:tcW w:w="450" w:type="pct"/>
                  <w:vMerge w:val="restart"/>
                  <w:vAlign w:val="center"/>
                </w:tcPr>
                <w:p w14:paraId="04EC1543">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建筑物插入损失/dB(A)</w:t>
                  </w:r>
                </w:p>
              </w:tc>
              <w:tc>
                <w:tcPr>
                  <w:tcW w:w="478" w:type="pct"/>
                  <w:vMerge w:val="restart"/>
                  <w:vAlign w:val="center"/>
                </w:tcPr>
                <w:p w14:paraId="518BA072">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建筑物外噪声</w:t>
                  </w:r>
                </w:p>
              </w:tc>
            </w:tr>
            <w:tr w14:paraId="581D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72" w:type="pct"/>
                  <w:vMerge w:val="continue"/>
                  <w:vAlign w:val="center"/>
                </w:tcPr>
                <w:p w14:paraId="1205B9BA">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65870A7D">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3637198A">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69378A65">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07D0B0FB">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1E12AC2E">
                  <w:pPr>
                    <w:adjustRightInd w:val="0"/>
                    <w:snapToGrid w:val="0"/>
                    <w:jc w:val="center"/>
                    <w:rPr>
                      <w:bCs/>
                      <w:color w:val="000000" w:themeColor="text1"/>
                      <w:kern w:val="0"/>
                      <w:szCs w:val="21"/>
                      <w14:textFill>
                        <w14:solidFill>
                          <w14:schemeClr w14:val="tx1"/>
                        </w14:solidFill>
                      </w14:textFill>
                    </w:rPr>
                  </w:pPr>
                </w:p>
              </w:tc>
              <w:tc>
                <w:tcPr>
                  <w:tcW w:w="345" w:type="pct"/>
                  <w:vAlign w:val="center"/>
                </w:tcPr>
                <w:p w14:paraId="3428D9A0">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X</w:t>
                  </w:r>
                </w:p>
              </w:tc>
              <w:tc>
                <w:tcPr>
                  <w:tcW w:w="345" w:type="pct"/>
                  <w:vAlign w:val="center"/>
                </w:tcPr>
                <w:p w14:paraId="7AA485E8">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Y</w:t>
                  </w:r>
                </w:p>
              </w:tc>
              <w:tc>
                <w:tcPr>
                  <w:tcW w:w="345" w:type="pct"/>
                  <w:vAlign w:val="center"/>
                </w:tcPr>
                <w:p w14:paraId="6B7F2019">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Z</w:t>
                  </w:r>
                </w:p>
              </w:tc>
              <w:tc>
                <w:tcPr>
                  <w:tcW w:w="431" w:type="pct"/>
                  <w:vMerge w:val="continue"/>
                  <w:vAlign w:val="center"/>
                </w:tcPr>
                <w:p w14:paraId="02E5611F">
                  <w:pPr>
                    <w:adjustRightInd w:val="0"/>
                    <w:snapToGrid w:val="0"/>
                    <w:jc w:val="center"/>
                    <w:rPr>
                      <w:bCs/>
                      <w:color w:val="000000" w:themeColor="text1"/>
                      <w:kern w:val="0"/>
                      <w:szCs w:val="21"/>
                      <w14:textFill>
                        <w14:solidFill>
                          <w14:schemeClr w14:val="tx1"/>
                        </w14:solidFill>
                      </w14:textFill>
                    </w:rPr>
                  </w:pPr>
                </w:p>
              </w:tc>
              <w:tc>
                <w:tcPr>
                  <w:tcW w:w="432" w:type="pct"/>
                  <w:vMerge w:val="continue"/>
                  <w:vAlign w:val="center"/>
                </w:tcPr>
                <w:p w14:paraId="6BBA480E">
                  <w:pPr>
                    <w:adjustRightInd w:val="0"/>
                    <w:snapToGrid w:val="0"/>
                    <w:jc w:val="center"/>
                    <w:rPr>
                      <w:bCs/>
                      <w:color w:val="000000" w:themeColor="text1"/>
                      <w:kern w:val="0"/>
                      <w:szCs w:val="21"/>
                      <w14:textFill>
                        <w14:solidFill>
                          <w14:schemeClr w14:val="tx1"/>
                        </w14:solidFill>
                      </w14:textFill>
                    </w:rPr>
                  </w:pPr>
                </w:p>
              </w:tc>
              <w:tc>
                <w:tcPr>
                  <w:tcW w:w="260" w:type="pct"/>
                  <w:vMerge w:val="continue"/>
                  <w:vAlign w:val="center"/>
                </w:tcPr>
                <w:p w14:paraId="3D5E3DED">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2CB2D576">
                  <w:pPr>
                    <w:adjustRightInd w:val="0"/>
                    <w:snapToGrid w:val="0"/>
                    <w:jc w:val="center"/>
                    <w:rPr>
                      <w:bCs/>
                      <w:color w:val="000000" w:themeColor="text1"/>
                      <w:kern w:val="0"/>
                      <w:szCs w:val="21"/>
                      <w14:textFill>
                        <w14:solidFill>
                          <w14:schemeClr w14:val="tx1"/>
                        </w14:solidFill>
                      </w14:textFill>
                    </w:rPr>
                  </w:pPr>
                </w:p>
              </w:tc>
              <w:tc>
                <w:tcPr>
                  <w:tcW w:w="478" w:type="pct"/>
                  <w:vMerge w:val="continue"/>
                  <w:vAlign w:val="center"/>
                </w:tcPr>
                <w:p w14:paraId="2849045D">
                  <w:pPr>
                    <w:adjustRightInd w:val="0"/>
                    <w:snapToGrid w:val="0"/>
                    <w:jc w:val="center"/>
                    <w:rPr>
                      <w:bCs/>
                      <w:color w:val="000000" w:themeColor="text1"/>
                      <w:kern w:val="0"/>
                      <w:szCs w:val="21"/>
                      <w14:textFill>
                        <w14:solidFill>
                          <w14:schemeClr w14:val="tx1"/>
                        </w14:solidFill>
                      </w14:textFill>
                    </w:rPr>
                  </w:pPr>
                </w:p>
              </w:tc>
            </w:tr>
            <w:tr w14:paraId="2C32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72" w:type="pct"/>
                  <w:vMerge w:val="restart"/>
                  <w:vAlign w:val="center"/>
                </w:tcPr>
                <w:p w14:paraId="248C3EC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258" w:type="pct"/>
                  <w:vMerge w:val="restart"/>
                  <w:vAlign w:val="center"/>
                </w:tcPr>
                <w:p w14:paraId="1B77A854">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生产车间</w:t>
                  </w:r>
                </w:p>
              </w:tc>
              <w:tc>
                <w:tcPr>
                  <w:tcW w:w="339" w:type="pct"/>
                  <w:vMerge w:val="restart"/>
                  <w:vAlign w:val="center"/>
                </w:tcPr>
                <w:p w14:paraId="246AEDD3">
                  <w:pPr>
                    <w:adjustRightInd w:val="0"/>
                    <w:snapToGrid w:val="0"/>
                    <w:jc w:val="center"/>
                    <w:rPr>
                      <w:bCs/>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球磨机</w:t>
                  </w:r>
                </w:p>
              </w:tc>
              <w:tc>
                <w:tcPr>
                  <w:tcW w:w="259" w:type="pct"/>
                  <w:vMerge w:val="restart"/>
                  <w:vAlign w:val="center"/>
                </w:tcPr>
                <w:p w14:paraId="104418F7">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433" w:type="pct"/>
                  <w:vMerge w:val="restart"/>
                  <w:vAlign w:val="center"/>
                </w:tcPr>
                <w:p w14:paraId="67B883C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85~90</w:t>
                  </w:r>
                </w:p>
              </w:tc>
              <w:tc>
                <w:tcPr>
                  <w:tcW w:w="354" w:type="pct"/>
                  <w:vMerge w:val="restart"/>
                  <w:vAlign w:val="center"/>
                </w:tcPr>
                <w:p w14:paraId="2E00B69A">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选用低噪设备，合理安排车间布局，基础减震，厂房隔音，加强设备维护等</w:t>
                  </w:r>
                </w:p>
              </w:tc>
              <w:tc>
                <w:tcPr>
                  <w:tcW w:w="345" w:type="pct"/>
                  <w:vMerge w:val="restart"/>
                  <w:vAlign w:val="center"/>
                </w:tcPr>
                <w:p w14:paraId="41DA6D3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-17</w:t>
                  </w:r>
                </w:p>
              </w:tc>
              <w:tc>
                <w:tcPr>
                  <w:tcW w:w="345" w:type="pct"/>
                  <w:vMerge w:val="restart"/>
                  <w:vAlign w:val="center"/>
                </w:tcPr>
                <w:p w14:paraId="4A3077F7">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9</w:t>
                  </w:r>
                </w:p>
              </w:tc>
              <w:tc>
                <w:tcPr>
                  <w:tcW w:w="345" w:type="pct"/>
                  <w:vMerge w:val="restart"/>
                  <w:vAlign w:val="center"/>
                </w:tcPr>
                <w:p w14:paraId="579CCCD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w:t>
                  </w:r>
                </w:p>
              </w:tc>
              <w:tc>
                <w:tcPr>
                  <w:tcW w:w="431" w:type="pct"/>
                  <w:vAlign w:val="center"/>
                </w:tcPr>
                <w:p w14:paraId="67EF3204">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东：45</w:t>
                  </w:r>
                </w:p>
              </w:tc>
              <w:tc>
                <w:tcPr>
                  <w:tcW w:w="432" w:type="pct"/>
                  <w:vAlign w:val="center"/>
                </w:tcPr>
                <w:p w14:paraId="19B4344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48.9</w:t>
                  </w:r>
                </w:p>
              </w:tc>
              <w:tc>
                <w:tcPr>
                  <w:tcW w:w="260" w:type="pct"/>
                  <w:vMerge w:val="restart"/>
                  <w:vAlign w:val="center"/>
                </w:tcPr>
                <w:p w14:paraId="63E5A064">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昼间</w:t>
                  </w:r>
                </w:p>
              </w:tc>
              <w:tc>
                <w:tcPr>
                  <w:tcW w:w="450" w:type="pct"/>
                  <w:vMerge w:val="restart"/>
                  <w:vAlign w:val="center"/>
                </w:tcPr>
                <w:p w14:paraId="422A1CD0">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w:t>
                  </w:r>
                </w:p>
              </w:tc>
              <w:tc>
                <w:tcPr>
                  <w:tcW w:w="478" w:type="pct"/>
                </w:tcPr>
                <w:p w14:paraId="6B7B9DA4">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38.9 </w:t>
                  </w:r>
                </w:p>
              </w:tc>
            </w:tr>
            <w:tr w14:paraId="2516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72A37728">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6FC03045">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7794AB00">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3F40EFD9">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41D30EF6">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182A935F">
                  <w:pPr>
                    <w:adjustRightInd w:val="0"/>
                    <w:snapToGrid w:val="0"/>
                    <w:rPr>
                      <w:bCs/>
                      <w:color w:val="000000" w:themeColor="text1"/>
                      <w:kern w:val="0"/>
                      <w:szCs w:val="21"/>
                      <w14:textFill>
                        <w14:solidFill>
                          <w14:schemeClr w14:val="tx1"/>
                        </w14:solidFill>
                      </w14:textFill>
                    </w:rPr>
                  </w:pPr>
                </w:p>
              </w:tc>
              <w:tc>
                <w:tcPr>
                  <w:tcW w:w="345" w:type="pct"/>
                  <w:vMerge w:val="continue"/>
                  <w:vAlign w:val="center"/>
                </w:tcPr>
                <w:p w14:paraId="13522046">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15A36A54">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7BEE61B3">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25E33C69">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南：41</w:t>
                  </w:r>
                </w:p>
              </w:tc>
              <w:tc>
                <w:tcPr>
                  <w:tcW w:w="432" w:type="pct"/>
                  <w:vAlign w:val="center"/>
                </w:tcPr>
                <w:p w14:paraId="06A382C3">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49.7</w:t>
                  </w:r>
                </w:p>
              </w:tc>
              <w:tc>
                <w:tcPr>
                  <w:tcW w:w="260" w:type="pct"/>
                  <w:vMerge w:val="continue"/>
                  <w:vAlign w:val="center"/>
                </w:tcPr>
                <w:p w14:paraId="18B4C0D9">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3A02D907">
                  <w:pPr>
                    <w:adjustRightInd w:val="0"/>
                    <w:snapToGrid w:val="0"/>
                    <w:jc w:val="center"/>
                    <w:rPr>
                      <w:bCs/>
                      <w:color w:val="000000" w:themeColor="text1"/>
                      <w:kern w:val="0"/>
                      <w:szCs w:val="21"/>
                      <w14:textFill>
                        <w14:solidFill>
                          <w14:schemeClr w14:val="tx1"/>
                        </w14:solidFill>
                      </w14:textFill>
                    </w:rPr>
                  </w:pPr>
                </w:p>
              </w:tc>
              <w:tc>
                <w:tcPr>
                  <w:tcW w:w="478" w:type="pct"/>
                </w:tcPr>
                <w:p w14:paraId="57570E0F">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39.7 </w:t>
                  </w:r>
                </w:p>
              </w:tc>
            </w:tr>
            <w:tr w14:paraId="47B5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44C049D2">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3123673E">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0742D529">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5F3C7CF7">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75E926E3">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6818A2DD">
                  <w:pPr>
                    <w:adjustRightInd w:val="0"/>
                    <w:snapToGrid w:val="0"/>
                    <w:rPr>
                      <w:bCs/>
                      <w:color w:val="000000" w:themeColor="text1"/>
                      <w:kern w:val="0"/>
                      <w:szCs w:val="21"/>
                      <w14:textFill>
                        <w14:solidFill>
                          <w14:schemeClr w14:val="tx1"/>
                        </w14:solidFill>
                      </w14:textFill>
                    </w:rPr>
                  </w:pPr>
                </w:p>
              </w:tc>
              <w:tc>
                <w:tcPr>
                  <w:tcW w:w="345" w:type="pct"/>
                  <w:vMerge w:val="continue"/>
                  <w:vAlign w:val="center"/>
                </w:tcPr>
                <w:p w14:paraId="48632934">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5298DDD">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4FEABD3A">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0E0DAD6D">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西：13</w:t>
                  </w:r>
                </w:p>
              </w:tc>
              <w:tc>
                <w:tcPr>
                  <w:tcW w:w="432" w:type="pct"/>
                  <w:vAlign w:val="center"/>
                </w:tcPr>
                <w:p w14:paraId="5C33C904">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59.7</w:t>
                  </w:r>
                </w:p>
              </w:tc>
              <w:tc>
                <w:tcPr>
                  <w:tcW w:w="260" w:type="pct"/>
                  <w:vMerge w:val="continue"/>
                  <w:vAlign w:val="center"/>
                </w:tcPr>
                <w:p w14:paraId="0B160484">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228CF033">
                  <w:pPr>
                    <w:adjustRightInd w:val="0"/>
                    <w:snapToGrid w:val="0"/>
                    <w:jc w:val="center"/>
                    <w:rPr>
                      <w:bCs/>
                      <w:color w:val="000000" w:themeColor="text1"/>
                      <w:kern w:val="0"/>
                      <w:szCs w:val="21"/>
                      <w14:textFill>
                        <w14:solidFill>
                          <w14:schemeClr w14:val="tx1"/>
                        </w14:solidFill>
                      </w14:textFill>
                    </w:rPr>
                  </w:pPr>
                </w:p>
              </w:tc>
              <w:tc>
                <w:tcPr>
                  <w:tcW w:w="478" w:type="pct"/>
                </w:tcPr>
                <w:p w14:paraId="1426A383">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49.7 </w:t>
                  </w:r>
                </w:p>
              </w:tc>
            </w:tr>
            <w:tr w14:paraId="0864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75789CC0">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33BEEA98">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3E0C86BA">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6EDA90B6">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4A4601DC">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7CA83E9F">
                  <w:pPr>
                    <w:adjustRightInd w:val="0"/>
                    <w:snapToGrid w:val="0"/>
                    <w:rPr>
                      <w:bCs/>
                      <w:color w:val="000000" w:themeColor="text1"/>
                      <w:kern w:val="0"/>
                      <w:szCs w:val="21"/>
                      <w14:textFill>
                        <w14:solidFill>
                          <w14:schemeClr w14:val="tx1"/>
                        </w14:solidFill>
                      </w14:textFill>
                    </w:rPr>
                  </w:pPr>
                </w:p>
              </w:tc>
              <w:tc>
                <w:tcPr>
                  <w:tcW w:w="345" w:type="pct"/>
                  <w:vMerge w:val="continue"/>
                  <w:vAlign w:val="center"/>
                </w:tcPr>
                <w:p w14:paraId="7AFEA2D4">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6C80BAFA">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49B893EB">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0BC572EB">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北：18</w:t>
                  </w:r>
                </w:p>
              </w:tc>
              <w:tc>
                <w:tcPr>
                  <w:tcW w:w="432" w:type="pct"/>
                  <w:vAlign w:val="center"/>
                </w:tcPr>
                <w:p w14:paraId="28EB3A7E">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56.9</w:t>
                  </w:r>
                </w:p>
              </w:tc>
              <w:tc>
                <w:tcPr>
                  <w:tcW w:w="260" w:type="pct"/>
                  <w:vMerge w:val="continue"/>
                  <w:vAlign w:val="center"/>
                </w:tcPr>
                <w:p w14:paraId="6340D0D8">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2BC11E8F">
                  <w:pPr>
                    <w:adjustRightInd w:val="0"/>
                    <w:snapToGrid w:val="0"/>
                    <w:jc w:val="center"/>
                    <w:rPr>
                      <w:bCs/>
                      <w:color w:val="000000" w:themeColor="text1"/>
                      <w:kern w:val="0"/>
                      <w:szCs w:val="21"/>
                      <w14:textFill>
                        <w14:solidFill>
                          <w14:schemeClr w14:val="tx1"/>
                        </w14:solidFill>
                      </w14:textFill>
                    </w:rPr>
                  </w:pPr>
                </w:p>
              </w:tc>
              <w:tc>
                <w:tcPr>
                  <w:tcW w:w="478" w:type="pct"/>
                </w:tcPr>
                <w:p w14:paraId="1FD72068">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46.9 </w:t>
                  </w:r>
                </w:p>
              </w:tc>
            </w:tr>
            <w:tr w14:paraId="7ACD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72" w:type="pct"/>
                  <w:vMerge w:val="continue"/>
                  <w:vAlign w:val="center"/>
                </w:tcPr>
                <w:p w14:paraId="57BB7DDC">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118F1FE7">
                  <w:pPr>
                    <w:adjustRightInd w:val="0"/>
                    <w:snapToGrid w:val="0"/>
                    <w:jc w:val="center"/>
                    <w:rPr>
                      <w:bCs/>
                      <w:color w:val="000000" w:themeColor="text1"/>
                      <w:kern w:val="0"/>
                      <w:szCs w:val="21"/>
                      <w14:textFill>
                        <w14:solidFill>
                          <w14:schemeClr w14:val="tx1"/>
                        </w14:solidFill>
                      </w14:textFill>
                    </w:rPr>
                  </w:pPr>
                </w:p>
              </w:tc>
              <w:tc>
                <w:tcPr>
                  <w:tcW w:w="339" w:type="pct"/>
                  <w:vMerge w:val="restart"/>
                  <w:vAlign w:val="center"/>
                </w:tcPr>
                <w:p w14:paraId="1D7D012A">
                  <w:pPr>
                    <w:adjustRightInd w:val="0"/>
                    <w:snapToGrid w:val="0"/>
                    <w:jc w:val="center"/>
                    <w:rPr>
                      <w:bCs/>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配料机</w:t>
                  </w:r>
                </w:p>
              </w:tc>
              <w:tc>
                <w:tcPr>
                  <w:tcW w:w="259" w:type="pct"/>
                  <w:vMerge w:val="continue"/>
                  <w:vAlign w:val="center"/>
                </w:tcPr>
                <w:p w14:paraId="043C083D">
                  <w:pPr>
                    <w:adjustRightInd w:val="0"/>
                    <w:snapToGrid w:val="0"/>
                    <w:jc w:val="center"/>
                    <w:rPr>
                      <w:bCs/>
                      <w:color w:val="000000" w:themeColor="text1"/>
                      <w:kern w:val="0"/>
                      <w:szCs w:val="21"/>
                      <w14:textFill>
                        <w14:solidFill>
                          <w14:schemeClr w14:val="tx1"/>
                        </w14:solidFill>
                      </w14:textFill>
                    </w:rPr>
                  </w:pPr>
                </w:p>
              </w:tc>
              <w:tc>
                <w:tcPr>
                  <w:tcW w:w="433" w:type="pct"/>
                  <w:vMerge w:val="restart"/>
                  <w:vAlign w:val="center"/>
                </w:tcPr>
                <w:p w14:paraId="7535A561">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80~85</w:t>
                  </w:r>
                </w:p>
              </w:tc>
              <w:tc>
                <w:tcPr>
                  <w:tcW w:w="354" w:type="pct"/>
                  <w:vMerge w:val="continue"/>
                  <w:vAlign w:val="center"/>
                </w:tcPr>
                <w:p w14:paraId="3802A050">
                  <w:pPr>
                    <w:adjustRightInd w:val="0"/>
                    <w:snapToGrid w:val="0"/>
                    <w:jc w:val="center"/>
                    <w:rPr>
                      <w:bCs/>
                      <w:color w:val="000000" w:themeColor="text1"/>
                      <w:kern w:val="0"/>
                      <w:szCs w:val="21"/>
                      <w14:textFill>
                        <w14:solidFill>
                          <w14:schemeClr w14:val="tx1"/>
                        </w14:solidFill>
                      </w14:textFill>
                    </w:rPr>
                  </w:pPr>
                </w:p>
              </w:tc>
              <w:tc>
                <w:tcPr>
                  <w:tcW w:w="345" w:type="pct"/>
                  <w:vMerge w:val="restart"/>
                  <w:vAlign w:val="center"/>
                </w:tcPr>
                <w:p w14:paraId="64081EF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-15</w:t>
                  </w:r>
                </w:p>
              </w:tc>
              <w:tc>
                <w:tcPr>
                  <w:tcW w:w="345" w:type="pct"/>
                  <w:vMerge w:val="restart"/>
                  <w:vAlign w:val="center"/>
                </w:tcPr>
                <w:p w14:paraId="16B89AEB">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-11</w:t>
                  </w:r>
                </w:p>
              </w:tc>
              <w:tc>
                <w:tcPr>
                  <w:tcW w:w="345" w:type="pct"/>
                  <w:vMerge w:val="restart"/>
                  <w:vAlign w:val="center"/>
                </w:tcPr>
                <w:p w14:paraId="4ABE4A1C">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0.5</w:t>
                  </w:r>
                </w:p>
              </w:tc>
              <w:tc>
                <w:tcPr>
                  <w:tcW w:w="431" w:type="pct"/>
                  <w:vAlign w:val="center"/>
                </w:tcPr>
                <w:p w14:paraId="45693059">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东：43</w:t>
                  </w:r>
                </w:p>
              </w:tc>
              <w:tc>
                <w:tcPr>
                  <w:tcW w:w="432" w:type="pct"/>
                  <w:vAlign w:val="center"/>
                </w:tcPr>
                <w:p w14:paraId="46B688F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39.3</w:t>
                  </w:r>
                </w:p>
              </w:tc>
              <w:tc>
                <w:tcPr>
                  <w:tcW w:w="260" w:type="pct"/>
                  <w:vMerge w:val="continue"/>
                  <w:vAlign w:val="center"/>
                </w:tcPr>
                <w:p w14:paraId="27FBBB6C">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5524ACC2">
                  <w:pPr>
                    <w:adjustRightInd w:val="0"/>
                    <w:snapToGrid w:val="0"/>
                    <w:jc w:val="center"/>
                    <w:rPr>
                      <w:bCs/>
                      <w:color w:val="000000" w:themeColor="text1"/>
                      <w:kern w:val="0"/>
                      <w:szCs w:val="21"/>
                      <w14:textFill>
                        <w14:solidFill>
                          <w14:schemeClr w14:val="tx1"/>
                        </w14:solidFill>
                      </w14:textFill>
                    </w:rPr>
                  </w:pPr>
                </w:p>
              </w:tc>
              <w:tc>
                <w:tcPr>
                  <w:tcW w:w="478" w:type="pct"/>
                </w:tcPr>
                <w:p w14:paraId="0C5702EF">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29.3 </w:t>
                  </w:r>
                </w:p>
              </w:tc>
            </w:tr>
            <w:tr w14:paraId="1BE9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10A2DDD1">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6F9DC19B">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748C98D8">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3C6DE231">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47B1EB46">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0F80A4F3">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196130A0">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0F7855E4">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785309C">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1C26B1D0">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南：22</w:t>
                  </w:r>
                </w:p>
              </w:tc>
              <w:tc>
                <w:tcPr>
                  <w:tcW w:w="432" w:type="pct"/>
                </w:tcPr>
                <w:p w14:paraId="6A23EE81">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45.2</w:t>
                  </w:r>
                </w:p>
              </w:tc>
              <w:tc>
                <w:tcPr>
                  <w:tcW w:w="260" w:type="pct"/>
                  <w:vMerge w:val="continue"/>
                  <w:vAlign w:val="center"/>
                </w:tcPr>
                <w:p w14:paraId="0FE271A8">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0DF30211">
                  <w:pPr>
                    <w:adjustRightInd w:val="0"/>
                    <w:snapToGrid w:val="0"/>
                    <w:jc w:val="center"/>
                    <w:rPr>
                      <w:bCs/>
                      <w:color w:val="000000" w:themeColor="text1"/>
                      <w:kern w:val="0"/>
                      <w:szCs w:val="21"/>
                      <w14:textFill>
                        <w14:solidFill>
                          <w14:schemeClr w14:val="tx1"/>
                        </w14:solidFill>
                      </w14:textFill>
                    </w:rPr>
                  </w:pPr>
                </w:p>
              </w:tc>
              <w:tc>
                <w:tcPr>
                  <w:tcW w:w="478" w:type="pct"/>
                </w:tcPr>
                <w:p w14:paraId="71DCBA6A">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35.2 </w:t>
                  </w:r>
                </w:p>
              </w:tc>
            </w:tr>
            <w:tr w14:paraId="27C1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15EDEAAD">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054B4075">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205B883B">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2C70A711">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3A7B05B8">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5F4159B6">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10A8F796">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06EBFDCC">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3850C9A7">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22CA6F4B">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西：13</w:t>
                  </w:r>
                </w:p>
              </w:tc>
              <w:tc>
                <w:tcPr>
                  <w:tcW w:w="432" w:type="pct"/>
                </w:tcPr>
                <w:p w14:paraId="59417D70">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49.7</w:t>
                  </w:r>
                </w:p>
              </w:tc>
              <w:tc>
                <w:tcPr>
                  <w:tcW w:w="260" w:type="pct"/>
                  <w:vMerge w:val="continue"/>
                  <w:vAlign w:val="center"/>
                </w:tcPr>
                <w:p w14:paraId="722F63DC">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7B3B659A">
                  <w:pPr>
                    <w:adjustRightInd w:val="0"/>
                    <w:snapToGrid w:val="0"/>
                    <w:jc w:val="center"/>
                    <w:rPr>
                      <w:bCs/>
                      <w:color w:val="000000" w:themeColor="text1"/>
                      <w:kern w:val="0"/>
                      <w:szCs w:val="21"/>
                      <w14:textFill>
                        <w14:solidFill>
                          <w14:schemeClr w14:val="tx1"/>
                        </w14:solidFill>
                      </w14:textFill>
                    </w:rPr>
                  </w:pPr>
                </w:p>
              </w:tc>
              <w:tc>
                <w:tcPr>
                  <w:tcW w:w="478" w:type="pct"/>
                </w:tcPr>
                <w:p w14:paraId="7336313F">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39.7 </w:t>
                  </w:r>
                </w:p>
              </w:tc>
            </w:tr>
            <w:tr w14:paraId="4E91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1E170918">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15112D83">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27B5429F">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1B8A774F">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00AA357E">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7001AEB8">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C782195">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3696B539">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743B899">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1357BBDB">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北：37</w:t>
                  </w:r>
                </w:p>
              </w:tc>
              <w:tc>
                <w:tcPr>
                  <w:tcW w:w="432" w:type="pct"/>
                </w:tcPr>
                <w:p w14:paraId="7863943C">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40.6</w:t>
                  </w:r>
                </w:p>
              </w:tc>
              <w:tc>
                <w:tcPr>
                  <w:tcW w:w="260" w:type="pct"/>
                  <w:vMerge w:val="continue"/>
                  <w:vAlign w:val="center"/>
                </w:tcPr>
                <w:p w14:paraId="5D9253C9">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24699EA4">
                  <w:pPr>
                    <w:adjustRightInd w:val="0"/>
                    <w:snapToGrid w:val="0"/>
                    <w:jc w:val="center"/>
                    <w:rPr>
                      <w:bCs/>
                      <w:color w:val="000000" w:themeColor="text1"/>
                      <w:kern w:val="0"/>
                      <w:szCs w:val="21"/>
                      <w14:textFill>
                        <w14:solidFill>
                          <w14:schemeClr w14:val="tx1"/>
                        </w14:solidFill>
                      </w14:textFill>
                    </w:rPr>
                  </w:pPr>
                </w:p>
              </w:tc>
              <w:tc>
                <w:tcPr>
                  <w:tcW w:w="478" w:type="pct"/>
                </w:tcPr>
                <w:p w14:paraId="5C53FC38">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30.6 </w:t>
                  </w:r>
                </w:p>
              </w:tc>
            </w:tr>
            <w:tr w14:paraId="59AF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72" w:type="pct"/>
                  <w:vMerge w:val="continue"/>
                  <w:vAlign w:val="center"/>
                </w:tcPr>
                <w:p w14:paraId="283F8338">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2E2C2FDE">
                  <w:pPr>
                    <w:adjustRightInd w:val="0"/>
                    <w:snapToGrid w:val="0"/>
                    <w:jc w:val="center"/>
                    <w:rPr>
                      <w:bCs/>
                      <w:color w:val="000000" w:themeColor="text1"/>
                      <w:kern w:val="0"/>
                      <w:szCs w:val="21"/>
                      <w14:textFill>
                        <w14:solidFill>
                          <w14:schemeClr w14:val="tx1"/>
                        </w14:solidFill>
                      </w14:textFill>
                    </w:rPr>
                  </w:pPr>
                </w:p>
              </w:tc>
              <w:tc>
                <w:tcPr>
                  <w:tcW w:w="339" w:type="pct"/>
                  <w:vMerge w:val="restart"/>
                  <w:vAlign w:val="center"/>
                </w:tcPr>
                <w:p w14:paraId="07A3A079">
                  <w:pPr>
                    <w:adjustRightInd w:val="0"/>
                    <w:snapToGrid w:val="0"/>
                    <w:jc w:val="center"/>
                    <w:rPr>
                      <w:bCs/>
                      <w:color w:val="000000" w:themeColor="text1"/>
                      <w:kern w:val="0"/>
                      <w:szCs w:val="21"/>
                      <w14:textFill>
                        <w14:solidFill>
                          <w14:schemeClr w14:val="tx1"/>
                        </w14:solidFill>
                      </w14:textFill>
                    </w:rPr>
                  </w:pPr>
                  <w:r>
                    <w:rPr>
                      <w:rFonts w:eastAsiaTheme="minorEastAsia"/>
                      <w:color w:val="000000" w:themeColor="text1"/>
                      <w:szCs w:val="21"/>
                      <w14:textFill>
                        <w14:solidFill>
                          <w14:schemeClr w14:val="tx1"/>
                        </w14:solidFill>
                      </w14:textFill>
                    </w:rPr>
                    <w:t>切割机</w:t>
                  </w:r>
                </w:p>
              </w:tc>
              <w:tc>
                <w:tcPr>
                  <w:tcW w:w="259" w:type="pct"/>
                  <w:vMerge w:val="continue"/>
                  <w:vAlign w:val="center"/>
                </w:tcPr>
                <w:p w14:paraId="1D754BCA">
                  <w:pPr>
                    <w:adjustRightInd w:val="0"/>
                    <w:snapToGrid w:val="0"/>
                    <w:jc w:val="center"/>
                    <w:rPr>
                      <w:bCs/>
                      <w:color w:val="000000" w:themeColor="text1"/>
                      <w:kern w:val="0"/>
                      <w:szCs w:val="21"/>
                      <w14:textFill>
                        <w14:solidFill>
                          <w14:schemeClr w14:val="tx1"/>
                        </w14:solidFill>
                      </w14:textFill>
                    </w:rPr>
                  </w:pPr>
                </w:p>
              </w:tc>
              <w:tc>
                <w:tcPr>
                  <w:tcW w:w="433" w:type="pct"/>
                  <w:vMerge w:val="restart"/>
                  <w:vAlign w:val="center"/>
                </w:tcPr>
                <w:p w14:paraId="46C4D337">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70~80</w:t>
                  </w:r>
                </w:p>
              </w:tc>
              <w:tc>
                <w:tcPr>
                  <w:tcW w:w="354" w:type="pct"/>
                  <w:vMerge w:val="continue"/>
                  <w:vAlign w:val="center"/>
                </w:tcPr>
                <w:p w14:paraId="4F7DFD44">
                  <w:pPr>
                    <w:adjustRightInd w:val="0"/>
                    <w:snapToGrid w:val="0"/>
                    <w:jc w:val="center"/>
                    <w:rPr>
                      <w:bCs/>
                      <w:color w:val="000000" w:themeColor="text1"/>
                      <w:kern w:val="0"/>
                      <w:szCs w:val="21"/>
                      <w14:textFill>
                        <w14:solidFill>
                          <w14:schemeClr w14:val="tx1"/>
                        </w14:solidFill>
                      </w14:textFill>
                    </w:rPr>
                  </w:pPr>
                </w:p>
              </w:tc>
              <w:tc>
                <w:tcPr>
                  <w:tcW w:w="345" w:type="pct"/>
                  <w:vMerge w:val="restart"/>
                  <w:vAlign w:val="center"/>
                </w:tcPr>
                <w:p w14:paraId="48795B8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-13</w:t>
                  </w:r>
                </w:p>
              </w:tc>
              <w:tc>
                <w:tcPr>
                  <w:tcW w:w="345" w:type="pct"/>
                  <w:vMerge w:val="restart"/>
                  <w:vAlign w:val="center"/>
                </w:tcPr>
                <w:p w14:paraId="7227663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-28</w:t>
                  </w:r>
                </w:p>
              </w:tc>
              <w:tc>
                <w:tcPr>
                  <w:tcW w:w="345" w:type="pct"/>
                  <w:vMerge w:val="restart"/>
                  <w:vAlign w:val="center"/>
                </w:tcPr>
                <w:p w14:paraId="69BC911C">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0.5</w:t>
                  </w:r>
                </w:p>
              </w:tc>
              <w:tc>
                <w:tcPr>
                  <w:tcW w:w="431" w:type="pct"/>
                  <w:vAlign w:val="center"/>
                </w:tcPr>
                <w:p w14:paraId="07120A49">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东：4</w:t>
                  </w:r>
                </w:p>
              </w:tc>
              <w:tc>
                <w:tcPr>
                  <w:tcW w:w="432" w:type="pct"/>
                </w:tcPr>
                <w:p w14:paraId="1C3D8340">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55.0</w:t>
                  </w:r>
                </w:p>
              </w:tc>
              <w:tc>
                <w:tcPr>
                  <w:tcW w:w="260" w:type="pct"/>
                  <w:vMerge w:val="continue"/>
                  <w:vAlign w:val="center"/>
                </w:tcPr>
                <w:p w14:paraId="65F35325">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42D89EAE">
                  <w:pPr>
                    <w:adjustRightInd w:val="0"/>
                    <w:snapToGrid w:val="0"/>
                    <w:jc w:val="center"/>
                    <w:rPr>
                      <w:bCs/>
                      <w:color w:val="000000" w:themeColor="text1"/>
                      <w:kern w:val="0"/>
                      <w:szCs w:val="21"/>
                      <w14:textFill>
                        <w14:solidFill>
                          <w14:schemeClr w14:val="tx1"/>
                        </w14:solidFill>
                      </w14:textFill>
                    </w:rPr>
                  </w:pPr>
                </w:p>
              </w:tc>
              <w:tc>
                <w:tcPr>
                  <w:tcW w:w="478" w:type="pct"/>
                </w:tcPr>
                <w:p w14:paraId="560D375E">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45.0 </w:t>
                  </w:r>
                </w:p>
              </w:tc>
            </w:tr>
            <w:tr w14:paraId="5979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36BFF17A">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6483AC09">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616856C8">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01B2E3E9">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7E5E41C3">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5AB02F91">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FF20F9A">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30109170">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40653B8E">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4E3DEB19">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南：6</w:t>
                  </w:r>
                </w:p>
              </w:tc>
              <w:tc>
                <w:tcPr>
                  <w:tcW w:w="432" w:type="pct"/>
                </w:tcPr>
                <w:p w14:paraId="170FD432">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51.4</w:t>
                  </w:r>
                </w:p>
              </w:tc>
              <w:tc>
                <w:tcPr>
                  <w:tcW w:w="260" w:type="pct"/>
                  <w:vMerge w:val="continue"/>
                  <w:vAlign w:val="center"/>
                </w:tcPr>
                <w:p w14:paraId="23AE5A0B">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47ACBCD9">
                  <w:pPr>
                    <w:adjustRightInd w:val="0"/>
                    <w:snapToGrid w:val="0"/>
                    <w:jc w:val="center"/>
                    <w:rPr>
                      <w:bCs/>
                      <w:color w:val="000000" w:themeColor="text1"/>
                      <w:kern w:val="0"/>
                      <w:szCs w:val="21"/>
                      <w14:textFill>
                        <w14:solidFill>
                          <w14:schemeClr w14:val="tx1"/>
                        </w14:solidFill>
                      </w14:textFill>
                    </w:rPr>
                  </w:pPr>
                </w:p>
              </w:tc>
              <w:tc>
                <w:tcPr>
                  <w:tcW w:w="478" w:type="pct"/>
                </w:tcPr>
                <w:p w14:paraId="567E2281">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41.4 </w:t>
                  </w:r>
                </w:p>
              </w:tc>
            </w:tr>
            <w:tr w14:paraId="5C75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20141E4A">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43A21024">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6AEC5469">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4D3B7186">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469C9452">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7F5019AB">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3CE724BC">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11137CEB">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7AE9A141">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747BAEC6">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西：15</w:t>
                  </w:r>
                </w:p>
              </w:tc>
              <w:tc>
                <w:tcPr>
                  <w:tcW w:w="432" w:type="pct"/>
                </w:tcPr>
                <w:p w14:paraId="3C014929">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43.5</w:t>
                  </w:r>
                </w:p>
              </w:tc>
              <w:tc>
                <w:tcPr>
                  <w:tcW w:w="260" w:type="pct"/>
                  <w:vMerge w:val="continue"/>
                  <w:vAlign w:val="center"/>
                </w:tcPr>
                <w:p w14:paraId="1105E680">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774FA9AD">
                  <w:pPr>
                    <w:adjustRightInd w:val="0"/>
                    <w:snapToGrid w:val="0"/>
                    <w:jc w:val="center"/>
                    <w:rPr>
                      <w:bCs/>
                      <w:color w:val="000000" w:themeColor="text1"/>
                      <w:kern w:val="0"/>
                      <w:szCs w:val="21"/>
                      <w14:textFill>
                        <w14:solidFill>
                          <w14:schemeClr w14:val="tx1"/>
                        </w14:solidFill>
                      </w14:textFill>
                    </w:rPr>
                  </w:pPr>
                </w:p>
              </w:tc>
              <w:tc>
                <w:tcPr>
                  <w:tcW w:w="478" w:type="pct"/>
                </w:tcPr>
                <w:p w14:paraId="752BB06A">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33.5 </w:t>
                  </w:r>
                </w:p>
              </w:tc>
            </w:tr>
            <w:tr w14:paraId="556B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4117A5B1">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77442A56">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7E2E4A68">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7CC85C88">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7CA0D2CE">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285055F0">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1D9707A7">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D11198D">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71384B69">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44CA998B">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北：54</w:t>
                  </w:r>
                </w:p>
              </w:tc>
              <w:tc>
                <w:tcPr>
                  <w:tcW w:w="432" w:type="pct"/>
                </w:tcPr>
                <w:p w14:paraId="5C4483FD">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32.4</w:t>
                  </w:r>
                </w:p>
              </w:tc>
              <w:tc>
                <w:tcPr>
                  <w:tcW w:w="260" w:type="pct"/>
                  <w:vMerge w:val="continue"/>
                  <w:vAlign w:val="center"/>
                </w:tcPr>
                <w:p w14:paraId="530A543F">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778D137F">
                  <w:pPr>
                    <w:adjustRightInd w:val="0"/>
                    <w:snapToGrid w:val="0"/>
                    <w:jc w:val="center"/>
                    <w:rPr>
                      <w:bCs/>
                      <w:color w:val="000000" w:themeColor="text1"/>
                      <w:kern w:val="0"/>
                      <w:szCs w:val="21"/>
                      <w14:textFill>
                        <w14:solidFill>
                          <w14:schemeClr w14:val="tx1"/>
                        </w14:solidFill>
                      </w14:textFill>
                    </w:rPr>
                  </w:pPr>
                </w:p>
              </w:tc>
              <w:tc>
                <w:tcPr>
                  <w:tcW w:w="478" w:type="pct"/>
                </w:tcPr>
                <w:p w14:paraId="6212C1BB">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22.4 </w:t>
                  </w:r>
                </w:p>
              </w:tc>
            </w:tr>
            <w:tr w14:paraId="3A2D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72" w:type="pct"/>
                  <w:vMerge w:val="continue"/>
                  <w:vAlign w:val="center"/>
                </w:tcPr>
                <w:p w14:paraId="7D7199AB">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121F8262">
                  <w:pPr>
                    <w:adjustRightInd w:val="0"/>
                    <w:snapToGrid w:val="0"/>
                    <w:jc w:val="center"/>
                    <w:rPr>
                      <w:bCs/>
                      <w:color w:val="000000" w:themeColor="text1"/>
                      <w:kern w:val="0"/>
                      <w:szCs w:val="21"/>
                      <w14:textFill>
                        <w14:solidFill>
                          <w14:schemeClr w14:val="tx1"/>
                        </w14:solidFill>
                      </w14:textFill>
                    </w:rPr>
                  </w:pPr>
                </w:p>
              </w:tc>
              <w:tc>
                <w:tcPr>
                  <w:tcW w:w="339" w:type="pct"/>
                  <w:vMerge w:val="restart"/>
                  <w:vAlign w:val="center"/>
                </w:tcPr>
                <w:p w14:paraId="399CB134">
                  <w:pPr>
                    <w:adjustRightInd w:val="0"/>
                    <w:snapToGrid w:val="0"/>
                    <w:jc w:val="center"/>
                    <w:rPr>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轮碾搅拌机</w:t>
                  </w:r>
                </w:p>
              </w:tc>
              <w:tc>
                <w:tcPr>
                  <w:tcW w:w="259" w:type="pct"/>
                  <w:vMerge w:val="continue"/>
                  <w:vAlign w:val="center"/>
                </w:tcPr>
                <w:p w14:paraId="0D349BD4">
                  <w:pPr>
                    <w:adjustRightInd w:val="0"/>
                    <w:snapToGrid w:val="0"/>
                    <w:jc w:val="center"/>
                    <w:rPr>
                      <w:bCs/>
                      <w:color w:val="000000" w:themeColor="text1"/>
                      <w:kern w:val="0"/>
                      <w:szCs w:val="21"/>
                      <w14:textFill>
                        <w14:solidFill>
                          <w14:schemeClr w14:val="tx1"/>
                        </w14:solidFill>
                      </w14:textFill>
                    </w:rPr>
                  </w:pPr>
                </w:p>
              </w:tc>
              <w:tc>
                <w:tcPr>
                  <w:tcW w:w="433" w:type="pct"/>
                  <w:vMerge w:val="restart"/>
                  <w:vAlign w:val="center"/>
                </w:tcPr>
                <w:p w14:paraId="72E85A20">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80~85</w:t>
                  </w:r>
                </w:p>
              </w:tc>
              <w:tc>
                <w:tcPr>
                  <w:tcW w:w="354" w:type="pct"/>
                  <w:vMerge w:val="continue"/>
                  <w:vAlign w:val="center"/>
                </w:tcPr>
                <w:p w14:paraId="5F3B9AE7">
                  <w:pPr>
                    <w:adjustRightInd w:val="0"/>
                    <w:snapToGrid w:val="0"/>
                    <w:jc w:val="center"/>
                    <w:rPr>
                      <w:bCs/>
                      <w:color w:val="000000" w:themeColor="text1"/>
                      <w:kern w:val="0"/>
                      <w:szCs w:val="21"/>
                      <w14:textFill>
                        <w14:solidFill>
                          <w14:schemeClr w14:val="tx1"/>
                        </w14:solidFill>
                      </w14:textFill>
                    </w:rPr>
                  </w:pPr>
                </w:p>
              </w:tc>
              <w:tc>
                <w:tcPr>
                  <w:tcW w:w="345" w:type="pct"/>
                  <w:vMerge w:val="restart"/>
                  <w:vAlign w:val="center"/>
                </w:tcPr>
                <w:p w14:paraId="7CB8A9DD">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-21</w:t>
                  </w:r>
                </w:p>
              </w:tc>
              <w:tc>
                <w:tcPr>
                  <w:tcW w:w="345" w:type="pct"/>
                  <w:vMerge w:val="restart"/>
                  <w:vAlign w:val="center"/>
                </w:tcPr>
                <w:p w14:paraId="33B8358B">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-28</w:t>
                  </w:r>
                </w:p>
              </w:tc>
              <w:tc>
                <w:tcPr>
                  <w:tcW w:w="345" w:type="pct"/>
                  <w:vMerge w:val="restart"/>
                  <w:vAlign w:val="center"/>
                </w:tcPr>
                <w:p w14:paraId="1CBBB3D7">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0.5</w:t>
                  </w:r>
                </w:p>
              </w:tc>
              <w:tc>
                <w:tcPr>
                  <w:tcW w:w="431" w:type="pct"/>
                  <w:vAlign w:val="center"/>
                </w:tcPr>
                <w:p w14:paraId="59BFC703">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东：45</w:t>
                  </w:r>
                </w:p>
              </w:tc>
              <w:tc>
                <w:tcPr>
                  <w:tcW w:w="432" w:type="pct"/>
                </w:tcPr>
                <w:p w14:paraId="5A0AD54C">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33.9</w:t>
                  </w:r>
                </w:p>
              </w:tc>
              <w:tc>
                <w:tcPr>
                  <w:tcW w:w="260" w:type="pct"/>
                  <w:vMerge w:val="continue"/>
                  <w:vAlign w:val="center"/>
                </w:tcPr>
                <w:p w14:paraId="074E16B0">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1A209077">
                  <w:pPr>
                    <w:adjustRightInd w:val="0"/>
                    <w:snapToGrid w:val="0"/>
                    <w:jc w:val="center"/>
                    <w:rPr>
                      <w:bCs/>
                      <w:color w:val="000000" w:themeColor="text1"/>
                      <w:kern w:val="0"/>
                      <w:szCs w:val="21"/>
                      <w14:textFill>
                        <w14:solidFill>
                          <w14:schemeClr w14:val="tx1"/>
                        </w14:solidFill>
                      </w14:textFill>
                    </w:rPr>
                  </w:pPr>
                </w:p>
              </w:tc>
              <w:tc>
                <w:tcPr>
                  <w:tcW w:w="478" w:type="pct"/>
                </w:tcPr>
                <w:p w14:paraId="723CF3D3">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23.9 </w:t>
                  </w:r>
                </w:p>
              </w:tc>
            </w:tr>
            <w:tr w14:paraId="025F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6C5A95CF">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53B00885">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7998D2E0">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00FAB32F">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2FBA9257">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4F6E1525">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30E2545F">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833CD8E">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695955F5">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3F87A26C">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南：6</w:t>
                  </w:r>
                </w:p>
              </w:tc>
              <w:tc>
                <w:tcPr>
                  <w:tcW w:w="432" w:type="pct"/>
                </w:tcPr>
                <w:p w14:paraId="243D0905">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51.4</w:t>
                  </w:r>
                </w:p>
              </w:tc>
              <w:tc>
                <w:tcPr>
                  <w:tcW w:w="260" w:type="pct"/>
                  <w:vMerge w:val="continue"/>
                  <w:vAlign w:val="center"/>
                </w:tcPr>
                <w:p w14:paraId="729B7991">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531D9068">
                  <w:pPr>
                    <w:adjustRightInd w:val="0"/>
                    <w:snapToGrid w:val="0"/>
                    <w:jc w:val="center"/>
                    <w:rPr>
                      <w:bCs/>
                      <w:color w:val="000000" w:themeColor="text1"/>
                      <w:kern w:val="0"/>
                      <w:szCs w:val="21"/>
                      <w14:textFill>
                        <w14:solidFill>
                          <w14:schemeClr w14:val="tx1"/>
                        </w14:solidFill>
                      </w14:textFill>
                    </w:rPr>
                  </w:pPr>
                </w:p>
              </w:tc>
              <w:tc>
                <w:tcPr>
                  <w:tcW w:w="478" w:type="pct"/>
                </w:tcPr>
                <w:p w14:paraId="5AE6077D">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41.4 </w:t>
                  </w:r>
                </w:p>
              </w:tc>
            </w:tr>
            <w:tr w14:paraId="53B3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20705D5F">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5FF1BAF9">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0BB342A0">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630D2651">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09BF8742">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7141F7C7">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6029D016">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37CBE7C0">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7E36F71A">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019E39A1">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西：9</w:t>
                  </w:r>
                </w:p>
              </w:tc>
              <w:tc>
                <w:tcPr>
                  <w:tcW w:w="432" w:type="pct"/>
                </w:tcPr>
                <w:p w14:paraId="47EE86D1">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47.9</w:t>
                  </w:r>
                </w:p>
              </w:tc>
              <w:tc>
                <w:tcPr>
                  <w:tcW w:w="260" w:type="pct"/>
                  <w:vMerge w:val="continue"/>
                  <w:vAlign w:val="center"/>
                </w:tcPr>
                <w:p w14:paraId="55C9D879">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4FC0C93B">
                  <w:pPr>
                    <w:adjustRightInd w:val="0"/>
                    <w:snapToGrid w:val="0"/>
                    <w:jc w:val="center"/>
                    <w:rPr>
                      <w:bCs/>
                      <w:color w:val="000000" w:themeColor="text1"/>
                      <w:kern w:val="0"/>
                      <w:szCs w:val="21"/>
                      <w14:textFill>
                        <w14:solidFill>
                          <w14:schemeClr w14:val="tx1"/>
                        </w14:solidFill>
                      </w14:textFill>
                    </w:rPr>
                  </w:pPr>
                </w:p>
              </w:tc>
              <w:tc>
                <w:tcPr>
                  <w:tcW w:w="478" w:type="pct"/>
                </w:tcPr>
                <w:p w14:paraId="3F5498E8">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37.9 </w:t>
                  </w:r>
                </w:p>
              </w:tc>
            </w:tr>
            <w:tr w14:paraId="7B15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272" w:type="pct"/>
                  <w:vMerge w:val="continue"/>
                  <w:vAlign w:val="center"/>
                </w:tcPr>
                <w:p w14:paraId="07B42FE0">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48FFACF8">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5E90D89A">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0963C45E">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2F40EE0B">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6850CE28">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7910F048">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238DC84">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42D7C16F">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1AA72D6A">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北：54</w:t>
                  </w:r>
                </w:p>
              </w:tc>
              <w:tc>
                <w:tcPr>
                  <w:tcW w:w="432" w:type="pct"/>
                </w:tcPr>
                <w:p w14:paraId="2344A7D1">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32.4</w:t>
                  </w:r>
                </w:p>
              </w:tc>
              <w:tc>
                <w:tcPr>
                  <w:tcW w:w="260" w:type="pct"/>
                  <w:vMerge w:val="continue"/>
                  <w:vAlign w:val="center"/>
                </w:tcPr>
                <w:p w14:paraId="52DA7D32">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68435B61">
                  <w:pPr>
                    <w:adjustRightInd w:val="0"/>
                    <w:snapToGrid w:val="0"/>
                    <w:jc w:val="center"/>
                    <w:rPr>
                      <w:bCs/>
                      <w:color w:val="000000" w:themeColor="text1"/>
                      <w:kern w:val="0"/>
                      <w:szCs w:val="21"/>
                      <w14:textFill>
                        <w14:solidFill>
                          <w14:schemeClr w14:val="tx1"/>
                        </w14:solidFill>
                      </w14:textFill>
                    </w:rPr>
                  </w:pPr>
                </w:p>
              </w:tc>
              <w:tc>
                <w:tcPr>
                  <w:tcW w:w="478" w:type="pct"/>
                </w:tcPr>
                <w:p w14:paraId="282FB386">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22.4 </w:t>
                  </w:r>
                </w:p>
              </w:tc>
            </w:tr>
            <w:tr w14:paraId="40D2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72" w:type="pct"/>
                  <w:vMerge w:val="continue"/>
                  <w:vAlign w:val="center"/>
                </w:tcPr>
                <w:p w14:paraId="28B3F49D">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3B009C6E">
                  <w:pPr>
                    <w:adjustRightInd w:val="0"/>
                    <w:snapToGrid w:val="0"/>
                    <w:jc w:val="center"/>
                    <w:rPr>
                      <w:bCs/>
                      <w:color w:val="000000" w:themeColor="text1"/>
                      <w:kern w:val="0"/>
                      <w:szCs w:val="21"/>
                      <w14:textFill>
                        <w14:solidFill>
                          <w14:schemeClr w14:val="tx1"/>
                        </w14:solidFill>
                      </w14:textFill>
                    </w:rPr>
                  </w:pPr>
                </w:p>
              </w:tc>
              <w:tc>
                <w:tcPr>
                  <w:tcW w:w="339" w:type="pct"/>
                  <w:vMerge w:val="restart"/>
                  <w:vAlign w:val="center"/>
                </w:tcPr>
                <w:p w14:paraId="39F554F0">
                  <w:pPr>
                    <w:adjustRightInd w:val="0"/>
                    <w:snapToGrid w:val="0"/>
                    <w:jc w:val="center"/>
                    <w:rPr>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码垛机</w:t>
                  </w:r>
                </w:p>
              </w:tc>
              <w:tc>
                <w:tcPr>
                  <w:tcW w:w="259" w:type="pct"/>
                  <w:vMerge w:val="continue"/>
                  <w:vAlign w:val="center"/>
                </w:tcPr>
                <w:p w14:paraId="3D075731">
                  <w:pPr>
                    <w:adjustRightInd w:val="0"/>
                    <w:snapToGrid w:val="0"/>
                    <w:jc w:val="center"/>
                    <w:rPr>
                      <w:bCs/>
                      <w:color w:val="000000" w:themeColor="text1"/>
                      <w:kern w:val="0"/>
                      <w:szCs w:val="21"/>
                      <w14:textFill>
                        <w14:solidFill>
                          <w14:schemeClr w14:val="tx1"/>
                        </w14:solidFill>
                      </w14:textFill>
                    </w:rPr>
                  </w:pPr>
                </w:p>
              </w:tc>
              <w:tc>
                <w:tcPr>
                  <w:tcW w:w="433" w:type="pct"/>
                  <w:vMerge w:val="restart"/>
                  <w:vAlign w:val="center"/>
                </w:tcPr>
                <w:p w14:paraId="4E6D4B4E">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70~80</w:t>
                  </w:r>
                </w:p>
              </w:tc>
              <w:tc>
                <w:tcPr>
                  <w:tcW w:w="354" w:type="pct"/>
                  <w:vMerge w:val="continue"/>
                  <w:vAlign w:val="center"/>
                </w:tcPr>
                <w:p w14:paraId="0DAF3C0D">
                  <w:pPr>
                    <w:adjustRightInd w:val="0"/>
                    <w:snapToGrid w:val="0"/>
                    <w:jc w:val="center"/>
                    <w:rPr>
                      <w:bCs/>
                      <w:color w:val="000000" w:themeColor="text1"/>
                      <w:kern w:val="0"/>
                      <w:szCs w:val="21"/>
                      <w14:textFill>
                        <w14:solidFill>
                          <w14:schemeClr w14:val="tx1"/>
                        </w14:solidFill>
                      </w14:textFill>
                    </w:rPr>
                  </w:pPr>
                </w:p>
              </w:tc>
              <w:tc>
                <w:tcPr>
                  <w:tcW w:w="345" w:type="pct"/>
                  <w:vMerge w:val="restart"/>
                  <w:vAlign w:val="center"/>
                </w:tcPr>
                <w:p w14:paraId="5C16CC8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-15</w:t>
                  </w:r>
                </w:p>
              </w:tc>
              <w:tc>
                <w:tcPr>
                  <w:tcW w:w="345" w:type="pct"/>
                  <w:vMerge w:val="restart"/>
                  <w:vAlign w:val="center"/>
                </w:tcPr>
                <w:p w14:paraId="69DBEA4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9</w:t>
                  </w:r>
                </w:p>
              </w:tc>
              <w:tc>
                <w:tcPr>
                  <w:tcW w:w="345" w:type="pct"/>
                  <w:vMerge w:val="restart"/>
                  <w:vAlign w:val="center"/>
                </w:tcPr>
                <w:p w14:paraId="6933A461">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w:t>
                  </w:r>
                </w:p>
              </w:tc>
              <w:tc>
                <w:tcPr>
                  <w:tcW w:w="431" w:type="pct"/>
                  <w:vAlign w:val="center"/>
                </w:tcPr>
                <w:p w14:paraId="5DE72AD4">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东：44</w:t>
                  </w:r>
                </w:p>
              </w:tc>
              <w:tc>
                <w:tcPr>
                  <w:tcW w:w="432" w:type="pct"/>
                </w:tcPr>
                <w:p w14:paraId="0C15093A">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49.1</w:t>
                  </w:r>
                </w:p>
              </w:tc>
              <w:tc>
                <w:tcPr>
                  <w:tcW w:w="260" w:type="pct"/>
                  <w:vMerge w:val="continue"/>
                  <w:vAlign w:val="center"/>
                </w:tcPr>
                <w:p w14:paraId="08AE2BC4">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69BBA9F3">
                  <w:pPr>
                    <w:adjustRightInd w:val="0"/>
                    <w:snapToGrid w:val="0"/>
                    <w:jc w:val="center"/>
                    <w:rPr>
                      <w:bCs/>
                      <w:color w:val="000000" w:themeColor="text1"/>
                      <w:kern w:val="0"/>
                      <w:szCs w:val="21"/>
                      <w14:textFill>
                        <w14:solidFill>
                          <w14:schemeClr w14:val="tx1"/>
                        </w14:solidFill>
                      </w14:textFill>
                    </w:rPr>
                  </w:pPr>
                </w:p>
              </w:tc>
              <w:tc>
                <w:tcPr>
                  <w:tcW w:w="478" w:type="pct"/>
                </w:tcPr>
                <w:p w14:paraId="0612B5FB">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39.1 </w:t>
                  </w:r>
                </w:p>
              </w:tc>
            </w:tr>
            <w:tr w14:paraId="554D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72" w:type="pct"/>
                  <w:vMerge w:val="continue"/>
                  <w:vAlign w:val="center"/>
                </w:tcPr>
                <w:p w14:paraId="40DCB699">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404BC3B3">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39C16151">
                  <w:pPr>
                    <w:adjustRightInd w:val="0"/>
                    <w:snapToGrid w:val="0"/>
                    <w:jc w:val="center"/>
                    <w:rPr>
                      <w:color w:val="000000" w:themeColor="text1"/>
                      <w:kern w:val="0"/>
                      <w:szCs w:val="21"/>
                      <w14:textFill>
                        <w14:solidFill>
                          <w14:schemeClr w14:val="tx1"/>
                        </w14:solidFill>
                      </w14:textFill>
                    </w:rPr>
                  </w:pPr>
                </w:p>
              </w:tc>
              <w:tc>
                <w:tcPr>
                  <w:tcW w:w="259" w:type="pct"/>
                  <w:vMerge w:val="continue"/>
                  <w:vAlign w:val="center"/>
                </w:tcPr>
                <w:p w14:paraId="72C2895F">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351615AC">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2C5FA9C2">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721A6D44">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6C41797">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C8405AC">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54581716">
                  <w:pPr>
                    <w:adjustRightInd w:val="0"/>
                    <w:snapToGrid w:val="0"/>
                    <w:rPr>
                      <w:bCs/>
                      <w:color w:val="000000" w:themeColor="text1"/>
                      <w:kern w:val="0"/>
                      <w:szCs w:val="21"/>
                      <w14:textFill>
                        <w14:solidFill>
                          <w14:schemeClr w14:val="tx1"/>
                        </w14:solidFill>
                      </w14:textFill>
                    </w:rPr>
                  </w:pPr>
                </w:p>
              </w:tc>
              <w:tc>
                <w:tcPr>
                  <w:tcW w:w="432" w:type="pct"/>
                </w:tcPr>
                <w:p w14:paraId="1420E8C2">
                  <w:pPr>
                    <w:adjustRightInd w:val="0"/>
                    <w:snapToGrid w:val="0"/>
                    <w:jc w:val="center"/>
                    <w:rPr>
                      <w:color w:val="000000" w:themeColor="text1"/>
                      <w:szCs w:val="21"/>
                      <w14:textFill>
                        <w14:solidFill>
                          <w14:schemeClr w14:val="tx1"/>
                        </w14:solidFill>
                      </w14:textFill>
                    </w:rPr>
                  </w:pPr>
                </w:p>
              </w:tc>
              <w:tc>
                <w:tcPr>
                  <w:tcW w:w="260" w:type="pct"/>
                  <w:vMerge w:val="continue"/>
                  <w:vAlign w:val="center"/>
                </w:tcPr>
                <w:p w14:paraId="694223F6">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5DC50239">
                  <w:pPr>
                    <w:adjustRightInd w:val="0"/>
                    <w:snapToGrid w:val="0"/>
                    <w:jc w:val="center"/>
                    <w:rPr>
                      <w:bCs/>
                      <w:color w:val="000000" w:themeColor="text1"/>
                      <w:kern w:val="0"/>
                      <w:szCs w:val="21"/>
                      <w14:textFill>
                        <w14:solidFill>
                          <w14:schemeClr w14:val="tx1"/>
                        </w14:solidFill>
                      </w14:textFill>
                    </w:rPr>
                  </w:pPr>
                </w:p>
              </w:tc>
              <w:tc>
                <w:tcPr>
                  <w:tcW w:w="478" w:type="pct"/>
                </w:tcPr>
                <w:p w14:paraId="5F61C0A8">
                  <w:pPr>
                    <w:adjustRightInd w:val="0"/>
                    <w:snapToGrid w:val="0"/>
                    <w:jc w:val="center"/>
                    <w:rPr>
                      <w:color w:val="000000" w:themeColor="text1"/>
                      <w:szCs w:val="21"/>
                      <w14:textFill>
                        <w14:solidFill>
                          <w14:schemeClr w14:val="tx1"/>
                        </w14:solidFill>
                      </w14:textFill>
                    </w:rPr>
                  </w:pPr>
                </w:p>
              </w:tc>
            </w:tr>
            <w:tr w14:paraId="52C2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272" w:type="pct"/>
                  <w:vMerge w:val="continue"/>
                  <w:vAlign w:val="center"/>
                </w:tcPr>
                <w:p w14:paraId="37BF25F4">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110AF8A0">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43CE3850">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5C8ECFA1">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21ECEE35">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12162D46">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07359D02">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6751A1A5">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6F71657">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76767690">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南：41</w:t>
                  </w:r>
                </w:p>
              </w:tc>
              <w:tc>
                <w:tcPr>
                  <w:tcW w:w="432" w:type="pct"/>
                </w:tcPr>
                <w:p w14:paraId="548AD68B">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49.7</w:t>
                  </w:r>
                </w:p>
              </w:tc>
              <w:tc>
                <w:tcPr>
                  <w:tcW w:w="260" w:type="pct"/>
                  <w:vMerge w:val="continue"/>
                  <w:vAlign w:val="center"/>
                </w:tcPr>
                <w:p w14:paraId="472CAC3E">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418F59DB">
                  <w:pPr>
                    <w:adjustRightInd w:val="0"/>
                    <w:snapToGrid w:val="0"/>
                    <w:jc w:val="center"/>
                    <w:rPr>
                      <w:bCs/>
                      <w:color w:val="000000" w:themeColor="text1"/>
                      <w:kern w:val="0"/>
                      <w:szCs w:val="21"/>
                      <w14:textFill>
                        <w14:solidFill>
                          <w14:schemeClr w14:val="tx1"/>
                        </w14:solidFill>
                      </w14:textFill>
                    </w:rPr>
                  </w:pPr>
                </w:p>
              </w:tc>
              <w:tc>
                <w:tcPr>
                  <w:tcW w:w="478" w:type="pct"/>
                </w:tcPr>
                <w:p w14:paraId="59EB8EB9">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39.7 </w:t>
                  </w:r>
                </w:p>
              </w:tc>
            </w:tr>
            <w:tr w14:paraId="59B6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272" w:type="pct"/>
                  <w:vMerge w:val="continue"/>
                  <w:vAlign w:val="center"/>
                </w:tcPr>
                <w:p w14:paraId="18440E33">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019B7D86">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5FA549B6">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669E55DA">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77EC22C1">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652DAFCE">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7AECAF8">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DF1FBA8">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1A1D335">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13274639">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西：14</w:t>
                  </w:r>
                </w:p>
              </w:tc>
              <w:tc>
                <w:tcPr>
                  <w:tcW w:w="432" w:type="pct"/>
                </w:tcPr>
                <w:p w14:paraId="4CD374CF">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59.1</w:t>
                  </w:r>
                </w:p>
              </w:tc>
              <w:tc>
                <w:tcPr>
                  <w:tcW w:w="260" w:type="pct"/>
                  <w:vMerge w:val="continue"/>
                  <w:vAlign w:val="center"/>
                </w:tcPr>
                <w:p w14:paraId="189B4202">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05D0BC1E">
                  <w:pPr>
                    <w:adjustRightInd w:val="0"/>
                    <w:snapToGrid w:val="0"/>
                    <w:jc w:val="center"/>
                    <w:rPr>
                      <w:bCs/>
                      <w:color w:val="000000" w:themeColor="text1"/>
                      <w:kern w:val="0"/>
                      <w:szCs w:val="21"/>
                      <w14:textFill>
                        <w14:solidFill>
                          <w14:schemeClr w14:val="tx1"/>
                        </w14:solidFill>
                      </w14:textFill>
                    </w:rPr>
                  </w:pPr>
                </w:p>
              </w:tc>
              <w:tc>
                <w:tcPr>
                  <w:tcW w:w="478" w:type="pct"/>
                </w:tcPr>
                <w:p w14:paraId="4901C110">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49.1 </w:t>
                  </w:r>
                </w:p>
              </w:tc>
            </w:tr>
            <w:tr w14:paraId="3AEA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272" w:type="pct"/>
                  <w:vMerge w:val="continue"/>
                  <w:vAlign w:val="center"/>
                </w:tcPr>
                <w:p w14:paraId="360AC19D">
                  <w:pPr>
                    <w:adjustRightInd w:val="0"/>
                    <w:snapToGrid w:val="0"/>
                    <w:jc w:val="center"/>
                    <w:rPr>
                      <w:bCs/>
                      <w:color w:val="000000" w:themeColor="text1"/>
                      <w:kern w:val="0"/>
                      <w:szCs w:val="21"/>
                      <w14:textFill>
                        <w14:solidFill>
                          <w14:schemeClr w14:val="tx1"/>
                        </w14:solidFill>
                      </w14:textFill>
                    </w:rPr>
                  </w:pPr>
                </w:p>
              </w:tc>
              <w:tc>
                <w:tcPr>
                  <w:tcW w:w="258" w:type="pct"/>
                  <w:vMerge w:val="continue"/>
                  <w:vAlign w:val="center"/>
                </w:tcPr>
                <w:p w14:paraId="2070CB33">
                  <w:pPr>
                    <w:adjustRightInd w:val="0"/>
                    <w:snapToGrid w:val="0"/>
                    <w:jc w:val="center"/>
                    <w:rPr>
                      <w:bCs/>
                      <w:color w:val="000000" w:themeColor="text1"/>
                      <w:kern w:val="0"/>
                      <w:szCs w:val="21"/>
                      <w14:textFill>
                        <w14:solidFill>
                          <w14:schemeClr w14:val="tx1"/>
                        </w14:solidFill>
                      </w14:textFill>
                    </w:rPr>
                  </w:pPr>
                </w:p>
              </w:tc>
              <w:tc>
                <w:tcPr>
                  <w:tcW w:w="339" w:type="pct"/>
                  <w:vMerge w:val="continue"/>
                  <w:vAlign w:val="center"/>
                </w:tcPr>
                <w:p w14:paraId="3E86873C">
                  <w:pPr>
                    <w:adjustRightInd w:val="0"/>
                    <w:snapToGrid w:val="0"/>
                    <w:jc w:val="center"/>
                    <w:rPr>
                      <w:bCs/>
                      <w:color w:val="000000" w:themeColor="text1"/>
                      <w:kern w:val="0"/>
                      <w:szCs w:val="21"/>
                      <w14:textFill>
                        <w14:solidFill>
                          <w14:schemeClr w14:val="tx1"/>
                        </w14:solidFill>
                      </w14:textFill>
                    </w:rPr>
                  </w:pPr>
                </w:p>
              </w:tc>
              <w:tc>
                <w:tcPr>
                  <w:tcW w:w="259" w:type="pct"/>
                  <w:vMerge w:val="continue"/>
                  <w:vAlign w:val="center"/>
                </w:tcPr>
                <w:p w14:paraId="3CF312C7">
                  <w:pPr>
                    <w:adjustRightInd w:val="0"/>
                    <w:snapToGrid w:val="0"/>
                    <w:jc w:val="center"/>
                    <w:rPr>
                      <w:bCs/>
                      <w:color w:val="000000" w:themeColor="text1"/>
                      <w:kern w:val="0"/>
                      <w:szCs w:val="21"/>
                      <w14:textFill>
                        <w14:solidFill>
                          <w14:schemeClr w14:val="tx1"/>
                        </w14:solidFill>
                      </w14:textFill>
                    </w:rPr>
                  </w:pPr>
                </w:p>
              </w:tc>
              <w:tc>
                <w:tcPr>
                  <w:tcW w:w="433" w:type="pct"/>
                  <w:vMerge w:val="continue"/>
                  <w:vAlign w:val="center"/>
                </w:tcPr>
                <w:p w14:paraId="42C34E47">
                  <w:pPr>
                    <w:adjustRightInd w:val="0"/>
                    <w:snapToGrid w:val="0"/>
                    <w:jc w:val="center"/>
                    <w:rPr>
                      <w:bCs/>
                      <w:color w:val="000000" w:themeColor="text1"/>
                      <w:kern w:val="0"/>
                      <w:szCs w:val="21"/>
                      <w14:textFill>
                        <w14:solidFill>
                          <w14:schemeClr w14:val="tx1"/>
                        </w14:solidFill>
                      </w14:textFill>
                    </w:rPr>
                  </w:pPr>
                </w:p>
              </w:tc>
              <w:tc>
                <w:tcPr>
                  <w:tcW w:w="354" w:type="pct"/>
                  <w:vMerge w:val="continue"/>
                  <w:vAlign w:val="center"/>
                </w:tcPr>
                <w:p w14:paraId="5F394A2D">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2DE08ED1">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16BD201B">
                  <w:pPr>
                    <w:adjustRightInd w:val="0"/>
                    <w:snapToGrid w:val="0"/>
                    <w:jc w:val="center"/>
                    <w:rPr>
                      <w:bCs/>
                      <w:color w:val="000000" w:themeColor="text1"/>
                      <w:kern w:val="0"/>
                      <w:szCs w:val="21"/>
                      <w14:textFill>
                        <w14:solidFill>
                          <w14:schemeClr w14:val="tx1"/>
                        </w14:solidFill>
                      </w14:textFill>
                    </w:rPr>
                  </w:pPr>
                </w:p>
              </w:tc>
              <w:tc>
                <w:tcPr>
                  <w:tcW w:w="345" w:type="pct"/>
                  <w:vMerge w:val="continue"/>
                  <w:vAlign w:val="center"/>
                </w:tcPr>
                <w:p w14:paraId="5D07150B">
                  <w:pPr>
                    <w:adjustRightInd w:val="0"/>
                    <w:snapToGrid w:val="0"/>
                    <w:jc w:val="center"/>
                    <w:rPr>
                      <w:bCs/>
                      <w:color w:val="000000" w:themeColor="text1"/>
                      <w:kern w:val="0"/>
                      <w:szCs w:val="21"/>
                      <w14:textFill>
                        <w14:solidFill>
                          <w14:schemeClr w14:val="tx1"/>
                        </w14:solidFill>
                      </w14:textFill>
                    </w:rPr>
                  </w:pPr>
                </w:p>
              </w:tc>
              <w:tc>
                <w:tcPr>
                  <w:tcW w:w="431" w:type="pct"/>
                  <w:vAlign w:val="center"/>
                </w:tcPr>
                <w:p w14:paraId="3263C52D">
                  <w:pPr>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北：18</w:t>
                  </w:r>
                </w:p>
              </w:tc>
              <w:tc>
                <w:tcPr>
                  <w:tcW w:w="432" w:type="pct"/>
                </w:tcPr>
                <w:p w14:paraId="0C54D680">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56.9</w:t>
                  </w:r>
                </w:p>
              </w:tc>
              <w:tc>
                <w:tcPr>
                  <w:tcW w:w="260" w:type="pct"/>
                  <w:vMerge w:val="continue"/>
                  <w:vAlign w:val="center"/>
                </w:tcPr>
                <w:p w14:paraId="7C33A370">
                  <w:pPr>
                    <w:adjustRightInd w:val="0"/>
                    <w:snapToGrid w:val="0"/>
                    <w:jc w:val="center"/>
                    <w:rPr>
                      <w:bCs/>
                      <w:color w:val="000000" w:themeColor="text1"/>
                      <w:kern w:val="0"/>
                      <w:szCs w:val="21"/>
                      <w14:textFill>
                        <w14:solidFill>
                          <w14:schemeClr w14:val="tx1"/>
                        </w14:solidFill>
                      </w14:textFill>
                    </w:rPr>
                  </w:pPr>
                </w:p>
              </w:tc>
              <w:tc>
                <w:tcPr>
                  <w:tcW w:w="450" w:type="pct"/>
                  <w:vMerge w:val="continue"/>
                  <w:vAlign w:val="center"/>
                </w:tcPr>
                <w:p w14:paraId="48C23671">
                  <w:pPr>
                    <w:adjustRightInd w:val="0"/>
                    <w:snapToGrid w:val="0"/>
                    <w:jc w:val="center"/>
                    <w:rPr>
                      <w:bCs/>
                      <w:color w:val="000000" w:themeColor="text1"/>
                      <w:kern w:val="0"/>
                      <w:szCs w:val="21"/>
                      <w14:textFill>
                        <w14:solidFill>
                          <w14:schemeClr w14:val="tx1"/>
                        </w14:solidFill>
                      </w14:textFill>
                    </w:rPr>
                  </w:pPr>
                </w:p>
              </w:tc>
              <w:tc>
                <w:tcPr>
                  <w:tcW w:w="478" w:type="pct"/>
                </w:tcPr>
                <w:p w14:paraId="78513477">
                  <w:pPr>
                    <w:adjustRightInd w:val="0"/>
                    <w:snapToGrid w:val="0"/>
                    <w:jc w:val="center"/>
                    <w:rPr>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46.9 </w:t>
                  </w:r>
                </w:p>
              </w:tc>
            </w:tr>
          </w:tbl>
          <w:p w14:paraId="413BA2B7">
            <w:pPr>
              <w:spacing w:before="120" w:beforeLines="50"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3.2 降噪措施及排放强度</w:t>
            </w:r>
          </w:p>
          <w:p w14:paraId="0C9D2C9C">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本项目运营期主要采取以下措施来降低噪声对声环境的影响。</w:t>
            </w:r>
          </w:p>
          <w:p w14:paraId="79C73FE9">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1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项目夜间不生产，对周围环境无影响。</w:t>
            </w:r>
          </w:p>
          <w:p w14:paraId="61B96467">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2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优化总图布置，项目的搅拌工序紧靠西北侧，砖厂厂房，远离北侧、南侧、东侧附近的农户、村委会等敏感点。</w:t>
            </w:r>
          </w:p>
          <w:p w14:paraId="2DEB7DF4">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3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③</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车间封闭，本项目生产车间采用树脂瓦全封闭，可以使噪声受到不同程度的隔绝和吸收，做到尽可能屏蔽声源，减少对环境的影响。</w:t>
            </w:r>
          </w:p>
          <w:p w14:paraId="09EE52A5">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4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④</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设备选型过程中，首选低噪声设备，并采取进行基础减震（如安装弹性衬垫和保护套）。平时生产时加强对各机械设备的维修与保养，确保正常运行。</w:t>
            </w:r>
          </w:p>
          <w:p w14:paraId="26DF0196">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5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⑤</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破碎机采用下沉式安装，在破碎机所有破坏物料撞击处加装耐磨的橡胶作为衬板，以免撞击过大造成噪音；在机器给料板和进料漏斗的传动表面与机架外壳覆盖阻尼材料，减少噪声的辐射面积，根据统计若将机器安装在防振基座上，并采取下沉安装，采用上述降噪措施，整机噪声可降低约15～25dB。</w:t>
            </w:r>
          </w:p>
          <w:p w14:paraId="09201F84">
            <w:pPr>
              <w:spacing w:line="360" w:lineRule="auto"/>
              <w:ind w:firstLine="480" w:firstLineChars="200"/>
              <w:rPr>
                <w:rFonts w:eastAsiaTheme="minorEastAsia"/>
                <w:b/>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6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⑥</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传输带为输送主要设备，该设备连接各个生产单元，采用动力传控，因此在设备选型时尽量选择噪声低的设备，在生产时定期在滚轴处加润滑油，从而减少摩擦噪声产生。</w:t>
            </w:r>
          </w:p>
          <w:p w14:paraId="116AECC8">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7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⑦</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合理安排生产，尽量避免投料过多过快，物料投入量稳定，不忽多忽少。</w:t>
            </w:r>
          </w:p>
          <w:p w14:paraId="70BBBE07">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8 \* GB3 </w:instrText>
            </w:r>
            <w:r>
              <w:rPr>
                <w:rFonts w:eastAsiaTheme="minorEastAsia"/>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⑧</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合理控制运输车辆的车速，减轻运输车辆在启动及行驶过程发动机轰鸣噪声；加强装卸料管理，轻卸缓放。合理安排运输班次，选择合适的运输路线，合理选择运输时间；原料运输车辆注意运输过程中绕开居民集中区，避开午休和夜间时间，合理控制车辆运输，避免产生大的交通噪声。</w:t>
            </w:r>
          </w:p>
          <w:p w14:paraId="191DC743">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本项目运营期声环境保护目标调查表见下表：</w:t>
            </w:r>
          </w:p>
          <w:p w14:paraId="29494102">
            <w:pPr>
              <w:adjustRightInd w:val="0"/>
              <w:snapToGrid w:val="0"/>
              <w:spacing w:line="360" w:lineRule="auto"/>
              <w:ind w:firstLine="482"/>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表4-12工业企业声环境保护目标调查表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217"/>
              <w:gridCol w:w="862"/>
              <w:gridCol w:w="862"/>
              <w:gridCol w:w="862"/>
              <w:gridCol w:w="1066"/>
              <w:gridCol w:w="761"/>
              <w:gridCol w:w="1218"/>
              <w:gridCol w:w="1439"/>
            </w:tblGrid>
            <w:tr w14:paraId="69656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82" w:type="pct"/>
                  <w:vMerge w:val="restart"/>
                  <w:vAlign w:val="center"/>
                </w:tcPr>
                <w:p w14:paraId="6EBA208A">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序号</w:t>
                  </w:r>
                </w:p>
              </w:tc>
              <w:tc>
                <w:tcPr>
                  <w:tcW w:w="693" w:type="pct"/>
                  <w:vMerge w:val="restart"/>
                  <w:vAlign w:val="center"/>
                </w:tcPr>
                <w:p w14:paraId="62D20A27">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声环境保护目标名称</w:t>
                  </w:r>
                </w:p>
              </w:tc>
              <w:tc>
                <w:tcPr>
                  <w:tcW w:w="1473" w:type="pct"/>
                  <w:gridSpan w:val="3"/>
                  <w:vAlign w:val="center"/>
                </w:tcPr>
                <w:p w14:paraId="7942C306">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空间相对位置</w:t>
                  </w:r>
                </w:p>
              </w:tc>
              <w:tc>
                <w:tcPr>
                  <w:tcW w:w="607" w:type="pct"/>
                  <w:vMerge w:val="restart"/>
                  <w:vAlign w:val="center"/>
                </w:tcPr>
                <w:p w14:paraId="66AC77EA">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距厂界最近距离/m</w:t>
                  </w:r>
                </w:p>
              </w:tc>
              <w:tc>
                <w:tcPr>
                  <w:tcW w:w="433" w:type="pct"/>
                  <w:vMerge w:val="restart"/>
                  <w:vAlign w:val="center"/>
                </w:tcPr>
                <w:p w14:paraId="37F24C27">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方位</w:t>
                  </w:r>
                </w:p>
              </w:tc>
              <w:tc>
                <w:tcPr>
                  <w:tcW w:w="693" w:type="pct"/>
                  <w:vMerge w:val="restart"/>
                  <w:vAlign w:val="center"/>
                </w:tcPr>
                <w:p w14:paraId="22F79B6E">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执行标准/功能区类别</w:t>
                  </w:r>
                </w:p>
              </w:tc>
              <w:tc>
                <w:tcPr>
                  <w:tcW w:w="820" w:type="pct"/>
                  <w:vMerge w:val="restart"/>
                  <w:vAlign w:val="center"/>
                </w:tcPr>
                <w:p w14:paraId="57F9A199">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声环境保护目标情况说明</w:t>
                  </w:r>
                </w:p>
              </w:tc>
            </w:tr>
            <w:tr w14:paraId="469E5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82" w:type="pct"/>
                  <w:vMerge w:val="continue"/>
                  <w:vAlign w:val="center"/>
                </w:tcPr>
                <w:p w14:paraId="50599063">
                  <w:pPr>
                    <w:adjustRightInd w:val="0"/>
                    <w:snapToGrid w:val="0"/>
                    <w:jc w:val="center"/>
                    <w:rPr>
                      <w:bCs/>
                      <w:color w:val="000000" w:themeColor="text1"/>
                      <w:kern w:val="0"/>
                      <w:sz w:val="18"/>
                      <w:szCs w:val="18"/>
                      <w14:textFill>
                        <w14:solidFill>
                          <w14:schemeClr w14:val="tx1"/>
                        </w14:solidFill>
                      </w14:textFill>
                    </w:rPr>
                  </w:pPr>
                </w:p>
              </w:tc>
              <w:tc>
                <w:tcPr>
                  <w:tcW w:w="693" w:type="pct"/>
                  <w:vMerge w:val="continue"/>
                  <w:vAlign w:val="center"/>
                </w:tcPr>
                <w:p w14:paraId="58A855F6">
                  <w:pPr>
                    <w:adjustRightInd w:val="0"/>
                    <w:snapToGrid w:val="0"/>
                    <w:jc w:val="center"/>
                    <w:rPr>
                      <w:bCs/>
                      <w:color w:val="000000" w:themeColor="text1"/>
                      <w:kern w:val="0"/>
                      <w:sz w:val="18"/>
                      <w:szCs w:val="18"/>
                      <w14:textFill>
                        <w14:solidFill>
                          <w14:schemeClr w14:val="tx1"/>
                        </w14:solidFill>
                      </w14:textFill>
                    </w:rPr>
                  </w:pPr>
                </w:p>
              </w:tc>
              <w:tc>
                <w:tcPr>
                  <w:tcW w:w="491" w:type="pct"/>
                  <w:vAlign w:val="center"/>
                </w:tcPr>
                <w:p w14:paraId="3290EEFF">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X</w:t>
                  </w:r>
                </w:p>
              </w:tc>
              <w:tc>
                <w:tcPr>
                  <w:tcW w:w="491" w:type="pct"/>
                  <w:vAlign w:val="center"/>
                </w:tcPr>
                <w:p w14:paraId="0205255D">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Y</w:t>
                  </w:r>
                </w:p>
              </w:tc>
              <w:tc>
                <w:tcPr>
                  <w:tcW w:w="491" w:type="pct"/>
                  <w:vAlign w:val="center"/>
                </w:tcPr>
                <w:p w14:paraId="6B3A1110">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Z</w:t>
                  </w:r>
                </w:p>
              </w:tc>
              <w:tc>
                <w:tcPr>
                  <w:tcW w:w="607" w:type="pct"/>
                  <w:vMerge w:val="continue"/>
                  <w:vAlign w:val="center"/>
                </w:tcPr>
                <w:p w14:paraId="56C7ECBD">
                  <w:pPr>
                    <w:adjustRightInd w:val="0"/>
                    <w:snapToGrid w:val="0"/>
                    <w:jc w:val="center"/>
                    <w:rPr>
                      <w:bCs/>
                      <w:color w:val="000000" w:themeColor="text1"/>
                      <w:kern w:val="0"/>
                      <w:sz w:val="18"/>
                      <w:szCs w:val="18"/>
                      <w14:textFill>
                        <w14:solidFill>
                          <w14:schemeClr w14:val="tx1"/>
                        </w14:solidFill>
                      </w14:textFill>
                    </w:rPr>
                  </w:pPr>
                </w:p>
              </w:tc>
              <w:tc>
                <w:tcPr>
                  <w:tcW w:w="433" w:type="pct"/>
                  <w:vMerge w:val="continue"/>
                  <w:vAlign w:val="center"/>
                </w:tcPr>
                <w:p w14:paraId="62D5CC5A">
                  <w:pPr>
                    <w:adjustRightInd w:val="0"/>
                    <w:snapToGrid w:val="0"/>
                    <w:jc w:val="center"/>
                    <w:rPr>
                      <w:bCs/>
                      <w:color w:val="000000" w:themeColor="text1"/>
                      <w:kern w:val="0"/>
                      <w:sz w:val="18"/>
                      <w:szCs w:val="18"/>
                      <w14:textFill>
                        <w14:solidFill>
                          <w14:schemeClr w14:val="tx1"/>
                        </w14:solidFill>
                      </w14:textFill>
                    </w:rPr>
                  </w:pPr>
                </w:p>
              </w:tc>
              <w:tc>
                <w:tcPr>
                  <w:tcW w:w="693" w:type="pct"/>
                  <w:vMerge w:val="continue"/>
                  <w:vAlign w:val="center"/>
                </w:tcPr>
                <w:p w14:paraId="3BB32F55">
                  <w:pPr>
                    <w:adjustRightInd w:val="0"/>
                    <w:snapToGrid w:val="0"/>
                    <w:jc w:val="center"/>
                    <w:rPr>
                      <w:bCs/>
                      <w:color w:val="000000" w:themeColor="text1"/>
                      <w:kern w:val="0"/>
                      <w:sz w:val="18"/>
                      <w:szCs w:val="18"/>
                      <w14:textFill>
                        <w14:solidFill>
                          <w14:schemeClr w14:val="tx1"/>
                        </w14:solidFill>
                      </w14:textFill>
                    </w:rPr>
                  </w:pPr>
                </w:p>
              </w:tc>
              <w:tc>
                <w:tcPr>
                  <w:tcW w:w="820" w:type="pct"/>
                  <w:vMerge w:val="continue"/>
                  <w:vAlign w:val="center"/>
                </w:tcPr>
                <w:p w14:paraId="123220E5">
                  <w:pPr>
                    <w:adjustRightInd w:val="0"/>
                    <w:snapToGrid w:val="0"/>
                    <w:jc w:val="center"/>
                    <w:rPr>
                      <w:bCs/>
                      <w:color w:val="000000" w:themeColor="text1"/>
                      <w:kern w:val="0"/>
                      <w:sz w:val="18"/>
                      <w:szCs w:val="18"/>
                      <w14:textFill>
                        <w14:solidFill>
                          <w14:schemeClr w14:val="tx1"/>
                        </w14:solidFill>
                      </w14:textFill>
                    </w:rPr>
                  </w:pPr>
                </w:p>
              </w:tc>
            </w:tr>
            <w:tr w14:paraId="6E98C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82" w:type="pct"/>
                  <w:vAlign w:val="center"/>
                </w:tcPr>
                <w:p w14:paraId="1D147DF0">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w:t>
                  </w:r>
                </w:p>
              </w:tc>
              <w:tc>
                <w:tcPr>
                  <w:tcW w:w="693" w:type="pct"/>
                  <w:vAlign w:val="center"/>
                </w:tcPr>
                <w:p w14:paraId="763EEC9C">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散居住户</w:t>
                  </w:r>
                </w:p>
              </w:tc>
              <w:tc>
                <w:tcPr>
                  <w:tcW w:w="491" w:type="pct"/>
                  <w:vAlign w:val="center"/>
                </w:tcPr>
                <w:p w14:paraId="248A2A73">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-6</w:t>
                  </w:r>
                </w:p>
              </w:tc>
              <w:tc>
                <w:tcPr>
                  <w:tcW w:w="491" w:type="pct"/>
                  <w:vAlign w:val="center"/>
                </w:tcPr>
                <w:p w14:paraId="03B0AAF7">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3</w:t>
                  </w:r>
                </w:p>
              </w:tc>
              <w:tc>
                <w:tcPr>
                  <w:tcW w:w="491" w:type="pct"/>
                  <w:vAlign w:val="center"/>
                </w:tcPr>
                <w:p w14:paraId="05CA0951">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w:t>
                  </w:r>
                </w:p>
              </w:tc>
              <w:tc>
                <w:tcPr>
                  <w:tcW w:w="607" w:type="pct"/>
                  <w:vAlign w:val="center"/>
                </w:tcPr>
                <w:p w14:paraId="31EDB67C">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48</w:t>
                  </w:r>
                </w:p>
              </w:tc>
              <w:tc>
                <w:tcPr>
                  <w:tcW w:w="433" w:type="pct"/>
                  <w:vAlign w:val="center"/>
                </w:tcPr>
                <w:p w14:paraId="2044838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北</w:t>
                  </w:r>
                </w:p>
              </w:tc>
              <w:tc>
                <w:tcPr>
                  <w:tcW w:w="693" w:type="pct"/>
                  <w:vMerge w:val="restart"/>
                  <w:vAlign w:val="center"/>
                </w:tcPr>
                <w:p w14:paraId="2A054A67">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2类功能区</w:t>
                  </w:r>
                </w:p>
              </w:tc>
              <w:tc>
                <w:tcPr>
                  <w:tcW w:w="820" w:type="pct"/>
                  <w:vAlign w:val="center"/>
                </w:tcPr>
                <w:p w14:paraId="5855FB64">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砖混结构</w:t>
                  </w:r>
                </w:p>
              </w:tc>
            </w:tr>
            <w:tr w14:paraId="435E8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82" w:type="pct"/>
                  <w:vAlign w:val="center"/>
                </w:tcPr>
                <w:p w14:paraId="1973CB34">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2</w:t>
                  </w:r>
                </w:p>
              </w:tc>
              <w:tc>
                <w:tcPr>
                  <w:tcW w:w="693" w:type="pct"/>
                  <w:vAlign w:val="center"/>
                </w:tcPr>
                <w:p w14:paraId="701D0AB0">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散居住户</w:t>
                  </w:r>
                </w:p>
              </w:tc>
              <w:tc>
                <w:tcPr>
                  <w:tcW w:w="491" w:type="pct"/>
                  <w:vAlign w:val="center"/>
                </w:tcPr>
                <w:p w14:paraId="3BB3E97D">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0</w:t>
                  </w:r>
                </w:p>
              </w:tc>
              <w:tc>
                <w:tcPr>
                  <w:tcW w:w="491" w:type="pct"/>
                  <w:vAlign w:val="center"/>
                </w:tcPr>
                <w:p w14:paraId="59645E4D">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10</w:t>
                  </w:r>
                </w:p>
              </w:tc>
              <w:tc>
                <w:tcPr>
                  <w:tcW w:w="491" w:type="pct"/>
                  <w:vAlign w:val="center"/>
                </w:tcPr>
                <w:p w14:paraId="64A6C508">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w:t>
                  </w:r>
                </w:p>
              </w:tc>
              <w:tc>
                <w:tcPr>
                  <w:tcW w:w="607" w:type="pct"/>
                  <w:vAlign w:val="center"/>
                </w:tcPr>
                <w:p w14:paraId="6C5FD8B6">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12</w:t>
                  </w:r>
                </w:p>
              </w:tc>
              <w:tc>
                <w:tcPr>
                  <w:tcW w:w="433" w:type="pct"/>
                  <w:vAlign w:val="center"/>
                </w:tcPr>
                <w:p w14:paraId="17ED275D">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北</w:t>
                  </w:r>
                </w:p>
              </w:tc>
              <w:tc>
                <w:tcPr>
                  <w:tcW w:w="693" w:type="pct"/>
                  <w:vMerge w:val="continue"/>
                  <w:vAlign w:val="center"/>
                </w:tcPr>
                <w:p w14:paraId="1F269E9C">
                  <w:pPr>
                    <w:adjustRightInd w:val="0"/>
                    <w:snapToGrid w:val="0"/>
                    <w:jc w:val="center"/>
                    <w:rPr>
                      <w:bCs/>
                      <w:color w:val="000000" w:themeColor="text1"/>
                      <w:kern w:val="0"/>
                      <w:sz w:val="18"/>
                      <w:szCs w:val="18"/>
                      <w14:textFill>
                        <w14:solidFill>
                          <w14:schemeClr w14:val="tx1"/>
                        </w14:solidFill>
                      </w14:textFill>
                    </w:rPr>
                  </w:pPr>
                </w:p>
              </w:tc>
              <w:tc>
                <w:tcPr>
                  <w:tcW w:w="820" w:type="pct"/>
                  <w:vAlign w:val="center"/>
                </w:tcPr>
                <w:p w14:paraId="2B6F6B0C">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砖混结构</w:t>
                  </w:r>
                </w:p>
              </w:tc>
            </w:tr>
            <w:tr w14:paraId="249FD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14:paraId="7DE87FF9">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3</w:t>
                  </w:r>
                </w:p>
              </w:tc>
              <w:tc>
                <w:tcPr>
                  <w:tcW w:w="693" w:type="pct"/>
                  <w:vAlign w:val="center"/>
                </w:tcPr>
                <w:p w14:paraId="0F22498D">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散居住户</w:t>
                  </w:r>
                </w:p>
              </w:tc>
              <w:tc>
                <w:tcPr>
                  <w:tcW w:w="491" w:type="pct"/>
                  <w:vAlign w:val="center"/>
                </w:tcPr>
                <w:p w14:paraId="02B0D161">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w:t>
                  </w:r>
                </w:p>
              </w:tc>
              <w:tc>
                <w:tcPr>
                  <w:tcW w:w="491" w:type="pct"/>
                  <w:vAlign w:val="center"/>
                </w:tcPr>
                <w:p w14:paraId="1534B8DC">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2</w:t>
                  </w:r>
                </w:p>
              </w:tc>
              <w:tc>
                <w:tcPr>
                  <w:tcW w:w="491" w:type="pct"/>
                  <w:vAlign w:val="center"/>
                </w:tcPr>
                <w:p w14:paraId="4E9CE7FC">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1</w:t>
                  </w:r>
                </w:p>
              </w:tc>
              <w:tc>
                <w:tcPr>
                  <w:tcW w:w="607" w:type="pct"/>
                  <w:vAlign w:val="center"/>
                </w:tcPr>
                <w:p w14:paraId="1D23DFBE">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7</w:t>
                  </w:r>
                </w:p>
              </w:tc>
              <w:tc>
                <w:tcPr>
                  <w:tcW w:w="433" w:type="pct"/>
                  <w:vAlign w:val="center"/>
                </w:tcPr>
                <w:p w14:paraId="4CB200B8">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东</w:t>
                  </w:r>
                </w:p>
              </w:tc>
              <w:tc>
                <w:tcPr>
                  <w:tcW w:w="693" w:type="pct"/>
                  <w:vMerge w:val="continue"/>
                  <w:vAlign w:val="center"/>
                </w:tcPr>
                <w:p w14:paraId="39E256E2">
                  <w:pPr>
                    <w:adjustRightInd w:val="0"/>
                    <w:snapToGrid w:val="0"/>
                    <w:jc w:val="center"/>
                    <w:rPr>
                      <w:bCs/>
                      <w:color w:val="000000" w:themeColor="text1"/>
                      <w:kern w:val="0"/>
                      <w:sz w:val="18"/>
                      <w:szCs w:val="18"/>
                      <w14:textFill>
                        <w14:solidFill>
                          <w14:schemeClr w14:val="tx1"/>
                        </w14:solidFill>
                      </w14:textFill>
                    </w:rPr>
                  </w:pPr>
                </w:p>
              </w:tc>
              <w:tc>
                <w:tcPr>
                  <w:tcW w:w="820" w:type="pct"/>
                  <w:vAlign w:val="center"/>
                </w:tcPr>
                <w:p w14:paraId="2E20C7AA">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砖混结构</w:t>
                  </w:r>
                </w:p>
              </w:tc>
            </w:tr>
            <w:tr w14:paraId="70DD6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14:paraId="76EEB66B">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4</w:t>
                  </w:r>
                </w:p>
              </w:tc>
              <w:tc>
                <w:tcPr>
                  <w:tcW w:w="693" w:type="pct"/>
                  <w:vAlign w:val="center"/>
                </w:tcPr>
                <w:p w14:paraId="2E522F3F">
                  <w:pPr>
                    <w:adjustRightInd w:val="0"/>
                    <w:snapToGrid w:val="0"/>
                    <w:jc w:val="center"/>
                    <w:rPr>
                      <w:bCs/>
                      <w:color w:val="000000" w:themeColor="text1"/>
                      <w:kern w:val="0"/>
                      <w:sz w:val="18"/>
                      <w:szCs w:val="18"/>
                      <w14:textFill>
                        <w14:solidFill>
                          <w14:schemeClr w14:val="tx1"/>
                        </w14:solidFill>
                      </w14:textFill>
                    </w:rPr>
                  </w:pPr>
                  <w:r>
                    <w:rPr>
                      <w:color w:val="000000" w:themeColor="text1"/>
                      <w14:textFill>
                        <w14:solidFill>
                          <w14:schemeClr w14:val="tx1"/>
                        </w14:solidFill>
                      </w14:textFill>
                    </w:rPr>
                    <w:t>虎林村村委会</w:t>
                  </w:r>
                </w:p>
              </w:tc>
              <w:tc>
                <w:tcPr>
                  <w:tcW w:w="491" w:type="pct"/>
                  <w:vAlign w:val="center"/>
                </w:tcPr>
                <w:p w14:paraId="562FD0F9">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-20</w:t>
                  </w:r>
                </w:p>
              </w:tc>
              <w:tc>
                <w:tcPr>
                  <w:tcW w:w="491" w:type="pct"/>
                  <w:vAlign w:val="center"/>
                </w:tcPr>
                <w:p w14:paraId="3CD4C389">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23</w:t>
                  </w:r>
                </w:p>
              </w:tc>
              <w:tc>
                <w:tcPr>
                  <w:tcW w:w="491" w:type="pct"/>
                  <w:vAlign w:val="center"/>
                </w:tcPr>
                <w:p w14:paraId="4B7781D4">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0.5</w:t>
                  </w:r>
                </w:p>
              </w:tc>
              <w:tc>
                <w:tcPr>
                  <w:tcW w:w="607" w:type="pct"/>
                  <w:vAlign w:val="center"/>
                </w:tcPr>
                <w:p w14:paraId="5B040971">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37</w:t>
                  </w:r>
                </w:p>
              </w:tc>
              <w:tc>
                <w:tcPr>
                  <w:tcW w:w="433" w:type="pct"/>
                  <w:vAlign w:val="center"/>
                </w:tcPr>
                <w:p w14:paraId="2F2DC638">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东</w:t>
                  </w:r>
                </w:p>
              </w:tc>
              <w:tc>
                <w:tcPr>
                  <w:tcW w:w="693" w:type="pct"/>
                  <w:vMerge w:val="continue"/>
                  <w:vAlign w:val="center"/>
                </w:tcPr>
                <w:p w14:paraId="3B4B8753">
                  <w:pPr>
                    <w:adjustRightInd w:val="0"/>
                    <w:snapToGrid w:val="0"/>
                    <w:jc w:val="center"/>
                    <w:rPr>
                      <w:bCs/>
                      <w:color w:val="000000" w:themeColor="text1"/>
                      <w:kern w:val="0"/>
                      <w:sz w:val="18"/>
                      <w:szCs w:val="18"/>
                      <w14:textFill>
                        <w14:solidFill>
                          <w14:schemeClr w14:val="tx1"/>
                        </w14:solidFill>
                      </w14:textFill>
                    </w:rPr>
                  </w:pPr>
                </w:p>
              </w:tc>
              <w:tc>
                <w:tcPr>
                  <w:tcW w:w="820" w:type="pct"/>
                  <w:vAlign w:val="center"/>
                </w:tcPr>
                <w:p w14:paraId="055C40D2">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砖混结构</w:t>
                  </w:r>
                </w:p>
              </w:tc>
            </w:tr>
            <w:tr w14:paraId="5809C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14:paraId="07BBEFD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5</w:t>
                  </w:r>
                </w:p>
              </w:tc>
              <w:tc>
                <w:tcPr>
                  <w:tcW w:w="693" w:type="pct"/>
                  <w:vAlign w:val="center"/>
                </w:tcPr>
                <w:p w14:paraId="2ED97D61">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散居住户</w:t>
                  </w:r>
                </w:p>
              </w:tc>
              <w:tc>
                <w:tcPr>
                  <w:tcW w:w="491" w:type="pct"/>
                  <w:vAlign w:val="center"/>
                </w:tcPr>
                <w:p w14:paraId="6BB38128">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6</w:t>
                  </w:r>
                </w:p>
              </w:tc>
              <w:tc>
                <w:tcPr>
                  <w:tcW w:w="491" w:type="pct"/>
                  <w:vAlign w:val="center"/>
                </w:tcPr>
                <w:p w14:paraId="7047343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3</w:t>
                  </w:r>
                </w:p>
              </w:tc>
              <w:tc>
                <w:tcPr>
                  <w:tcW w:w="491" w:type="pct"/>
                  <w:vAlign w:val="center"/>
                </w:tcPr>
                <w:p w14:paraId="3A6F3A1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0</w:t>
                  </w:r>
                </w:p>
              </w:tc>
              <w:tc>
                <w:tcPr>
                  <w:tcW w:w="607" w:type="pct"/>
                  <w:vAlign w:val="center"/>
                </w:tcPr>
                <w:p w14:paraId="5BBAA000">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48</w:t>
                  </w:r>
                </w:p>
              </w:tc>
              <w:tc>
                <w:tcPr>
                  <w:tcW w:w="433" w:type="pct"/>
                  <w:vAlign w:val="center"/>
                </w:tcPr>
                <w:p w14:paraId="2087C791">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东</w:t>
                  </w:r>
                </w:p>
              </w:tc>
              <w:tc>
                <w:tcPr>
                  <w:tcW w:w="693" w:type="pct"/>
                  <w:vMerge w:val="continue"/>
                  <w:vAlign w:val="center"/>
                </w:tcPr>
                <w:p w14:paraId="25CDE7BF">
                  <w:pPr>
                    <w:adjustRightInd w:val="0"/>
                    <w:snapToGrid w:val="0"/>
                    <w:jc w:val="center"/>
                    <w:rPr>
                      <w:bCs/>
                      <w:color w:val="000000" w:themeColor="text1"/>
                      <w:kern w:val="0"/>
                      <w:sz w:val="18"/>
                      <w:szCs w:val="18"/>
                      <w14:textFill>
                        <w14:solidFill>
                          <w14:schemeClr w14:val="tx1"/>
                        </w14:solidFill>
                      </w14:textFill>
                    </w:rPr>
                  </w:pPr>
                </w:p>
              </w:tc>
              <w:tc>
                <w:tcPr>
                  <w:tcW w:w="820" w:type="pct"/>
                  <w:vAlign w:val="center"/>
                </w:tcPr>
                <w:p w14:paraId="3ED97C3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砖混结构</w:t>
                  </w:r>
                </w:p>
              </w:tc>
            </w:tr>
          </w:tbl>
          <w:p w14:paraId="41C5B6A9">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根据《环境影响评价技术导则 声环境》（HJ-2021），本项目噪声预测采用其附录B 典型行业噪声预测模型中“工业噪声预测计算模型”进行预测。</w:t>
            </w:r>
          </w:p>
          <w:p w14:paraId="56A93C41">
            <w:pPr>
              <w:adjustRightInd w:val="0"/>
              <w:snapToGrid w:val="0"/>
              <w:spacing w:line="48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（1）声源描述</w:t>
            </w:r>
          </w:p>
          <w:p w14:paraId="5A9EFBBC">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噪声设备均设置在密闭厂房中，在厂房中，噪声的传播仅受到水泥地面等物体的阻碍，因此可以近似扩散声场。在厂房外，噪声的传播受到地面、房屋墙壁的阻挡，因此可以看做半自由声场。因此，本次环评将本项目噪声源看做点声源，且厂房内噪声近似看做扩散声场，厂房外噪声看做半自由声场进行声环境噪声预测。</w:t>
            </w:r>
          </w:p>
          <w:p w14:paraId="3493BD26">
            <w:pPr>
              <w:adjustRightInd w:val="0"/>
              <w:snapToGrid w:val="0"/>
              <w:spacing w:line="48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（2）室内声源等效室外声源声功率级计算方法</w:t>
            </w:r>
          </w:p>
          <w:p w14:paraId="677188A3">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方法一：按如下公式进行计算</w:t>
            </w:r>
          </w:p>
          <w:p w14:paraId="619AEB3B">
            <w:pPr>
              <w:adjustRightInd w:val="0"/>
              <w:snapToGrid w:val="0"/>
              <w:spacing w:line="480" w:lineRule="exact"/>
              <w:ind w:firstLine="480"/>
              <w:jc w:val="center"/>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 xml:space="preserve">p2  </w:t>
            </w:r>
            <w:r>
              <w:rPr>
                <w:bCs/>
                <w:color w:val="000000" w:themeColor="text1"/>
                <w:kern w:val="0"/>
                <w:sz w:val="24"/>
                <w14:textFill>
                  <w14:solidFill>
                    <w14:schemeClr w14:val="tx1"/>
                  </w14:solidFill>
                </w14:textFill>
              </w:rPr>
              <w:t>=  L</w:t>
            </w:r>
            <w:r>
              <w:rPr>
                <w:bCs/>
                <w:color w:val="000000" w:themeColor="text1"/>
                <w:kern w:val="0"/>
                <w:sz w:val="24"/>
                <w:vertAlign w:val="subscript"/>
                <w14:textFill>
                  <w14:solidFill>
                    <w14:schemeClr w14:val="tx1"/>
                  </w14:solidFill>
                </w14:textFill>
              </w:rPr>
              <w:t>p1</w:t>
            </w:r>
            <w:r>
              <w:rPr>
                <w:bCs/>
                <w:color w:val="000000" w:themeColor="text1"/>
                <w:kern w:val="0"/>
                <w:sz w:val="24"/>
                <w14:textFill>
                  <w14:solidFill>
                    <w14:schemeClr w14:val="tx1"/>
                  </w14:solidFill>
                </w14:textFill>
              </w:rPr>
              <w:t xml:space="preserve"> —（TL+6）</w:t>
            </w:r>
          </w:p>
          <w:p w14:paraId="6F4286CF">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36313E9F">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p1</w:t>
            </w:r>
            <w:r>
              <w:rPr>
                <w:bCs/>
                <w:color w:val="000000" w:themeColor="text1"/>
                <w:kern w:val="0"/>
                <w:sz w:val="24"/>
                <w14:textFill>
                  <w14:solidFill>
                    <w14:schemeClr w14:val="tx1"/>
                  </w14:solidFill>
                </w14:textFill>
              </w:rPr>
              <w:t>—靠近开口处（或窗户）室内某倍频带的声压级或A声级，dB；</w:t>
            </w:r>
          </w:p>
          <w:p w14:paraId="59148038">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p2</w:t>
            </w:r>
            <w:r>
              <w:rPr>
                <w:bCs/>
                <w:color w:val="000000" w:themeColor="text1"/>
                <w:kern w:val="0"/>
                <w:sz w:val="24"/>
                <w14:textFill>
                  <w14:solidFill>
                    <w14:schemeClr w14:val="tx1"/>
                  </w14:solidFill>
                </w14:textFill>
              </w:rPr>
              <w:t>—靠近开口处（或窗户）室外某倍频带的声压级或A声级，dB；</w:t>
            </w:r>
          </w:p>
          <w:p w14:paraId="4AD4EE7F">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TL—隔墙（或窗户）倍频带或A声级的隔声量，dB。</w:t>
            </w:r>
          </w:p>
          <w:p w14:paraId="6A4F3AAF">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方法二：也可按下式计算某一室内声源靠近围护结构处产生的倍频带声压级或A声级：</w:t>
            </w:r>
          </w:p>
          <w:p w14:paraId="2779455F">
            <w:pPr>
              <w:adjustRightInd w:val="0"/>
              <w:snapToGrid w:val="0"/>
              <w:spacing w:line="360" w:lineRule="auto"/>
              <w:ind w:firstLine="480" w:firstLineChars="200"/>
              <w:rPr>
                <w:bCs/>
                <w:iCs/>
                <w:color w:val="000000" w:themeColor="text1"/>
                <w:kern w:val="0"/>
                <w:sz w:val="24"/>
                <w14:textFill>
                  <w14:solidFill>
                    <w14:schemeClr w14:val="tx1"/>
                  </w14:solidFill>
                </w14:textFill>
              </w:rPr>
            </w:pPr>
            <m:oMathPara>
              <m:oMath>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p1</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m:t>
                </m:r>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w</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+10lg⁡（</m:t>
                </m:r>
                <m:f>
                  <m:fPr>
                    <m:ctrlPr>
                      <w:rPr>
                        <w:rFonts w:ascii="Cambria Math" w:hAnsi="Cambria Math"/>
                        <w:bCs/>
                        <w:iCs/>
                        <w:color w:val="000000" w:themeColor="text1"/>
                        <w:kern w:val="0"/>
                        <w:sz w:val="24"/>
                        <w14:textFill>
                          <w14:solidFill>
                            <w14:schemeClr w14:val="tx1"/>
                          </w14:solidFill>
                        </w14:textFill>
                      </w:rPr>
                    </m:ctrlPr>
                  </m:fPr>
                  <m:num>
                    <m:r>
                      <m:rPr>
                        <m:sty m:val="p"/>
                      </m:rPr>
                      <w:rPr>
                        <w:rFonts w:ascii="Cambria Math" w:hAnsi="Cambria Math"/>
                        <w:color w:val="000000" w:themeColor="text1"/>
                        <w:kern w:val="0"/>
                        <w:sz w:val="24"/>
                        <w14:textFill>
                          <w14:solidFill>
                            <w14:schemeClr w14:val="tx1"/>
                          </w14:solidFill>
                        </w14:textFill>
                      </w:rPr>
                      <m:t>Q</m:t>
                    </m:r>
                    <m:ctrlPr>
                      <w:rPr>
                        <w:rFonts w:ascii="Cambria Math" w:hAnsi="Cambria Math"/>
                        <w:bCs/>
                        <w:iCs/>
                        <w:color w:val="000000" w:themeColor="text1"/>
                        <w:kern w:val="0"/>
                        <w:sz w:val="24"/>
                        <w14:textFill>
                          <w14:solidFill>
                            <w14:schemeClr w14:val="tx1"/>
                          </w14:solidFill>
                        </w14:textFill>
                      </w:rPr>
                    </m:ctrlPr>
                  </m:num>
                  <m:den>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4πr</m:t>
                        </m:r>
                        <m:ctrlPr>
                          <w:rPr>
                            <w:rFonts w:ascii="Cambria Math" w:hAnsi="Cambria Math"/>
                            <w:bCs/>
                            <w:iCs/>
                            <w:color w:val="000000" w:themeColor="text1"/>
                            <w:kern w:val="0"/>
                            <w:sz w:val="24"/>
                            <w14:textFill>
                              <w14:solidFill>
                                <w14:schemeClr w14:val="tx1"/>
                              </w14:solidFill>
                            </w14:textFill>
                          </w:rPr>
                        </m:ctrlPr>
                      </m:e>
                      <m:sup>
                        <m:r>
                          <m:rPr>
                            <m:sty m:val="p"/>
                          </m:rPr>
                          <w:rPr>
                            <w:rFonts w:ascii="Cambria Math" w:hAnsi="Cambria Math"/>
                            <w:color w:val="000000" w:themeColor="text1"/>
                            <w:kern w:val="0"/>
                            <w:sz w:val="24"/>
                            <w14:textFill>
                              <w14:solidFill>
                                <w14:schemeClr w14:val="tx1"/>
                              </w14:solidFill>
                            </w14:textFill>
                          </w:rPr>
                          <m:t>2</m:t>
                        </m:r>
                        <m:ctrlPr>
                          <w:rPr>
                            <w:rFonts w:ascii="Cambria Math" w:hAnsi="Cambria Math"/>
                            <w:bCs/>
                            <w:iCs/>
                            <w:color w:val="000000" w:themeColor="text1"/>
                            <w:kern w:val="0"/>
                            <w:sz w:val="24"/>
                            <w14:textFill>
                              <w14:solidFill>
                                <w14:schemeClr w14:val="tx1"/>
                              </w14:solidFill>
                            </w14:textFill>
                          </w:rPr>
                        </m:ctrlPr>
                      </m:sup>
                    </m:sSup>
                    <m:ctrlPr>
                      <w:rPr>
                        <w:rFonts w:ascii="Cambria Math" w:hAnsi="Cambria Math"/>
                        <w:bCs/>
                        <w:iCs/>
                        <w:color w:val="000000" w:themeColor="text1"/>
                        <w:kern w:val="0"/>
                        <w:sz w:val="24"/>
                        <w14:textFill>
                          <w14:solidFill>
                            <w14:schemeClr w14:val="tx1"/>
                          </w14:solidFill>
                        </w14:textFill>
                      </w:rPr>
                    </m:ctrlPr>
                  </m:den>
                </m:f>
                <m:r>
                  <m:rPr>
                    <m:sty m:val="p"/>
                  </m:rPr>
                  <w:rPr>
                    <w:rFonts w:ascii="Cambria Math" w:hAnsi="Cambria Math"/>
                    <w:color w:val="000000" w:themeColor="text1"/>
                    <w:kern w:val="0"/>
                    <w:sz w:val="24"/>
                    <w14:textFill>
                      <w14:solidFill>
                        <w14:schemeClr w14:val="tx1"/>
                      </w14:solidFill>
                    </w14:textFill>
                  </w:rPr>
                  <m:t>+</m:t>
                </m:r>
                <m:f>
                  <m:fPr>
                    <m:ctrlPr>
                      <w:rPr>
                        <w:rFonts w:ascii="Cambria Math" w:hAnsi="Cambria Math"/>
                        <w:bCs/>
                        <w:iCs/>
                        <w:color w:val="000000" w:themeColor="text1"/>
                        <w:kern w:val="0"/>
                        <w:sz w:val="24"/>
                        <w14:textFill>
                          <w14:solidFill>
                            <w14:schemeClr w14:val="tx1"/>
                          </w14:solidFill>
                        </w14:textFill>
                      </w:rPr>
                    </m:ctrlPr>
                  </m:fPr>
                  <m:num>
                    <m:r>
                      <m:rPr>
                        <m:sty m:val="p"/>
                      </m:rPr>
                      <w:rPr>
                        <w:rFonts w:ascii="Cambria Math" w:hAnsi="Cambria Math"/>
                        <w:color w:val="000000" w:themeColor="text1"/>
                        <w:kern w:val="0"/>
                        <w:sz w:val="24"/>
                        <w14:textFill>
                          <w14:solidFill>
                            <w14:schemeClr w14:val="tx1"/>
                          </w14:solidFill>
                        </w14:textFill>
                      </w:rPr>
                      <m:t>4</m:t>
                    </m:r>
                    <m:ctrlPr>
                      <w:rPr>
                        <w:rFonts w:ascii="Cambria Math" w:hAnsi="Cambria Math"/>
                        <w:bCs/>
                        <w:iCs/>
                        <w:color w:val="000000" w:themeColor="text1"/>
                        <w:kern w:val="0"/>
                        <w:sz w:val="24"/>
                        <w14:textFill>
                          <w14:solidFill>
                            <w14:schemeClr w14:val="tx1"/>
                          </w14:solidFill>
                        </w14:textFill>
                      </w:rPr>
                    </m:ctrlPr>
                  </m:num>
                  <m:den>
                    <m:r>
                      <m:rPr>
                        <m:sty m:val="p"/>
                      </m:rPr>
                      <w:rPr>
                        <w:rFonts w:ascii="Cambria Math" w:hAnsi="Cambria Math"/>
                        <w:color w:val="000000" w:themeColor="text1"/>
                        <w:kern w:val="0"/>
                        <w:sz w:val="24"/>
                        <w14:textFill>
                          <w14:solidFill>
                            <w14:schemeClr w14:val="tx1"/>
                          </w14:solidFill>
                        </w14:textFill>
                      </w:rPr>
                      <m:t>R</m:t>
                    </m:r>
                    <m:ctrlPr>
                      <w:rPr>
                        <w:rFonts w:ascii="Cambria Math" w:hAnsi="Cambria Math"/>
                        <w:bCs/>
                        <w:iCs/>
                        <w:color w:val="000000" w:themeColor="text1"/>
                        <w:kern w:val="0"/>
                        <w:sz w:val="24"/>
                        <w14:textFill>
                          <w14:solidFill>
                            <w14:schemeClr w14:val="tx1"/>
                          </w14:solidFill>
                        </w14:textFill>
                      </w:rPr>
                    </m:ctrlPr>
                  </m:den>
                </m:f>
                <m:r>
                  <m:rPr>
                    <m:sty m:val="p"/>
                  </m:rPr>
                  <w:rPr>
                    <w:rFonts w:ascii="Cambria Math" w:hAnsi="Cambria Math"/>
                    <w:color w:val="000000" w:themeColor="text1"/>
                    <w:kern w:val="0"/>
                    <w:sz w:val="24"/>
                    <w14:textFill>
                      <w14:solidFill>
                        <w14:schemeClr w14:val="tx1"/>
                      </w14:solidFill>
                    </w14:textFill>
                  </w:rPr>
                  <m:t>）</m:t>
                </m:r>
              </m:oMath>
            </m:oMathPara>
          </w:p>
          <w:p w14:paraId="5B91C38A">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6ED23FA9">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p1</w:t>
            </w:r>
            <w:r>
              <w:rPr>
                <w:bCs/>
                <w:color w:val="000000" w:themeColor="text1"/>
                <w:kern w:val="0"/>
                <w:sz w:val="24"/>
                <w14:textFill>
                  <w14:solidFill>
                    <w14:schemeClr w14:val="tx1"/>
                  </w14:solidFill>
                </w14:textFill>
              </w:rPr>
              <w:t>—靠近开口处（或窗户）室内某倍频带的声压级或A声级，dB；</w:t>
            </w:r>
          </w:p>
          <w:p w14:paraId="2DFDC5DD">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w</w:t>
            </w:r>
            <w:r>
              <w:rPr>
                <w:bCs/>
                <w:color w:val="000000" w:themeColor="text1"/>
                <w:kern w:val="0"/>
                <w:sz w:val="24"/>
                <w14:textFill>
                  <w14:solidFill>
                    <w14:schemeClr w14:val="tx1"/>
                  </w14:solidFill>
                </w14:textFill>
              </w:rPr>
              <w:t>—点声源声功率级（A 计权或倍频带），dB；</w:t>
            </w:r>
          </w:p>
          <w:p w14:paraId="5D05D95D">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Q—指向性因数；通常对无指向性声源，当声源放在房间中心时，Q=1；当放在一面墙的中心时，Q=2；当放在两面墙夹角时，Q=4；当放在三面墙夹角处时，Q=8；</w:t>
            </w:r>
          </w:p>
          <w:p w14:paraId="352218F0">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R—房间常数；R=Sα/（1-α），S为房间内表面积，m</w:t>
            </w:r>
            <w:r>
              <w:rPr>
                <w:bCs/>
                <w:color w:val="000000" w:themeColor="text1"/>
                <w:kern w:val="0"/>
                <w:sz w:val="24"/>
                <w:vertAlign w:val="superscript"/>
                <w14:textFill>
                  <w14:solidFill>
                    <w14:schemeClr w14:val="tx1"/>
                  </w14:solidFill>
                </w14:textFill>
              </w:rPr>
              <w:t>2</w:t>
            </w:r>
            <w:r>
              <w:rPr>
                <w:bCs/>
                <w:color w:val="000000" w:themeColor="text1"/>
                <w:kern w:val="0"/>
                <w:sz w:val="24"/>
                <w14:textFill>
                  <w14:solidFill>
                    <w14:schemeClr w14:val="tx1"/>
                  </w14:solidFill>
                </w14:textFill>
              </w:rPr>
              <w:t>；α为平均吸声系数；</w:t>
            </w:r>
          </w:p>
          <w:p w14:paraId="56CE33D7">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r—声源到靠近围护结构某点处的距离，m。</w:t>
            </w:r>
          </w:p>
          <w:p w14:paraId="40D73B89">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然后按照下式计算出所有室内声源在围护结构处产生的i倍频带叠加声压级：</w:t>
            </w:r>
          </w:p>
          <w:p w14:paraId="3E43A0A0">
            <w:pPr>
              <w:adjustRightInd w:val="0"/>
              <w:snapToGrid w:val="0"/>
              <w:spacing w:line="360" w:lineRule="auto"/>
              <w:ind w:firstLine="480"/>
              <w:rPr>
                <w:bCs/>
                <w:iCs/>
                <w:color w:val="000000" w:themeColor="text1"/>
                <w:kern w:val="0"/>
                <w:sz w:val="24"/>
                <w14:textFill>
                  <w14:solidFill>
                    <w14:schemeClr w14:val="tx1"/>
                  </w14:solidFill>
                </w14:textFill>
              </w:rPr>
            </w:pPr>
            <m:oMathPara>
              <m:oMath>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p1i</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（T）=10lg⁡（</m:t>
                </m:r>
                <m:nary>
                  <m:naryPr>
                    <m:chr m:val="∑"/>
                    <m:limLoc m:val="undOvr"/>
                    <m:ctrlPr>
                      <w:rPr>
                        <w:rFonts w:ascii="Cambria Math" w:hAnsi="Cambria Math"/>
                        <w:bCs/>
                        <w:iCs/>
                        <w:color w:val="000000" w:themeColor="text1"/>
                        <w:kern w:val="0"/>
                        <w:sz w:val="24"/>
                        <w14:textFill>
                          <w14:solidFill>
                            <w14:schemeClr w14:val="tx1"/>
                          </w14:solidFill>
                        </w14:textFill>
                      </w:rPr>
                    </m:ctrlPr>
                  </m:naryPr>
                  <m:sub>
                    <m:r>
                      <m:rPr>
                        <m:sty m:val="p"/>
                      </m:rPr>
                      <w:rPr>
                        <w:rFonts w:ascii="Cambria Math" w:hAnsi="Cambria Math"/>
                        <w:color w:val="000000" w:themeColor="text1"/>
                        <w:kern w:val="0"/>
                        <w:sz w:val="24"/>
                        <w14:textFill>
                          <w14:solidFill>
                            <w14:schemeClr w14:val="tx1"/>
                          </w14:solidFill>
                        </w14:textFill>
                      </w:rPr>
                      <m:t>j=1</m:t>
                    </m:r>
                    <m:ctrlPr>
                      <w:rPr>
                        <w:rFonts w:ascii="Cambria Math" w:hAnsi="Cambria Math"/>
                        <w:bCs/>
                        <w:iCs/>
                        <w:color w:val="000000" w:themeColor="text1"/>
                        <w:kern w:val="0"/>
                        <w:sz w:val="24"/>
                        <w14:textFill>
                          <w14:solidFill>
                            <w14:schemeClr w14:val="tx1"/>
                          </w14:solidFill>
                        </w14:textFill>
                      </w:rPr>
                    </m:ctrlPr>
                  </m:sub>
                  <m:sup>
                    <m:r>
                      <m:rPr>
                        <m:sty m:val="p"/>
                      </m:rPr>
                      <w:rPr>
                        <w:rFonts w:ascii="Cambria Math" w:hAnsi="Cambria Math"/>
                        <w:color w:val="000000" w:themeColor="text1"/>
                        <w:kern w:val="0"/>
                        <w:sz w:val="24"/>
                        <w14:textFill>
                          <w14:solidFill>
                            <w14:schemeClr w14:val="tx1"/>
                          </w14:solidFill>
                        </w14:textFill>
                      </w:rPr>
                      <m:t>N</m:t>
                    </m:r>
                    <m:ctrlPr>
                      <w:rPr>
                        <w:rFonts w:ascii="Cambria Math" w:hAnsi="Cambria Math"/>
                        <w:bCs/>
                        <w:iCs/>
                        <w:color w:val="000000" w:themeColor="text1"/>
                        <w:kern w:val="0"/>
                        <w:sz w:val="24"/>
                        <w14:textFill>
                          <w14:solidFill>
                            <w14:schemeClr w14:val="tx1"/>
                          </w14:solidFill>
                        </w14:textFill>
                      </w:rPr>
                    </m:ctrlPr>
                  </m:sup>
                  <m:e>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10</m:t>
                        </m:r>
                        <m:ctrlPr>
                          <w:rPr>
                            <w:rFonts w:ascii="Cambria Math" w:hAnsi="Cambria Math"/>
                            <w:bCs/>
                            <w:iCs/>
                            <w:color w:val="000000" w:themeColor="text1"/>
                            <w:kern w:val="0"/>
                            <w:sz w:val="24"/>
                            <w14:textFill>
                              <w14:solidFill>
                                <w14:schemeClr w14:val="tx1"/>
                              </w14:solidFill>
                            </w14:textFill>
                          </w:rPr>
                        </m:ctrlPr>
                      </m:e>
                      <m:sup>
                        <m:r>
                          <m:rPr>
                            <m:sty m:val="p"/>
                          </m:rPr>
                          <w:rPr>
                            <w:rFonts w:ascii="Cambria Math" w:hAnsi="Cambria Math"/>
                            <w:color w:val="000000" w:themeColor="text1"/>
                            <w:kern w:val="0"/>
                            <w:sz w:val="24"/>
                            <w14:textFill>
                              <w14:solidFill>
                                <w14:schemeClr w14:val="tx1"/>
                              </w14:solidFill>
                            </w14:textFill>
                          </w:rPr>
                          <m:t>0.1</m:t>
                        </m:r>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p1ij</m:t>
                            </m:r>
                            <m:ctrlPr>
                              <w:rPr>
                                <w:rFonts w:ascii="Cambria Math" w:hAnsi="Cambria Math"/>
                                <w:bCs/>
                                <w:iCs/>
                                <w:color w:val="000000" w:themeColor="text1"/>
                                <w:kern w:val="0"/>
                                <w:sz w:val="24"/>
                                <w14:textFill>
                                  <w14:solidFill>
                                    <w14:schemeClr w14:val="tx1"/>
                                  </w14:solidFill>
                                </w14:textFill>
                              </w:rPr>
                            </m:ctrlPr>
                          </m:sub>
                        </m:sSub>
                        <m:ctrlPr>
                          <w:rPr>
                            <w:rFonts w:ascii="Cambria Math" w:hAnsi="Cambria Math"/>
                            <w:bCs/>
                            <w:iCs/>
                            <w:color w:val="000000" w:themeColor="text1"/>
                            <w:kern w:val="0"/>
                            <w:sz w:val="24"/>
                            <w14:textFill>
                              <w14:solidFill>
                                <w14:schemeClr w14:val="tx1"/>
                              </w14:solidFill>
                            </w14:textFill>
                          </w:rPr>
                        </m:ctrlPr>
                      </m:sup>
                    </m:sSup>
                    <m:ctrlPr>
                      <w:rPr>
                        <w:rFonts w:ascii="Cambria Math" w:hAnsi="Cambria Math"/>
                        <w:bCs/>
                        <w:iCs/>
                        <w:color w:val="000000" w:themeColor="text1"/>
                        <w:kern w:val="0"/>
                        <w:sz w:val="24"/>
                        <w14:textFill>
                          <w14:solidFill>
                            <w14:schemeClr w14:val="tx1"/>
                          </w14:solidFill>
                        </w14:textFill>
                      </w:rPr>
                    </m:ctrlPr>
                  </m:e>
                </m:nary>
                <m:r>
                  <m:rPr>
                    <m:sty m:val="p"/>
                  </m:rPr>
                  <w:rPr>
                    <w:rFonts w:ascii="Cambria Math" w:hAnsi="Cambria Math"/>
                    <w:color w:val="000000" w:themeColor="text1"/>
                    <w:kern w:val="0"/>
                    <w:sz w:val="24"/>
                    <w14:textFill>
                      <w14:solidFill>
                        <w14:schemeClr w14:val="tx1"/>
                      </w14:solidFill>
                    </w14:textFill>
                  </w:rPr>
                  <m:t>）</m:t>
                </m:r>
              </m:oMath>
            </m:oMathPara>
          </w:p>
          <w:p w14:paraId="5B80F29E">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12BEC0A6">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p1i</w:t>
            </w:r>
            <w:r>
              <w:rPr>
                <w:bCs/>
                <w:color w:val="000000" w:themeColor="text1"/>
                <w:kern w:val="0"/>
                <w:sz w:val="24"/>
                <w14:textFill>
                  <w14:solidFill>
                    <w14:schemeClr w14:val="tx1"/>
                  </w14:solidFill>
                </w14:textFill>
              </w:rPr>
              <w:t>（T）—靠近围护结构处室内N个声源i倍频带的叠加声压级，dB；</w:t>
            </w:r>
          </w:p>
          <w:p w14:paraId="1CF12E2E">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p1ij</w:t>
            </w:r>
            <w:r>
              <w:rPr>
                <w:bCs/>
                <w:color w:val="000000" w:themeColor="text1"/>
                <w:kern w:val="0"/>
                <w:sz w:val="24"/>
                <w14:textFill>
                  <w14:solidFill>
                    <w14:schemeClr w14:val="tx1"/>
                  </w14:solidFill>
                </w14:textFill>
              </w:rPr>
              <w:t>—室内j声源i倍频带的声压级，dB；</w:t>
            </w:r>
          </w:p>
          <w:p w14:paraId="6A983055">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N—室内声源总数。</w:t>
            </w:r>
          </w:p>
          <w:p w14:paraId="4B569EBF">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在室内近似扩散声场时，按下式计算出室外围护结构处的声压级：</w:t>
            </w:r>
          </w:p>
          <w:p w14:paraId="1306389B">
            <w:pPr>
              <w:adjustRightInd w:val="0"/>
              <w:snapToGrid w:val="0"/>
              <w:spacing w:line="480" w:lineRule="exact"/>
              <w:ind w:firstLine="480"/>
              <w:jc w:val="center"/>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p2i</w:t>
            </w:r>
            <w:r>
              <w:rPr>
                <w:bCs/>
                <w:color w:val="000000" w:themeColor="text1"/>
                <w:kern w:val="0"/>
                <w:sz w:val="24"/>
                <w14:textFill>
                  <w14:solidFill>
                    <w14:schemeClr w14:val="tx1"/>
                  </w14:solidFill>
                </w14:textFill>
              </w:rPr>
              <w:t>（T）=L</w:t>
            </w:r>
            <w:r>
              <w:rPr>
                <w:bCs/>
                <w:color w:val="000000" w:themeColor="text1"/>
                <w:kern w:val="0"/>
                <w:sz w:val="24"/>
                <w:vertAlign w:val="subscript"/>
                <w14:textFill>
                  <w14:solidFill>
                    <w14:schemeClr w14:val="tx1"/>
                  </w14:solidFill>
                </w14:textFill>
              </w:rPr>
              <w:t>p1i</w:t>
            </w:r>
            <w:r>
              <w:rPr>
                <w:bCs/>
                <w:color w:val="000000" w:themeColor="text1"/>
                <w:kern w:val="0"/>
                <w:sz w:val="24"/>
                <w14:textFill>
                  <w14:solidFill>
                    <w14:schemeClr w14:val="tx1"/>
                  </w14:solidFill>
                </w14:textFill>
              </w:rPr>
              <w:t>（T）-（TL</w:t>
            </w:r>
            <w:r>
              <w:rPr>
                <w:bCs/>
                <w:color w:val="000000" w:themeColor="text1"/>
                <w:kern w:val="0"/>
                <w:sz w:val="24"/>
                <w:vertAlign w:val="subscript"/>
                <w14:textFill>
                  <w14:solidFill>
                    <w14:schemeClr w14:val="tx1"/>
                  </w14:solidFill>
                </w14:textFill>
              </w:rPr>
              <w:t>i</w:t>
            </w:r>
            <w:r>
              <w:rPr>
                <w:bCs/>
                <w:color w:val="000000" w:themeColor="text1"/>
                <w:kern w:val="0"/>
                <w:sz w:val="24"/>
                <w14:textFill>
                  <w14:solidFill>
                    <w14:schemeClr w14:val="tx1"/>
                  </w14:solidFill>
                </w14:textFill>
              </w:rPr>
              <w:t xml:space="preserve"> + 6）</w:t>
            </w:r>
          </w:p>
          <w:p w14:paraId="091F6CF6">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3B067A42">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p2i</w:t>
            </w:r>
            <w:r>
              <w:rPr>
                <w:bCs/>
                <w:color w:val="000000" w:themeColor="text1"/>
                <w:kern w:val="0"/>
                <w:sz w:val="24"/>
                <w14:textFill>
                  <w14:solidFill>
                    <w14:schemeClr w14:val="tx1"/>
                  </w14:solidFill>
                </w14:textFill>
              </w:rPr>
              <w:t>（T）</w:t>
            </w:r>
            <w:r>
              <w:rPr>
                <w:bCs/>
                <w:color w:val="000000" w:themeColor="text1"/>
                <w:kern w:val="0"/>
                <w:sz w:val="24"/>
                <w14:textFill>
                  <w14:solidFill>
                    <w14:schemeClr w14:val="tx1"/>
                  </w14:solidFill>
                </w14:textFill>
              </w:rPr>
              <w:softHyphen/>
            </w:r>
            <w:r>
              <w:rPr>
                <w:bCs/>
                <w:color w:val="000000" w:themeColor="text1"/>
                <w:kern w:val="0"/>
                <w:sz w:val="24"/>
                <w14:textFill>
                  <w14:solidFill>
                    <w14:schemeClr w14:val="tx1"/>
                  </w14:solidFill>
                </w14:textFill>
              </w:rPr>
              <w:softHyphen/>
            </w:r>
            <w:r>
              <w:rPr>
                <w:bCs/>
                <w:color w:val="000000" w:themeColor="text1"/>
                <w:kern w:val="0"/>
                <w:sz w:val="24"/>
                <w14:textFill>
                  <w14:solidFill>
                    <w14:schemeClr w14:val="tx1"/>
                  </w14:solidFill>
                </w14:textFill>
              </w:rPr>
              <w:t>—靠近围护结构处室外N个声源i倍频带的叠加声压级，dB；</w:t>
            </w:r>
          </w:p>
          <w:p w14:paraId="6EE75FF0">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p1i</w:t>
            </w:r>
            <w:r>
              <w:rPr>
                <w:bCs/>
                <w:color w:val="000000" w:themeColor="text1"/>
                <w:kern w:val="0"/>
                <w:sz w:val="24"/>
                <w14:textFill>
                  <w14:solidFill>
                    <w14:schemeClr w14:val="tx1"/>
                  </w14:solidFill>
                </w14:textFill>
              </w:rPr>
              <w:t>（T）—靠近围护结构处室内N个声源i倍频带的叠加声压级，dB；</w:t>
            </w:r>
          </w:p>
          <w:p w14:paraId="72065FD8">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Tl</w:t>
            </w:r>
            <w:r>
              <w:rPr>
                <w:bCs/>
                <w:color w:val="000000" w:themeColor="text1"/>
                <w:kern w:val="0"/>
                <w:sz w:val="24"/>
                <w:vertAlign w:val="subscript"/>
                <w14:textFill>
                  <w14:solidFill>
                    <w14:schemeClr w14:val="tx1"/>
                  </w14:solidFill>
                </w14:textFill>
              </w:rPr>
              <w:t>i</w:t>
            </w:r>
            <w:r>
              <w:rPr>
                <w:bCs/>
                <w:color w:val="000000" w:themeColor="text1"/>
                <w:kern w:val="0"/>
                <w:sz w:val="24"/>
                <w14:textFill>
                  <w14:solidFill>
                    <w14:schemeClr w14:val="tx1"/>
                  </w14:solidFill>
                </w14:textFill>
              </w:rPr>
              <w:t>—围护结构i被倍频带的隔声量，dB。</w:t>
            </w:r>
          </w:p>
          <w:p w14:paraId="7BBDDACB">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然后按照下式将室外声源的声压级和透过面积换算成等效的室外声源，计算出中心位置位于透声面积（S）处的等效声源的倍频带声功率级：</w:t>
            </w:r>
          </w:p>
          <w:p w14:paraId="48959121">
            <w:pPr>
              <w:adjustRightInd w:val="0"/>
              <w:snapToGrid w:val="0"/>
              <w:spacing w:line="480" w:lineRule="exact"/>
              <w:ind w:firstLine="480"/>
              <w:jc w:val="center"/>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w</w:t>
            </w: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p2</w:t>
            </w:r>
            <w:r>
              <w:rPr>
                <w:bCs/>
                <w:color w:val="000000" w:themeColor="text1"/>
                <w:kern w:val="0"/>
                <w:sz w:val="24"/>
                <w14:textFill>
                  <w14:solidFill>
                    <w14:schemeClr w14:val="tx1"/>
                  </w14:solidFill>
                </w14:textFill>
              </w:rPr>
              <w:t>（T）+10lgS</w:t>
            </w:r>
          </w:p>
          <w:p w14:paraId="2E2A852B">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4C898A5E">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w</w:t>
            </w:r>
            <w:r>
              <w:rPr>
                <w:bCs/>
                <w:color w:val="000000" w:themeColor="text1"/>
                <w:kern w:val="0"/>
                <w:sz w:val="24"/>
                <w14:textFill>
                  <w14:solidFill>
                    <w14:schemeClr w14:val="tx1"/>
                  </w14:solidFill>
                </w14:textFill>
              </w:rPr>
              <w:t>—中心位置位于透声面积（S）处的等效声源的倍频带声功率级。dB；</w:t>
            </w:r>
          </w:p>
          <w:p w14:paraId="4249D8DE">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p2</w:t>
            </w:r>
            <w:r>
              <w:rPr>
                <w:bCs/>
                <w:color w:val="000000" w:themeColor="text1"/>
                <w:kern w:val="0"/>
                <w:sz w:val="24"/>
                <w14:textFill>
                  <w14:solidFill>
                    <w14:schemeClr w14:val="tx1"/>
                  </w14:solidFill>
                </w14:textFill>
              </w:rPr>
              <w:t>（T）—靠近围护结构处室外声源的声压级，dB；</w:t>
            </w:r>
          </w:p>
          <w:p w14:paraId="076C17CE">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S—透声面积，m</w:t>
            </w:r>
            <w:r>
              <w:rPr>
                <w:bCs/>
                <w:color w:val="000000" w:themeColor="text1"/>
                <w:kern w:val="0"/>
                <w:sz w:val="24"/>
                <w:vertAlign w:val="superscript"/>
                <w14:textFill>
                  <w14:solidFill>
                    <w14:schemeClr w14:val="tx1"/>
                  </w14:solidFill>
                </w14:textFill>
              </w:rPr>
              <w:t>2</w:t>
            </w:r>
            <w:r>
              <w:rPr>
                <w:bCs/>
                <w:color w:val="000000" w:themeColor="text1"/>
                <w:kern w:val="0"/>
                <w:sz w:val="24"/>
                <w14:textFill>
                  <w14:solidFill>
                    <w14:schemeClr w14:val="tx1"/>
                  </w14:solidFill>
                </w14:textFill>
              </w:rPr>
              <w:t>。</w:t>
            </w:r>
          </w:p>
          <w:p w14:paraId="046134AF">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然后按照下式计算出预测点A声级：</w:t>
            </w:r>
          </w:p>
          <w:p w14:paraId="45C39627">
            <w:pPr>
              <w:adjustRightInd w:val="0"/>
              <w:snapToGrid w:val="0"/>
              <w:spacing w:line="360" w:lineRule="auto"/>
              <w:ind w:firstLine="480"/>
              <w:rPr>
                <w:bCs/>
                <w:iCs/>
                <w:color w:val="000000" w:themeColor="text1"/>
                <w:kern w:val="0"/>
                <w:sz w:val="24"/>
                <w14:textFill>
                  <w14:solidFill>
                    <w14:schemeClr w14:val="tx1"/>
                  </w14:solidFill>
                </w14:textFill>
              </w:rPr>
            </w:pPr>
            <m:oMathPara>
              <m:oMath>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A</m:t>
                    </m:r>
                    <m:ctrlPr>
                      <w:rPr>
                        <w:rFonts w:ascii="Cambria Math" w:hAnsi="Cambria Math"/>
                        <w:bCs/>
                        <w:iCs/>
                        <w:color w:val="000000" w:themeColor="text1"/>
                        <w:kern w:val="0"/>
                        <w:sz w:val="24"/>
                        <w14:textFill>
                          <w14:solidFill>
                            <w14:schemeClr w14:val="tx1"/>
                          </w14:solidFill>
                        </w14:textFill>
                      </w:rPr>
                    </m:ctrlPr>
                  </m:sub>
                </m:sSub>
                <m:d>
                  <m:dPr>
                    <m:ctrlPr>
                      <w:rPr>
                        <w:rFonts w:ascii="Cambria Math" w:hAnsi="Cambria Math"/>
                        <w:bCs/>
                        <w:iCs/>
                        <w:color w:val="000000" w:themeColor="text1"/>
                        <w:kern w:val="0"/>
                        <w:sz w:val="24"/>
                        <w14:textFill>
                          <w14:solidFill>
                            <w14:schemeClr w14:val="tx1"/>
                          </w14:solidFill>
                        </w14:textFill>
                      </w:rPr>
                    </m:ctrlPr>
                  </m:dPr>
                  <m:e>
                    <m:r>
                      <m:rPr>
                        <m:sty m:val="p"/>
                      </m:rPr>
                      <w:rPr>
                        <w:rFonts w:ascii="Cambria Math" w:hAnsi="Cambria Math"/>
                        <w:color w:val="000000" w:themeColor="text1"/>
                        <w:kern w:val="0"/>
                        <w:sz w:val="24"/>
                        <w14:textFill>
                          <w14:solidFill>
                            <w14:schemeClr w14:val="tx1"/>
                          </w14:solidFill>
                        </w14:textFill>
                      </w:rPr>
                      <m:t>r</m:t>
                    </m:r>
                    <m:ctrlPr>
                      <w:rPr>
                        <w:rFonts w:ascii="Cambria Math" w:hAnsi="Cambria Math"/>
                        <w:bCs/>
                        <w:iCs/>
                        <w:color w:val="000000" w:themeColor="text1"/>
                        <w:kern w:val="0"/>
                        <w:sz w:val="24"/>
                        <w14:textFill>
                          <w14:solidFill>
                            <w14:schemeClr w14:val="tx1"/>
                          </w14:solidFill>
                        </w14:textFill>
                      </w:rPr>
                    </m:ctrlPr>
                  </m:e>
                </m:d>
                <m:r>
                  <m:rPr>
                    <m:sty m:val="p"/>
                  </m:rPr>
                  <w:rPr>
                    <w:rFonts w:ascii="Cambria Math" w:hAnsi="Cambria Math"/>
                    <w:color w:val="000000" w:themeColor="text1"/>
                    <w:kern w:val="0"/>
                    <w:sz w:val="24"/>
                    <w14:textFill>
                      <w14:solidFill>
                        <w14:schemeClr w14:val="tx1"/>
                      </w14:solidFill>
                    </w14:textFill>
                  </w:rPr>
                  <m:t>=10lg⁡｛</m:t>
                </m:r>
                <m:nary>
                  <m:naryPr>
                    <m:chr m:val="∑"/>
                    <m:limLoc m:val="undOvr"/>
                    <m:ctrlPr>
                      <w:rPr>
                        <w:rFonts w:ascii="Cambria Math" w:hAnsi="Cambria Math"/>
                        <w:bCs/>
                        <w:iCs/>
                        <w:color w:val="000000" w:themeColor="text1"/>
                        <w:kern w:val="0"/>
                        <w:sz w:val="24"/>
                        <w14:textFill>
                          <w14:solidFill>
                            <w14:schemeClr w14:val="tx1"/>
                          </w14:solidFill>
                        </w14:textFill>
                      </w:rPr>
                    </m:ctrlPr>
                  </m:naryPr>
                  <m:sub>
                    <m:r>
                      <m:rPr>
                        <m:sty m:val="p"/>
                      </m:rPr>
                      <w:rPr>
                        <w:rFonts w:ascii="Cambria Math" w:hAnsi="Cambria Math"/>
                        <w:color w:val="000000" w:themeColor="text1"/>
                        <w:kern w:val="0"/>
                        <w:sz w:val="24"/>
                        <w14:textFill>
                          <w14:solidFill>
                            <w14:schemeClr w14:val="tx1"/>
                          </w14:solidFill>
                        </w14:textFill>
                      </w:rPr>
                      <m:t>i=1</m:t>
                    </m:r>
                    <m:ctrlPr>
                      <w:rPr>
                        <w:rFonts w:ascii="Cambria Math" w:hAnsi="Cambria Math"/>
                        <w:bCs/>
                        <w:iCs/>
                        <w:color w:val="000000" w:themeColor="text1"/>
                        <w:kern w:val="0"/>
                        <w:sz w:val="24"/>
                        <w14:textFill>
                          <w14:solidFill>
                            <w14:schemeClr w14:val="tx1"/>
                          </w14:solidFill>
                        </w14:textFill>
                      </w:rPr>
                    </m:ctrlPr>
                  </m:sub>
                  <m:sup>
                    <m:r>
                      <m:rPr>
                        <m:sty m:val="p"/>
                      </m:rPr>
                      <w:rPr>
                        <w:rFonts w:ascii="Cambria Math" w:hAnsi="Cambria Math"/>
                        <w:color w:val="000000" w:themeColor="text1"/>
                        <w:kern w:val="0"/>
                        <w:sz w:val="24"/>
                        <w14:textFill>
                          <w14:solidFill>
                            <w14:schemeClr w14:val="tx1"/>
                          </w14:solidFill>
                        </w14:textFill>
                      </w:rPr>
                      <m:t>8</m:t>
                    </m:r>
                    <m:ctrlPr>
                      <w:rPr>
                        <w:rFonts w:ascii="Cambria Math" w:hAnsi="Cambria Math"/>
                        <w:bCs/>
                        <w:iCs/>
                        <w:color w:val="000000" w:themeColor="text1"/>
                        <w:kern w:val="0"/>
                        <w:sz w:val="24"/>
                        <w14:textFill>
                          <w14:solidFill>
                            <w14:schemeClr w14:val="tx1"/>
                          </w14:solidFill>
                        </w14:textFill>
                      </w:rPr>
                    </m:ctrlPr>
                  </m:sup>
                  <m:e>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10</m:t>
                        </m:r>
                        <m:ctrlPr>
                          <w:rPr>
                            <w:rFonts w:ascii="Cambria Math" w:hAnsi="Cambria Math"/>
                            <w:bCs/>
                            <w:iCs/>
                            <w:color w:val="000000" w:themeColor="text1"/>
                            <w:kern w:val="0"/>
                            <w:sz w:val="24"/>
                            <w14:textFill>
                              <w14:solidFill>
                                <w14:schemeClr w14:val="tx1"/>
                              </w14:solidFill>
                            </w14:textFill>
                          </w:rPr>
                        </m:ctrlPr>
                      </m:e>
                      <m:sup>
                        <m:r>
                          <m:rPr>
                            <m:sty m:val="p"/>
                          </m:rPr>
                          <w:rPr>
                            <w:rFonts w:ascii="Cambria Math" w:hAnsi="Cambria Math"/>
                            <w:color w:val="000000" w:themeColor="text1"/>
                            <w:kern w:val="0"/>
                            <w:sz w:val="24"/>
                            <w14:textFill>
                              <w14:solidFill>
                                <w14:schemeClr w14:val="tx1"/>
                              </w14:solidFill>
                            </w14:textFill>
                          </w:rPr>
                          <m:t>0.1[</m:t>
                        </m:r>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pi</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(r)−</m:t>
                        </m:r>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i</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m:t>
                        </m:r>
                        <m:ctrlPr>
                          <w:rPr>
                            <w:rFonts w:ascii="Cambria Math" w:hAnsi="Cambria Math"/>
                            <w:bCs/>
                            <w:iCs/>
                            <w:color w:val="000000" w:themeColor="text1"/>
                            <w:kern w:val="0"/>
                            <w:sz w:val="24"/>
                            <w14:textFill>
                              <w14:solidFill>
                                <w14:schemeClr w14:val="tx1"/>
                              </w14:solidFill>
                            </w14:textFill>
                          </w:rPr>
                        </m:ctrlPr>
                      </m:sup>
                    </m:sSup>
                    <m:ctrlPr>
                      <w:rPr>
                        <w:rFonts w:ascii="Cambria Math" w:hAnsi="Cambria Math"/>
                        <w:bCs/>
                        <w:iCs/>
                        <w:color w:val="000000" w:themeColor="text1"/>
                        <w:kern w:val="0"/>
                        <w:sz w:val="24"/>
                        <w14:textFill>
                          <w14:solidFill>
                            <w14:schemeClr w14:val="tx1"/>
                          </w14:solidFill>
                        </w14:textFill>
                      </w:rPr>
                    </m:ctrlPr>
                  </m:e>
                </m:nary>
                <m:r>
                  <m:rPr>
                    <m:sty m:val="p"/>
                  </m:rPr>
                  <w:rPr>
                    <w:rFonts w:ascii="Cambria Math" w:hAnsi="Cambria Math"/>
                    <w:color w:val="000000" w:themeColor="text1"/>
                    <w:kern w:val="0"/>
                    <w:sz w:val="24"/>
                    <w14:textFill>
                      <w14:solidFill>
                        <w14:schemeClr w14:val="tx1"/>
                      </w14:solidFill>
                    </w14:textFill>
                  </w:rPr>
                  <m:t>｝</m:t>
                </m:r>
              </m:oMath>
            </m:oMathPara>
          </w:p>
          <w:p w14:paraId="6EDE56CB">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562F14AD">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A</w:t>
            </w:r>
            <w:r>
              <w:rPr>
                <w:bCs/>
                <w:color w:val="000000" w:themeColor="text1"/>
                <w:kern w:val="0"/>
                <w:sz w:val="24"/>
                <w14:textFill>
                  <w14:solidFill>
                    <w14:schemeClr w14:val="tx1"/>
                  </w14:solidFill>
                </w14:textFill>
              </w:rPr>
              <w:t>（r）—距点声源r处的A声级，dB（A）；</w:t>
            </w:r>
          </w:p>
          <w:p w14:paraId="5EEC1C10">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pi</w:t>
            </w:r>
            <w:r>
              <w:rPr>
                <w:bCs/>
                <w:color w:val="000000" w:themeColor="text1"/>
                <w:kern w:val="0"/>
                <w:sz w:val="24"/>
                <w14:textFill>
                  <w14:solidFill>
                    <w14:schemeClr w14:val="tx1"/>
                  </w14:solidFill>
                </w14:textFill>
              </w:rPr>
              <w:t>（r）—预测点（r）处，第i倍频带声压级，dB；</w:t>
            </w:r>
          </w:p>
          <w:p w14:paraId="3FB45C95">
            <w:pPr>
              <w:adjustRightInd w:val="0"/>
              <w:snapToGrid w:val="0"/>
              <w:spacing w:line="480" w:lineRule="exact"/>
              <w:ind w:firstLine="960" w:firstLineChars="400"/>
              <w:rPr>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i</w:t>
            </w:r>
            <w:r>
              <w:rPr>
                <w:bCs/>
                <w:color w:val="000000" w:themeColor="text1"/>
                <w:kern w:val="0"/>
                <w:sz w:val="24"/>
                <w14:textFill>
                  <w14:solidFill>
                    <w14:schemeClr w14:val="tx1"/>
                  </w14:solidFill>
                </w14:textFill>
              </w:rPr>
              <w:t>—第i倍频带的A计权网络修正值，dB。</w:t>
            </w:r>
          </w:p>
          <w:p w14:paraId="181FBD2D">
            <w:pPr>
              <w:adjustRightInd w:val="0"/>
              <w:snapToGrid w:val="0"/>
              <w:spacing w:line="480" w:lineRule="exact"/>
              <w:ind w:firstLine="480"/>
              <w:jc w:val="center"/>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A</w:t>
            </w:r>
            <w:r>
              <w:rPr>
                <w:bCs/>
                <w:color w:val="000000" w:themeColor="text1"/>
                <w:kern w:val="0"/>
                <w:sz w:val="24"/>
                <w14:textFill>
                  <w14:solidFill>
                    <w14:schemeClr w14:val="tx1"/>
                  </w14:solidFill>
                </w14:textFill>
              </w:rPr>
              <w:t>（r）=L</w:t>
            </w:r>
            <w:r>
              <w:rPr>
                <w:bCs/>
                <w:color w:val="000000" w:themeColor="text1"/>
                <w:kern w:val="0"/>
                <w:sz w:val="24"/>
                <w:vertAlign w:val="subscript"/>
                <w14:textFill>
                  <w14:solidFill>
                    <w14:schemeClr w14:val="tx1"/>
                  </w14:solidFill>
                </w14:textFill>
              </w:rPr>
              <w:t xml:space="preserve">AW </w:t>
            </w:r>
            <w:r>
              <w:rPr>
                <w:bCs/>
                <w:color w:val="000000" w:themeColor="text1"/>
                <w:kern w:val="0"/>
                <w:sz w:val="24"/>
                <w14:textFill>
                  <w14:solidFill>
                    <w14:schemeClr w14:val="tx1"/>
                  </w14:solidFill>
                </w14:textFill>
              </w:rPr>
              <w:t>- 20lgr</w:t>
            </w:r>
            <w:r>
              <w:rPr>
                <w:bCs/>
                <w:color w:val="000000" w:themeColor="text1"/>
                <w:kern w:val="0"/>
                <w:sz w:val="24"/>
                <w14:textFill>
                  <w14:solidFill>
                    <w14:schemeClr w14:val="tx1"/>
                  </w14:solidFill>
                </w14:textFill>
              </w:rPr>
              <w:softHyphen/>
            </w:r>
            <w:r>
              <w:rPr>
                <w:bCs/>
                <w:color w:val="000000" w:themeColor="text1"/>
                <w:kern w:val="0"/>
                <w:sz w:val="24"/>
                <w14:textFill>
                  <w14:solidFill>
                    <w14:schemeClr w14:val="tx1"/>
                  </w14:solidFill>
                </w14:textFill>
              </w:rPr>
              <w:t xml:space="preserve"> - 8</w:t>
            </w:r>
          </w:p>
          <w:p w14:paraId="244A7B85">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0D6AEFDF">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A</w:t>
            </w:r>
            <w:r>
              <w:rPr>
                <w:bCs/>
                <w:color w:val="000000" w:themeColor="text1"/>
                <w:kern w:val="0"/>
                <w:sz w:val="24"/>
                <w14:textFill>
                  <w14:solidFill>
                    <w14:schemeClr w14:val="tx1"/>
                  </w14:solidFill>
                </w14:textFill>
              </w:rPr>
              <w:t>（r）—距声源r处的A声级，dB(A)；</w:t>
            </w:r>
          </w:p>
          <w:p w14:paraId="78F34FCD">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AW</w:t>
            </w:r>
            <w:r>
              <w:rPr>
                <w:bCs/>
                <w:color w:val="000000" w:themeColor="text1"/>
                <w:kern w:val="0"/>
                <w:sz w:val="24"/>
                <w14:textFill>
                  <w14:solidFill>
                    <w14:schemeClr w14:val="tx1"/>
                  </w14:solidFill>
                </w14:textFill>
              </w:rPr>
              <w:t>—点声源A计权声功率级，dB；</w:t>
            </w:r>
          </w:p>
          <w:p w14:paraId="04E536EA">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r—预测点距声源的距离。</w:t>
            </w:r>
          </w:p>
          <w:p w14:paraId="7F2477B7">
            <w:pPr>
              <w:adjustRightInd w:val="0"/>
              <w:snapToGrid w:val="0"/>
              <w:spacing w:line="48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（3）工业企业噪声计算</w:t>
            </w:r>
          </w:p>
          <w:p w14:paraId="3C646BF5">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如下式计算：</w:t>
            </w:r>
          </w:p>
          <w:p w14:paraId="066BFEBF">
            <w:pPr>
              <w:adjustRightInd w:val="0"/>
              <w:snapToGrid w:val="0"/>
              <w:spacing w:line="360" w:lineRule="auto"/>
              <w:ind w:firstLine="480" w:firstLineChars="200"/>
              <w:rPr>
                <w:bCs/>
                <w:iCs/>
                <w:color w:val="000000" w:themeColor="text1"/>
                <w:kern w:val="0"/>
                <w:sz w:val="24"/>
                <w14:textFill>
                  <w14:solidFill>
                    <w14:schemeClr w14:val="tx1"/>
                  </w14:solidFill>
                </w14:textFill>
              </w:rPr>
            </w:pPr>
            <m:oMathPara>
              <m:oMath>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eqg</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=10lg⁡[</m:t>
                </m:r>
                <m:f>
                  <m:fPr>
                    <m:ctrlPr>
                      <w:rPr>
                        <w:rFonts w:ascii="Cambria Math" w:hAnsi="Cambria Math"/>
                        <w:bCs/>
                        <w:iCs/>
                        <w:color w:val="000000" w:themeColor="text1"/>
                        <w:kern w:val="0"/>
                        <w:sz w:val="24"/>
                        <w14:textFill>
                          <w14:solidFill>
                            <w14:schemeClr w14:val="tx1"/>
                          </w14:solidFill>
                        </w14:textFill>
                      </w:rPr>
                    </m:ctrlPr>
                  </m:fPr>
                  <m:num>
                    <m:r>
                      <m:rPr>
                        <m:sty m:val="p"/>
                      </m:rPr>
                      <w:rPr>
                        <w:rFonts w:ascii="Cambria Math" w:hAnsi="Cambria Math"/>
                        <w:color w:val="000000" w:themeColor="text1"/>
                        <w:kern w:val="0"/>
                        <w:sz w:val="24"/>
                        <w14:textFill>
                          <w14:solidFill>
                            <w14:schemeClr w14:val="tx1"/>
                          </w14:solidFill>
                        </w14:textFill>
                      </w:rPr>
                      <m:t>1</m:t>
                    </m:r>
                    <m:ctrlPr>
                      <w:rPr>
                        <w:rFonts w:ascii="Cambria Math" w:hAnsi="Cambria Math"/>
                        <w:bCs/>
                        <w:iCs/>
                        <w:color w:val="000000" w:themeColor="text1"/>
                        <w:kern w:val="0"/>
                        <w:sz w:val="24"/>
                        <w14:textFill>
                          <w14:solidFill>
                            <w14:schemeClr w14:val="tx1"/>
                          </w14:solidFill>
                        </w14:textFill>
                      </w:rPr>
                    </m:ctrlPr>
                  </m:num>
                  <m:den>
                    <m:r>
                      <m:rPr>
                        <m:sty m:val="p"/>
                      </m:rPr>
                      <w:rPr>
                        <w:rFonts w:ascii="Cambria Math" w:hAnsi="Cambria Math"/>
                        <w:color w:val="000000" w:themeColor="text1"/>
                        <w:kern w:val="0"/>
                        <w:sz w:val="24"/>
                        <w14:textFill>
                          <w14:solidFill>
                            <w14:schemeClr w14:val="tx1"/>
                          </w14:solidFill>
                        </w14:textFill>
                      </w:rPr>
                      <m:t>T</m:t>
                    </m:r>
                    <m:ctrlPr>
                      <w:rPr>
                        <w:rFonts w:ascii="Cambria Math" w:hAnsi="Cambria Math"/>
                        <w:bCs/>
                        <w:iCs/>
                        <w:color w:val="000000" w:themeColor="text1"/>
                        <w:kern w:val="0"/>
                        <w:sz w:val="24"/>
                        <w14:textFill>
                          <w14:solidFill>
                            <w14:schemeClr w14:val="tx1"/>
                          </w14:solidFill>
                        </w14:textFill>
                      </w:rPr>
                    </m:ctrlPr>
                  </m:den>
                </m:f>
                <m:r>
                  <m:rPr>
                    <m:sty m:val="p"/>
                  </m:rPr>
                  <w:rPr>
                    <w:rFonts w:ascii="Cambria Math" w:hAnsi="Cambria Math"/>
                    <w:color w:val="000000" w:themeColor="text1"/>
                    <w:kern w:val="0"/>
                    <w:sz w:val="24"/>
                    <w14:textFill>
                      <w14:solidFill>
                        <w14:schemeClr w14:val="tx1"/>
                      </w14:solidFill>
                    </w14:textFill>
                  </w:rPr>
                  <m:t>（</m:t>
                </m:r>
                <m:nary>
                  <m:naryPr>
                    <m:chr m:val="∑"/>
                    <m:limLoc m:val="undOvr"/>
                    <m:ctrlPr>
                      <w:rPr>
                        <w:rFonts w:ascii="Cambria Math" w:hAnsi="Cambria Math"/>
                        <w:bCs/>
                        <w:iCs/>
                        <w:color w:val="000000" w:themeColor="text1"/>
                        <w:kern w:val="0"/>
                        <w:sz w:val="24"/>
                        <w14:textFill>
                          <w14:solidFill>
                            <w14:schemeClr w14:val="tx1"/>
                          </w14:solidFill>
                        </w14:textFill>
                      </w:rPr>
                    </m:ctrlPr>
                  </m:naryPr>
                  <m:sub>
                    <m:r>
                      <m:rPr>
                        <m:sty m:val="p"/>
                      </m:rPr>
                      <w:rPr>
                        <w:rFonts w:ascii="Cambria Math" w:hAnsi="Cambria Math"/>
                        <w:color w:val="000000" w:themeColor="text1"/>
                        <w:kern w:val="0"/>
                        <w:sz w:val="24"/>
                        <w14:textFill>
                          <w14:solidFill>
                            <w14:schemeClr w14:val="tx1"/>
                          </w14:solidFill>
                        </w14:textFill>
                      </w:rPr>
                      <m:t>i=1</m:t>
                    </m:r>
                    <m:ctrlPr>
                      <w:rPr>
                        <w:rFonts w:ascii="Cambria Math" w:hAnsi="Cambria Math"/>
                        <w:bCs/>
                        <w:iCs/>
                        <w:color w:val="000000" w:themeColor="text1"/>
                        <w:kern w:val="0"/>
                        <w:sz w:val="24"/>
                        <w14:textFill>
                          <w14:solidFill>
                            <w14:schemeClr w14:val="tx1"/>
                          </w14:solidFill>
                        </w14:textFill>
                      </w:rPr>
                    </m:ctrlPr>
                  </m:sub>
                  <m:sup>
                    <m:r>
                      <m:rPr>
                        <m:sty m:val="p"/>
                      </m:rPr>
                      <w:rPr>
                        <w:rFonts w:ascii="Cambria Math" w:hAnsi="Cambria Math"/>
                        <w:color w:val="000000" w:themeColor="text1"/>
                        <w:kern w:val="0"/>
                        <w:sz w:val="24"/>
                        <w14:textFill>
                          <w14:solidFill>
                            <w14:schemeClr w14:val="tx1"/>
                          </w14:solidFill>
                        </w14:textFill>
                      </w:rPr>
                      <m:t>N</m:t>
                    </m:r>
                    <m:ctrlPr>
                      <w:rPr>
                        <w:rFonts w:ascii="Cambria Math" w:hAnsi="Cambria Math"/>
                        <w:bCs/>
                        <w:iCs/>
                        <w:color w:val="000000" w:themeColor="text1"/>
                        <w:kern w:val="0"/>
                        <w:sz w:val="24"/>
                        <w14:textFill>
                          <w14:solidFill>
                            <w14:schemeClr w14:val="tx1"/>
                          </w14:solidFill>
                        </w14:textFill>
                      </w:rPr>
                    </m:ctrlPr>
                  </m:sup>
                  <m:e>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t</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i</m:t>
                        </m:r>
                        <m:ctrlPr>
                          <w:rPr>
                            <w:rFonts w:ascii="Cambria Math" w:hAnsi="Cambria Math"/>
                            <w:bCs/>
                            <w:iCs/>
                            <w:color w:val="000000" w:themeColor="text1"/>
                            <w:kern w:val="0"/>
                            <w:sz w:val="24"/>
                            <w14:textFill>
                              <w14:solidFill>
                                <w14:schemeClr w14:val="tx1"/>
                              </w14:solidFill>
                            </w14:textFill>
                          </w:rPr>
                        </m:ctrlPr>
                      </m:sub>
                    </m:sSub>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10</m:t>
                        </m:r>
                        <m:ctrlPr>
                          <w:rPr>
                            <w:rFonts w:ascii="Cambria Math" w:hAnsi="Cambria Math"/>
                            <w:bCs/>
                            <w:iCs/>
                            <w:color w:val="000000" w:themeColor="text1"/>
                            <w:kern w:val="0"/>
                            <w:sz w:val="24"/>
                            <w14:textFill>
                              <w14:solidFill>
                                <w14:schemeClr w14:val="tx1"/>
                              </w14:solidFill>
                            </w14:textFill>
                          </w:rPr>
                        </m:ctrlPr>
                      </m:e>
                      <m:sup>
                        <m:r>
                          <m:rPr>
                            <m:sty m:val="p"/>
                          </m:rPr>
                          <w:rPr>
                            <w:rFonts w:ascii="Cambria Math" w:hAnsi="Cambria Math"/>
                            <w:color w:val="000000" w:themeColor="text1"/>
                            <w:kern w:val="0"/>
                            <w:sz w:val="24"/>
                            <w14:textFill>
                              <w14:solidFill>
                                <w14:schemeClr w14:val="tx1"/>
                              </w14:solidFill>
                            </w14:textFill>
                          </w:rPr>
                          <m:t>0.1</m:t>
                        </m:r>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Ai</m:t>
                            </m:r>
                            <m:ctrlPr>
                              <w:rPr>
                                <w:rFonts w:ascii="Cambria Math" w:hAnsi="Cambria Math"/>
                                <w:bCs/>
                                <w:iCs/>
                                <w:color w:val="000000" w:themeColor="text1"/>
                                <w:kern w:val="0"/>
                                <w:sz w:val="24"/>
                                <w14:textFill>
                                  <w14:solidFill>
                                    <w14:schemeClr w14:val="tx1"/>
                                  </w14:solidFill>
                                </w14:textFill>
                              </w:rPr>
                            </m:ctrlPr>
                          </m:sub>
                        </m:sSub>
                        <m:ctrlPr>
                          <w:rPr>
                            <w:rFonts w:ascii="Cambria Math" w:hAnsi="Cambria Math"/>
                            <w:bCs/>
                            <w:iCs/>
                            <w:color w:val="000000" w:themeColor="text1"/>
                            <w:kern w:val="0"/>
                            <w:sz w:val="24"/>
                            <w14:textFill>
                              <w14:solidFill>
                                <w14:schemeClr w14:val="tx1"/>
                              </w14:solidFill>
                            </w14:textFill>
                          </w:rPr>
                        </m:ctrlPr>
                      </m:sup>
                    </m:sSup>
                    <m:ctrlPr>
                      <w:rPr>
                        <w:rFonts w:ascii="Cambria Math" w:hAnsi="Cambria Math"/>
                        <w:bCs/>
                        <w:iCs/>
                        <w:color w:val="000000" w:themeColor="text1"/>
                        <w:kern w:val="0"/>
                        <w:sz w:val="24"/>
                        <w14:textFill>
                          <w14:solidFill>
                            <w14:schemeClr w14:val="tx1"/>
                          </w14:solidFill>
                        </w14:textFill>
                      </w:rPr>
                    </m:ctrlPr>
                  </m:e>
                </m:nary>
                <m:r>
                  <m:rPr>
                    <m:sty m:val="p"/>
                  </m:rPr>
                  <w:rPr>
                    <w:rFonts w:ascii="Cambria Math" w:hAnsi="Cambria Math"/>
                    <w:color w:val="000000" w:themeColor="text1"/>
                    <w:kern w:val="0"/>
                    <w:sz w:val="24"/>
                    <w14:textFill>
                      <w14:solidFill>
                        <w14:schemeClr w14:val="tx1"/>
                      </w14:solidFill>
                    </w14:textFill>
                  </w:rPr>
                  <m:t>+</m:t>
                </m:r>
                <m:nary>
                  <m:naryPr>
                    <m:chr m:val="∑"/>
                    <m:limLoc m:val="undOvr"/>
                    <m:ctrlPr>
                      <w:rPr>
                        <w:rFonts w:ascii="Cambria Math" w:hAnsi="Cambria Math"/>
                        <w:bCs/>
                        <w:iCs/>
                        <w:color w:val="000000" w:themeColor="text1"/>
                        <w:kern w:val="0"/>
                        <w:sz w:val="24"/>
                        <w14:textFill>
                          <w14:solidFill>
                            <w14:schemeClr w14:val="tx1"/>
                          </w14:solidFill>
                        </w14:textFill>
                      </w:rPr>
                    </m:ctrlPr>
                  </m:naryPr>
                  <m:sub>
                    <m:r>
                      <m:rPr>
                        <m:sty m:val="p"/>
                      </m:rPr>
                      <w:rPr>
                        <w:rFonts w:ascii="Cambria Math" w:hAnsi="Cambria Math"/>
                        <w:color w:val="000000" w:themeColor="text1"/>
                        <w:kern w:val="0"/>
                        <w:sz w:val="24"/>
                        <w14:textFill>
                          <w14:solidFill>
                            <w14:schemeClr w14:val="tx1"/>
                          </w14:solidFill>
                        </w14:textFill>
                      </w:rPr>
                      <m:t>j=1</m:t>
                    </m:r>
                    <m:ctrlPr>
                      <w:rPr>
                        <w:rFonts w:ascii="Cambria Math" w:hAnsi="Cambria Math"/>
                        <w:bCs/>
                        <w:iCs/>
                        <w:color w:val="000000" w:themeColor="text1"/>
                        <w:kern w:val="0"/>
                        <w:sz w:val="24"/>
                        <w14:textFill>
                          <w14:solidFill>
                            <w14:schemeClr w14:val="tx1"/>
                          </w14:solidFill>
                        </w14:textFill>
                      </w:rPr>
                    </m:ctrlPr>
                  </m:sub>
                  <m:sup>
                    <m:r>
                      <m:rPr>
                        <m:sty m:val="p"/>
                      </m:rPr>
                      <w:rPr>
                        <w:rFonts w:ascii="Cambria Math" w:hAnsi="Cambria Math"/>
                        <w:color w:val="000000" w:themeColor="text1"/>
                        <w:kern w:val="0"/>
                        <w:sz w:val="24"/>
                        <w14:textFill>
                          <w14:solidFill>
                            <w14:schemeClr w14:val="tx1"/>
                          </w14:solidFill>
                        </w14:textFill>
                      </w:rPr>
                      <m:t>M</m:t>
                    </m:r>
                    <m:ctrlPr>
                      <w:rPr>
                        <w:rFonts w:ascii="Cambria Math" w:hAnsi="Cambria Math"/>
                        <w:bCs/>
                        <w:iCs/>
                        <w:color w:val="000000" w:themeColor="text1"/>
                        <w:kern w:val="0"/>
                        <w:sz w:val="24"/>
                        <w14:textFill>
                          <w14:solidFill>
                            <w14:schemeClr w14:val="tx1"/>
                          </w14:solidFill>
                        </w14:textFill>
                      </w:rPr>
                    </m:ctrlPr>
                  </m:sup>
                  <m:e>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t</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j</m:t>
                        </m:r>
                        <m:ctrlPr>
                          <w:rPr>
                            <w:rFonts w:ascii="Cambria Math" w:hAnsi="Cambria Math"/>
                            <w:bCs/>
                            <w:iCs/>
                            <w:color w:val="000000" w:themeColor="text1"/>
                            <w:kern w:val="0"/>
                            <w:sz w:val="24"/>
                            <w14:textFill>
                              <w14:solidFill>
                                <w14:schemeClr w14:val="tx1"/>
                              </w14:solidFill>
                            </w14:textFill>
                          </w:rPr>
                        </m:ctrlPr>
                      </m:sub>
                    </m:sSub>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10</m:t>
                        </m:r>
                        <m:ctrlPr>
                          <w:rPr>
                            <w:rFonts w:ascii="Cambria Math" w:hAnsi="Cambria Math"/>
                            <w:bCs/>
                            <w:iCs/>
                            <w:color w:val="000000" w:themeColor="text1"/>
                            <w:kern w:val="0"/>
                            <w:sz w:val="24"/>
                            <w14:textFill>
                              <w14:solidFill>
                                <w14:schemeClr w14:val="tx1"/>
                              </w14:solidFill>
                            </w14:textFill>
                          </w:rPr>
                        </m:ctrlPr>
                      </m:e>
                      <m:sup>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0.1L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Aj</m:t>
                            </m:r>
                            <m:ctrlPr>
                              <w:rPr>
                                <w:rFonts w:ascii="Cambria Math" w:hAnsi="Cambria Math"/>
                                <w:bCs/>
                                <w:iCs/>
                                <w:color w:val="000000" w:themeColor="text1"/>
                                <w:kern w:val="0"/>
                                <w:sz w:val="24"/>
                                <w14:textFill>
                                  <w14:solidFill>
                                    <w14:schemeClr w14:val="tx1"/>
                                  </w14:solidFill>
                                </w14:textFill>
                              </w:rPr>
                            </m:ctrlPr>
                          </m:sub>
                        </m:sSub>
                        <m:ctrlPr>
                          <w:rPr>
                            <w:rFonts w:ascii="Cambria Math" w:hAnsi="Cambria Math"/>
                            <w:bCs/>
                            <w:iCs/>
                            <w:color w:val="000000" w:themeColor="text1"/>
                            <w:kern w:val="0"/>
                            <w:sz w:val="24"/>
                            <w14:textFill>
                              <w14:solidFill>
                                <w14:schemeClr w14:val="tx1"/>
                              </w14:solidFill>
                            </w14:textFill>
                          </w:rPr>
                        </m:ctrlPr>
                      </m:sup>
                    </m:sSup>
                    <m:ctrlPr>
                      <w:rPr>
                        <w:rFonts w:ascii="Cambria Math" w:hAnsi="Cambria Math"/>
                        <w:bCs/>
                        <w:iCs/>
                        <w:color w:val="000000" w:themeColor="text1"/>
                        <w:kern w:val="0"/>
                        <w:sz w:val="24"/>
                        <w14:textFill>
                          <w14:solidFill>
                            <w14:schemeClr w14:val="tx1"/>
                          </w14:solidFill>
                        </w14:textFill>
                      </w:rPr>
                    </m:ctrlPr>
                  </m:e>
                </m:nary>
                <m:r>
                  <m:rPr>
                    <m:sty m:val="p"/>
                  </m:rPr>
                  <w:rPr>
                    <w:rFonts w:ascii="Cambria Math" w:hAnsi="Cambria Math"/>
                    <w:color w:val="000000" w:themeColor="text1"/>
                    <w:kern w:val="0"/>
                    <w:sz w:val="24"/>
                    <w14:textFill>
                      <w14:solidFill>
                        <w14:schemeClr w14:val="tx1"/>
                      </w14:solidFill>
                    </w14:textFill>
                  </w:rPr>
                  <m:t>）]</m:t>
                </m:r>
              </m:oMath>
            </m:oMathPara>
          </w:p>
          <w:p w14:paraId="53AA5AE6">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11CAF124">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eqg</w:t>
            </w:r>
            <w:r>
              <w:rPr>
                <w:bCs/>
                <w:color w:val="000000" w:themeColor="text1"/>
                <w:kern w:val="0"/>
                <w:sz w:val="24"/>
                <w14:textFill>
                  <w14:solidFill>
                    <w14:schemeClr w14:val="tx1"/>
                  </w14:solidFill>
                </w14:textFill>
              </w:rPr>
              <w:t>—建设项目声源在预测点产生的噪声贡献值，dB；</w:t>
            </w:r>
          </w:p>
          <w:p w14:paraId="2C7C23BF">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T—用于计算等效声级的时间，s；</w:t>
            </w:r>
          </w:p>
          <w:p w14:paraId="065518CC">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N—室外声源个数；</w:t>
            </w:r>
          </w:p>
          <w:p w14:paraId="071BB14D">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t</w:t>
            </w:r>
            <w:r>
              <w:rPr>
                <w:bCs/>
                <w:color w:val="000000" w:themeColor="text1"/>
                <w:kern w:val="0"/>
                <w:sz w:val="24"/>
                <w:vertAlign w:val="subscript"/>
                <w14:textFill>
                  <w14:solidFill>
                    <w14:schemeClr w14:val="tx1"/>
                  </w14:solidFill>
                </w14:textFill>
              </w:rPr>
              <w:t>i</w:t>
            </w:r>
            <w:r>
              <w:rPr>
                <w:bCs/>
                <w:color w:val="000000" w:themeColor="text1"/>
                <w:kern w:val="0"/>
                <w:sz w:val="24"/>
                <w14:textFill>
                  <w14:solidFill>
                    <w14:schemeClr w14:val="tx1"/>
                  </w14:solidFill>
                </w14:textFill>
              </w:rPr>
              <w:softHyphen/>
            </w:r>
            <w:r>
              <w:rPr>
                <w:bCs/>
                <w:color w:val="000000" w:themeColor="text1"/>
                <w:kern w:val="0"/>
                <w:sz w:val="24"/>
                <w14:textFill>
                  <w14:solidFill>
                    <w14:schemeClr w14:val="tx1"/>
                  </w14:solidFill>
                </w14:textFill>
              </w:rPr>
              <w:softHyphen/>
            </w:r>
            <w:r>
              <w:rPr>
                <w:bCs/>
                <w:color w:val="000000" w:themeColor="text1"/>
                <w:kern w:val="0"/>
                <w:sz w:val="24"/>
                <w14:textFill>
                  <w14:solidFill>
                    <w14:schemeClr w14:val="tx1"/>
                  </w14:solidFill>
                </w14:textFill>
              </w:rPr>
              <w:softHyphen/>
            </w:r>
            <w:r>
              <w:rPr>
                <w:bCs/>
                <w:color w:val="000000" w:themeColor="text1"/>
                <w:kern w:val="0"/>
                <w:sz w:val="24"/>
                <w14:textFill>
                  <w14:solidFill>
                    <w14:schemeClr w14:val="tx1"/>
                  </w14:solidFill>
                </w14:textFill>
              </w:rPr>
              <w:t>—在T时间内i声源工作时间，s；</w:t>
            </w:r>
          </w:p>
          <w:p w14:paraId="7DB56A0E">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M—等效室外声源个数；</w:t>
            </w:r>
          </w:p>
          <w:p w14:paraId="404A8F64">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t</w:t>
            </w:r>
            <w:r>
              <w:rPr>
                <w:bCs/>
                <w:color w:val="000000" w:themeColor="text1"/>
                <w:kern w:val="0"/>
                <w:sz w:val="24"/>
                <w:vertAlign w:val="subscript"/>
                <w14:textFill>
                  <w14:solidFill>
                    <w14:schemeClr w14:val="tx1"/>
                  </w14:solidFill>
                </w14:textFill>
              </w:rPr>
              <w:t>j</w:t>
            </w:r>
            <w:r>
              <w:rPr>
                <w:bCs/>
                <w:color w:val="000000" w:themeColor="text1"/>
                <w:kern w:val="0"/>
                <w:sz w:val="24"/>
                <w14:textFill>
                  <w14:solidFill>
                    <w14:schemeClr w14:val="tx1"/>
                  </w14:solidFill>
                </w14:textFill>
              </w:rPr>
              <w:t>—在T时间内j声源工作时间，s。</w:t>
            </w:r>
          </w:p>
          <w:p w14:paraId="4C15A54E">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（4）预测值计算</w:t>
            </w:r>
          </w:p>
          <w:p w14:paraId="7CFCB181">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如下式计算：</w:t>
            </w:r>
          </w:p>
          <w:p w14:paraId="36B7171B">
            <w:pPr>
              <w:adjustRightInd w:val="0"/>
              <w:snapToGrid w:val="0"/>
              <w:spacing w:line="360" w:lineRule="auto"/>
              <w:ind w:firstLine="480"/>
              <w:rPr>
                <w:bCs/>
                <w:iCs/>
                <w:color w:val="000000" w:themeColor="text1"/>
                <w:kern w:val="0"/>
                <w:sz w:val="24"/>
                <w14:textFill>
                  <w14:solidFill>
                    <w14:schemeClr w14:val="tx1"/>
                  </w14:solidFill>
                </w14:textFill>
              </w:rPr>
            </w:pPr>
            <m:oMathPara>
              <m:oMath>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eq</m:t>
                    </m:r>
                    <m:ctrlPr>
                      <w:rPr>
                        <w:rFonts w:ascii="Cambria Math" w:hAnsi="Cambria Math"/>
                        <w:bCs/>
                        <w:iCs/>
                        <w:color w:val="000000" w:themeColor="text1"/>
                        <w:kern w:val="0"/>
                        <w:sz w:val="24"/>
                        <w14:textFill>
                          <w14:solidFill>
                            <w14:schemeClr w14:val="tx1"/>
                          </w14:solidFill>
                        </w14:textFill>
                      </w:rPr>
                    </m:ctrlPr>
                  </m:sub>
                </m:sSub>
                <m:r>
                  <m:rPr>
                    <m:sty m:val="p"/>
                  </m:rPr>
                  <w:rPr>
                    <w:rFonts w:ascii="Cambria Math" w:hAnsi="Cambria Math"/>
                    <w:color w:val="000000" w:themeColor="text1"/>
                    <w:kern w:val="0"/>
                    <w:sz w:val="24"/>
                    <w14:textFill>
                      <w14:solidFill>
                        <w14:schemeClr w14:val="tx1"/>
                      </w14:solidFill>
                    </w14:textFill>
                  </w:rPr>
                  <m:t>=10lg⁡（</m:t>
                </m:r>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10</m:t>
                    </m:r>
                    <m:ctrlPr>
                      <w:rPr>
                        <w:rFonts w:ascii="Cambria Math" w:hAnsi="Cambria Math"/>
                        <w:bCs/>
                        <w:iCs/>
                        <w:color w:val="000000" w:themeColor="text1"/>
                        <w:kern w:val="0"/>
                        <w:sz w:val="24"/>
                        <w14:textFill>
                          <w14:solidFill>
                            <w14:schemeClr w14:val="tx1"/>
                          </w14:solidFill>
                        </w14:textFill>
                      </w:rPr>
                    </m:ctrlPr>
                  </m:e>
                  <m:sup>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0.1L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eqg</m:t>
                        </m:r>
                        <m:ctrlPr>
                          <w:rPr>
                            <w:rFonts w:ascii="Cambria Math" w:hAnsi="Cambria Math"/>
                            <w:bCs/>
                            <w:iCs/>
                            <w:color w:val="000000" w:themeColor="text1"/>
                            <w:kern w:val="0"/>
                            <w:sz w:val="24"/>
                            <w14:textFill>
                              <w14:solidFill>
                                <w14:schemeClr w14:val="tx1"/>
                              </w14:solidFill>
                            </w14:textFill>
                          </w:rPr>
                        </m:ctrlPr>
                      </m:sub>
                    </m:sSub>
                    <m:ctrlPr>
                      <w:rPr>
                        <w:rFonts w:ascii="Cambria Math" w:hAnsi="Cambria Math"/>
                        <w:bCs/>
                        <w:iCs/>
                        <w:color w:val="000000" w:themeColor="text1"/>
                        <w:kern w:val="0"/>
                        <w:sz w:val="24"/>
                        <w14:textFill>
                          <w14:solidFill>
                            <w14:schemeClr w14:val="tx1"/>
                          </w14:solidFill>
                        </w14:textFill>
                      </w:rPr>
                    </m:ctrlPr>
                  </m:sup>
                </m:sSup>
                <m:r>
                  <m:rPr>
                    <m:sty m:val="p"/>
                  </m:rPr>
                  <w:rPr>
                    <w:rFonts w:ascii="Cambria Math" w:hAnsi="Cambria Math"/>
                    <w:color w:val="000000" w:themeColor="text1"/>
                    <w:kern w:val="0"/>
                    <w:sz w:val="24"/>
                    <w14:textFill>
                      <w14:solidFill>
                        <w14:schemeClr w14:val="tx1"/>
                      </w14:solidFill>
                    </w14:textFill>
                  </w:rPr>
                  <m:t>+</m:t>
                </m:r>
                <m:sSup>
                  <m:sSupPr>
                    <m:ctrlPr>
                      <w:rPr>
                        <w:rFonts w:ascii="Cambria Math" w:hAnsi="Cambria Math"/>
                        <w:bCs/>
                        <w:iCs/>
                        <w:color w:val="000000" w:themeColor="text1"/>
                        <w:kern w:val="0"/>
                        <w:sz w:val="24"/>
                        <w14:textFill>
                          <w14:solidFill>
                            <w14:schemeClr w14:val="tx1"/>
                          </w14:solidFill>
                        </w14:textFill>
                      </w:rPr>
                    </m:ctrlPr>
                  </m:sSupPr>
                  <m:e>
                    <m:r>
                      <m:rPr>
                        <m:sty m:val="p"/>
                      </m:rPr>
                      <w:rPr>
                        <w:rFonts w:ascii="Cambria Math" w:hAnsi="Cambria Math"/>
                        <w:color w:val="000000" w:themeColor="text1"/>
                        <w:kern w:val="0"/>
                        <w:sz w:val="24"/>
                        <w14:textFill>
                          <w14:solidFill>
                            <w14:schemeClr w14:val="tx1"/>
                          </w14:solidFill>
                        </w14:textFill>
                      </w:rPr>
                      <m:t>10</m:t>
                    </m:r>
                    <m:ctrlPr>
                      <w:rPr>
                        <w:rFonts w:ascii="Cambria Math" w:hAnsi="Cambria Math"/>
                        <w:bCs/>
                        <w:iCs/>
                        <w:color w:val="000000" w:themeColor="text1"/>
                        <w:kern w:val="0"/>
                        <w:sz w:val="24"/>
                        <w14:textFill>
                          <w14:solidFill>
                            <w14:schemeClr w14:val="tx1"/>
                          </w14:solidFill>
                        </w14:textFill>
                      </w:rPr>
                    </m:ctrlPr>
                  </m:e>
                  <m:sup>
                    <m:sSub>
                      <m:sSubPr>
                        <m:ctrlPr>
                          <w:rPr>
                            <w:rFonts w:ascii="Cambria Math" w:hAnsi="Cambria Math"/>
                            <w:bCs/>
                            <w:iCs/>
                            <w:color w:val="000000" w:themeColor="text1"/>
                            <w:kern w:val="0"/>
                            <w:sz w:val="24"/>
                            <w14:textFill>
                              <w14:solidFill>
                                <w14:schemeClr w14:val="tx1"/>
                              </w14:solidFill>
                            </w14:textFill>
                          </w:rPr>
                        </m:ctrlPr>
                      </m:sSubPr>
                      <m:e>
                        <m:r>
                          <m:rPr>
                            <m:sty m:val="p"/>
                          </m:rPr>
                          <w:rPr>
                            <w:rFonts w:ascii="Cambria Math" w:hAnsi="Cambria Math"/>
                            <w:color w:val="000000" w:themeColor="text1"/>
                            <w:kern w:val="0"/>
                            <w:sz w:val="24"/>
                            <w14:textFill>
                              <w14:solidFill>
                                <w14:schemeClr w14:val="tx1"/>
                              </w14:solidFill>
                            </w14:textFill>
                          </w:rPr>
                          <m:t>0.1L</m:t>
                        </m:r>
                        <m:ctrlPr>
                          <w:rPr>
                            <w:rFonts w:ascii="Cambria Math" w:hAnsi="Cambria Math"/>
                            <w:bCs/>
                            <w:iCs/>
                            <w:color w:val="000000" w:themeColor="text1"/>
                            <w:kern w:val="0"/>
                            <w:sz w:val="24"/>
                            <w14:textFill>
                              <w14:solidFill>
                                <w14:schemeClr w14:val="tx1"/>
                              </w14:solidFill>
                            </w14:textFill>
                          </w:rPr>
                        </m:ctrlPr>
                      </m:e>
                      <m:sub>
                        <m:r>
                          <m:rPr>
                            <m:sty m:val="p"/>
                          </m:rPr>
                          <w:rPr>
                            <w:rFonts w:ascii="Cambria Math" w:hAnsi="Cambria Math"/>
                            <w:color w:val="000000" w:themeColor="text1"/>
                            <w:kern w:val="0"/>
                            <w:sz w:val="24"/>
                            <w14:textFill>
                              <w14:solidFill>
                                <w14:schemeClr w14:val="tx1"/>
                              </w14:solidFill>
                            </w14:textFill>
                          </w:rPr>
                          <m:t>eqb</m:t>
                        </m:r>
                        <m:ctrlPr>
                          <w:rPr>
                            <w:rFonts w:ascii="Cambria Math" w:hAnsi="Cambria Math"/>
                            <w:bCs/>
                            <w:iCs/>
                            <w:color w:val="000000" w:themeColor="text1"/>
                            <w:kern w:val="0"/>
                            <w:sz w:val="24"/>
                            <w14:textFill>
                              <w14:solidFill>
                                <w14:schemeClr w14:val="tx1"/>
                              </w14:solidFill>
                            </w14:textFill>
                          </w:rPr>
                        </m:ctrlPr>
                      </m:sub>
                    </m:sSub>
                    <m:ctrlPr>
                      <w:rPr>
                        <w:rFonts w:ascii="Cambria Math" w:hAnsi="Cambria Math"/>
                        <w:bCs/>
                        <w:iCs/>
                        <w:color w:val="000000" w:themeColor="text1"/>
                        <w:kern w:val="0"/>
                        <w:sz w:val="24"/>
                        <w14:textFill>
                          <w14:solidFill>
                            <w14:schemeClr w14:val="tx1"/>
                          </w14:solidFill>
                        </w14:textFill>
                      </w:rPr>
                    </m:ctrlPr>
                  </m:sup>
                </m:sSup>
                <m:r>
                  <m:rPr>
                    <m:sty m:val="p"/>
                  </m:rPr>
                  <w:rPr>
                    <w:rFonts w:ascii="Cambria Math" w:hAnsi="Cambria Math"/>
                    <w:color w:val="000000" w:themeColor="text1"/>
                    <w:kern w:val="0"/>
                    <w:sz w:val="24"/>
                    <w14:textFill>
                      <w14:solidFill>
                        <w14:schemeClr w14:val="tx1"/>
                      </w14:solidFill>
                    </w14:textFill>
                  </w:rPr>
                  <m:t>）</m:t>
                </m:r>
              </m:oMath>
            </m:oMathPara>
          </w:p>
          <w:p w14:paraId="5F4B9E78">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w:t>
            </w:r>
          </w:p>
          <w:p w14:paraId="3E555869">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eq</w:t>
            </w:r>
            <w:r>
              <w:rPr>
                <w:bCs/>
                <w:color w:val="000000" w:themeColor="text1"/>
                <w:kern w:val="0"/>
                <w:sz w:val="24"/>
                <w14:textFill>
                  <w14:solidFill>
                    <w14:schemeClr w14:val="tx1"/>
                  </w14:solidFill>
                </w14:textFill>
              </w:rPr>
              <w:t>—预测点的噪声预测值，dB；</w:t>
            </w:r>
          </w:p>
          <w:p w14:paraId="043654C6">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eqg</w:t>
            </w:r>
            <w:r>
              <w:rPr>
                <w:bCs/>
                <w:color w:val="000000" w:themeColor="text1"/>
                <w:kern w:val="0"/>
                <w:sz w:val="24"/>
                <w14:textFill>
                  <w14:solidFill>
                    <w14:schemeClr w14:val="tx1"/>
                  </w14:solidFill>
                </w14:textFill>
              </w:rPr>
              <w:t>—建设项目声源在预测点产生的噪声贡献值，dB；</w:t>
            </w:r>
          </w:p>
          <w:p w14:paraId="13EFFF27">
            <w:pPr>
              <w:adjustRightInd w:val="0"/>
              <w:snapToGrid w:val="0"/>
              <w:spacing w:line="480" w:lineRule="exact"/>
              <w:ind w:firstLine="960" w:firstLineChars="4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L</w:t>
            </w:r>
            <w:r>
              <w:rPr>
                <w:bCs/>
                <w:color w:val="000000" w:themeColor="text1"/>
                <w:kern w:val="0"/>
                <w:sz w:val="24"/>
                <w:vertAlign w:val="subscript"/>
                <w14:textFill>
                  <w14:solidFill>
                    <w14:schemeClr w14:val="tx1"/>
                  </w14:solidFill>
                </w14:textFill>
              </w:rPr>
              <w:t>eqb</w:t>
            </w:r>
            <w:r>
              <w:rPr>
                <w:bCs/>
                <w:color w:val="000000" w:themeColor="text1"/>
                <w:kern w:val="0"/>
                <w:sz w:val="24"/>
                <w14:textFill>
                  <w14:solidFill>
                    <w14:schemeClr w14:val="tx1"/>
                  </w14:solidFill>
                </w14:textFill>
              </w:rPr>
              <w:t>—预测点的背景噪声值，dB。</w:t>
            </w:r>
          </w:p>
          <w:p w14:paraId="27159CEE">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由于本项目运营期仅在白天生产加工，夜间不生产，也不进行物料运输，因此本次预测仅预测昼间情况。</w:t>
            </w:r>
          </w:p>
          <w:p w14:paraId="28CE0C43">
            <w:pPr>
              <w:adjustRightInd w:val="0"/>
              <w:snapToGrid w:val="0"/>
              <w:spacing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根据上述预测模型，本项目厂界噪声达标性及环境保护目标噪声达标性分析如下：</w:t>
            </w:r>
          </w:p>
          <w:p w14:paraId="613F0020">
            <w:pPr>
              <w:adjustRightInd w:val="0"/>
              <w:snapToGrid w:val="0"/>
              <w:spacing w:line="48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表4-13 厂界噪声达标分析表 单位：dB（A）</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193"/>
              <w:gridCol w:w="2193"/>
              <w:gridCol w:w="2193"/>
            </w:tblGrid>
            <w:tr w14:paraId="6482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59653FC1">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厂界</w:t>
                  </w:r>
                </w:p>
              </w:tc>
              <w:tc>
                <w:tcPr>
                  <w:tcW w:w="1250" w:type="pct"/>
                  <w:vAlign w:val="center"/>
                </w:tcPr>
                <w:p w14:paraId="194070D3">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预测值</w:t>
                  </w:r>
                </w:p>
              </w:tc>
              <w:tc>
                <w:tcPr>
                  <w:tcW w:w="1250" w:type="pct"/>
                  <w:vAlign w:val="center"/>
                </w:tcPr>
                <w:p w14:paraId="69BB5092">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标准值</w:t>
                  </w:r>
                </w:p>
              </w:tc>
              <w:tc>
                <w:tcPr>
                  <w:tcW w:w="1250" w:type="pct"/>
                  <w:vAlign w:val="center"/>
                </w:tcPr>
                <w:p w14:paraId="265764CB">
                  <w:pPr>
                    <w:adjustRightInd w:val="0"/>
                    <w:snapToGrid w:val="0"/>
                    <w:jc w:val="center"/>
                    <w:rPr>
                      <w:b/>
                      <w:color w:val="000000" w:themeColor="text1"/>
                      <w:kern w:val="0"/>
                      <w:sz w:val="18"/>
                      <w:szCs w:val="18"/>
                      <w14:textFill>
                        <w14:solidFill>
                          <w14:schemeClr w14:val="tx1"/>
                        </w14:solidFill>
                      </w14:textFill>
                    </w:rPr>
                  </w:pPr>
                  <w:r>
                    <w:rPr>
                      <w:b/>
                      <w:color w:val="000000" w:themeColor="text1"/>
                      <w:kern w:val="0"/>
                      <w:sz w:val="18"/>
                      <w:szCs w:val="18"/>
                      <w14:textFill>
                        <w14:solidFill>
                          <w14:schemeClr w14:val="tx1"/>
                        </w14:solidFill>
                      </w14:textFill>
                    </w:rPr>
                    <w:t>达标分析</w:t>
                  </w:r>
                </w:p>
              </w:tc>
            </w:tr>
            <w:tr w14:paraId="7F44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3DFEF337">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东</w:t>
                  </w:r>
                </w:p>
              </w:tc>
              <w:tc>
                <w:tcPr>
                  <w:tcW w:w="1250" w:type="pct"/>
                  <w:vAlign w:val="center"/>
                </w:tcPr>
                <w:p w14:paraId="15EFA63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46.9</w:t>
                  </w:r>
                </w:p>
              </w:tc>
              <w:tc>
                <w:tcPr>
                  <w:tcW w:w="1250" w:type="pct"/>
                  <w:vMerge w:val="restart"/>
                  <w:vAlign w:val="center"/>
                </w:tcPr>
                <w:p w14:paraId="5B73B3AD">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60</w:t>
                  </w:r>
                </w:p>
              </w:tc>
              <w:tc>
                <w:tcPr>
                  <w:tcW w:w="1250" w:type="pct"/>
                  <w:vAlign w:val="center"/>
                </w:tcPr>
                <w:p w14:paraId="1A5C4512">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达标</w:t>
                  </w:r>
                </w:p>
              </w:tc>
            </w:tr>
            <w:tr w14:paraId="7A15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7FFAC503">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南</w:t>
                  </w:r>
                </w:p>
              </w:tc>
              <w:tc>
                <w:tcPr>
                  <w:tcW w:w="1250" w:type="pct"/>
                  <w:vAlign w:val="center"/>
                </w:tcPr>
                <w:p w14:paraId="2D8053D9">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47.0</w:t>
                  </w:r>
                </w:p>
              </w:tc>
              <w:tc>
                <w:tcPr>
                  <w:tcW w:w="1250" w:type="pct"/>
                  <w:vMerge w:val="continue"/>
                  <w:vAlign w:val="center"/>
                </w:tcPr>
                <w:p w14:paraId="173137F1">
                  <w:pPr>
                    <w:adjustRightInd w:val="0"/>
                    <w:snapToGrid w:val="0"/>
                    <w:jc w:val="center"/>
                    <w:rPr>
                      <w:bCs/>
                      <w:color w:val="000000" w:themeColor="text1"/>
                      <w:kern w:val="0"/>
                      <w:sz w:val="18"/>
                      <w:szCs w:val="18"/>
                      <w14:textFill>
                        <w14:solidFill>
                          <w14:schemeClr w14:val="tx1"/>
                        </w14:solidFill>
                      </w14:textFill>
                    </w:rPr>
                  </w:pPr>
                </w:p>
              </w:tc>
              <w:tc>
                <w:tcPr>
                  <w:tcW w:w="1250" w:type="pct"/>
                  <w:vAlign w:val="center"/>
                </w:tcPr>
                <w:p w14:paraId="40E80A3E">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达标</w:t>
                  </w:r>
                </w:p>
              </w:tc>
            </w:tr>
            <w:tr w14:paraId="23C4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D92F7AD">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西</w:t>
                  </w:r>
                </w:p>
              </w:tc>
              <w:tc>
                <w:tcPr>
                  <w:tcW w:w="1250" w:type="pct"/>
                  <w:vAlign w:val="center"/>
                </w:tcPr>
                <w:p w14:paraId="03D0ED3C">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52.8</w:t>
                  </w:r>
                </w:p>
              </w:tc>
              <w:tc>
                <w:tcPr>
                  <w:tcW w:w="1250" w:type="pct"/>
                  <w:vMerge w:val="continue"/>
                  <w:vAlign w:val="center"/>
                </w:tcPr>
                <w:p w14:paraId="5847BFF5">
                  <w:pPr>
                    <w:adjustRightInd w:val="0"/>
                    <w:snapToGrid w:val="0"/>
                    <w:jc w:val="center"/>
                    <w:rPr>
                      <w:bCs/>
                      <w:color w:val="000000" w:themeColor="text1"/>
                      <w:kern w:val="0"/>
                      <w:sz w:val="18"/>
                      <w:szCs w:val="18"/>
                      <w14:textFill>
                        <w14:solidFill>
                          <w14:schemeClr w14:val="tx1"/>
                        </w14:solidFill>
                      </w14:textFill>
                    </w:rPr>
                  </w:pPr>
                </w:p>
              </w:tc>
              <w:tc>
                <w:tcPr>
                  <w:tcW w:w="1250" w:type="pct"/>
                  <w:vAlign w:val="center"/>
                </w:tcPr>
                <w:p w14:paraId="5D1CBED1">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达标</w:t>
                  </w:r>
                </w:p>
              </w:tc>
            </w:tr>
            <w:tr w14:paraId="742E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DF52B48">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北</w:t>
                  </w:r>
                </w:p>
              </w:tc>
              <w:tc>
                <w:tcPr>
                  <w:tcW w:w="1250" w:type="pct"/>
                  <w:vAlign w:val="center"/>
                </w:tcPr>
                <w:p w14:paraId="00F03E7F">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50.0</w:t>
                  </w:r>
                </w:p>
              </w:tc>
              <w:tc>
                <w:tcPr>
                  <w:tcW w:w="1250" w:type="pct"/>
                  <w:vMerge w:val="continue"/>
                  <w:vAlign w:val="center"/>
                </w:tcPr>
                <w:p w14:paraId="7394F35C">
                  <w:pPr>
                    <w:adjustRightInd w:val="0"/>
                    <w:snapToGrid w:val="0"/>
                    <w:jc w:val="center"/>
                    <w:rPr>
                      <w:bCs/>
                      <w:color w:val="000000" w:themeColor="text1"/>
                      <w:kern w:val="0"/>
                      <w:sz w:val="18"/>
                      <w:szCs w:val="18"/>
                      <w14:textFill>
                        <w14:solidFill>
                          <w14:schemeClr w14:val="tx1"/>
                        </w14:solidFill>
                      </w14:textFill>
                    </w:rPr>
                  </w:pPr>
                </w:p>
              </w:tc>
              <w:tc>
                <w:tcPr>
                  <w:tcW w:w="1250" w:type="pct"/>
                  <w:vAlign w:val="center"/>
                </w:tcPr>
                <w:p w14:paraId="39128959">
                  <w:pPr>
                    <w:adjustRightInd w:val="0"/>
                    <w:snapToGrid w:val="0"/>
                    <w:jc w:val="center"/>
                    <w:rPr>
                      <w:bCs/>
                      <w:color w:val="000000" w:themeColor="text1"/>
                      <w:kern w:val="0"/>
                      <w:sz w:val="18"/>
                      <w:szCs w:val="18"/>
                      <w14:textFill>
                        <w14:solidFill>
                          <w14:schemeClr w14:val="tx1"/>
                        </w14:solidFill>
                      </w14:textFill>
                    </w:rPr>
                  </w:pPr>
                  <w:r>
                    <w:rPr>
                      <w:bCs/>
                      <w:color w:val="000000" w:themeColor="text1"/>
                      <w:kern w:val="0"/>
                      <w:sz w:val="18"/>
                      <w:szCs w:val="18"/>
                      <w14:textFill>
                        <w14:solidFill>
                          <w14:schemeClr w14:val="tx1"/>
                        </w14:solidFill>
                      </w14:textFill>
                    </w:rPr>
                    <w:t>达标</w:t>
                  </w:r>
                </w:p>
              </w:tc>
            </w:tr>
          </w:tbl>
          <w:p w14:paraId="5E0FC848">
            <w:pPr>
              <w:adjustRightInd w:val="0"/>
              <w:snapToGrid w:val="0"/>
              <w:spacing w:before="120" w:beforeLines="50" w:line="480" w:lineRule="exact"/>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因此，根据上表分析，建设项目在做好环评提出的噪声防治措施后，厂界噪声均能达标。</w:t>
            </w:r>
            <w:r>
              <w:rPr>
                <w:rFonts w:eastAsiaTheme="minorEastAsia"/>
                <w:b/>
                <w:bCs/>
                <w:color w:val="000000" w:themeColor="text1"/>
                <w:sz w:val="24"/>
                <w14:textFill>
                  <w14:solidFill>
                    <w14:schemeClr w14:val="tx1"/>
                  </w14:solidFill>
                </w14:textFill>
              </w:rPr>
              <w:t>因此项目运行对周边的敏感目标影响较小。</w:t>
            </w:r>
          </w:p>
          <w:p w14:paraId="39C5EEBD">
            <w:pPr>
              <w:spacing w:before="120" w:beforeLines="50"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3.4噪声监测要求</w:t>
            </w:r>
          </w:p>
          <w:p w14:paraId="4024DF6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根据《排污单位自行监测技术指南总则》（HJ819-2017），对项目厂界噪声监测要求如下。</w:t>
            </w:r>
          </w:p>
          <w:p w14:paraId="12B29782">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表4-14监测要求</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289"/>
              <w:gridCol w:w="1265"/>
              <w:gridCol w:w="1258"/>
              <w:gridCol w:w="1218"/>
              <w:gridCol w:w="2679"/>
            </w:tblGrid>
            <w:tr w14:paraId="3A95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06" w:type="pct"/>
                  <w:vAlign w:val="center"/>
                </w:tcPr>
                <w:p w14:paraId="18E676FF">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类型</w:t>
                  </w:r>
                </w:p>
              </w:tc>
              <w:tc>
                <w:tcPr>
                  <w:tcW w:w="735" w:type="pct"/>
                  <w:vAlign w:val="center"/>
                </w:tcPr>
                <w:p w14:paraId="18C7B277">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污染源</w:t>
                  </w:r>
                </w:p>
              </w:tc>
              <w:tc>
                <w:tcPr>
                  <w:tcW w:w="721" w:type="pct"/>
                  <w:vAlign w:val="center"/>
                </w:tcPr>
                <w:p w14:paraId="4445B1C1">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监测点位</w:t>
                  </w:r>
                </w:p>
              </w:tc>
              <w:tc>
                <w:tcPr>
                  <w:tcW w:w="717" w:type="pct"/>
                  <w:vAlign w:val="center"/>
                </w:tcPr>
                <w:p w14:paraId="68E712E1">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监测指标</w:t>
                  </w:r>
                </w:p>
              </w:tc>
              <w:tc>
                <w:tcPr>
                  <w:tcW w:w="694" w:type="pct"/>
                  <w:vAlign w:val="center"/>
                </w:tcPr>
                <w:p w14:paraId="68FC7731">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监测频次</w:t>
                  </w:r>
                </w:p>
              </w:tc>
              <w:tc>
                <w:tcPr>
                  <w:tcW w:w="1527" w:type="pct"/>
                  <w:vAlign w:val="center"/>
                </w:tcPr>
                <w:p w14:paraId="714DB2B0">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执行排放标准</w:t>
                  </w:r>
                </w:p>
              </w:tc>
            </w:tr>
            <w:tr w14:paraId="2C0F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pct"/>
                  <w:vAlign w:val="center"/>
                </w:tcPr>
                <w:p w14:paraId="61109CB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噪声</w:t>
                  </w:r>
                </w:p>
              </w:tc>
              <w:tc>
                <w:tcPr>
                  <w:tcW w:w="735" w:type="pct"/>
                  <w:vAlign w:val="center"/>
                </w:tcPr>
                <w:p w14:paraId="15F9675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厂界噪声</w:t>
                  </w:r>
                </w:p>
              </w:tc>
              <w:tc>
                <w:tcPr>
                  <w:tcW w:w="721" w:type="pct"/>
                  <w:vAlign w:val="center"/>
                </w:tcPr>
                <w:p w14:paraId="2A0ACE8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厂界四周</w:t>
                  </w:r>
                </w:p>
              </w:tc>
              <w:tc>
                <w:tcPr>
                  <w:tcW w:w="717" w:type="pct"/>
                  <w:vAlign w:val="center"/>
                </w:tcPr>
                <w:p w14:paraId="3DD0D1AF">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等效连续A声级</w:t>
                  </w:r>
                </w:p>
              </w:tc>
              <w:tc>
                <w:tcPr>
                  <w:tcW w:w="694" w:type="pct"/>
                  <w:vAlign w:val="center"/>
                </w:tcPr>
                <w:p w14:paraId="199A048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1次/季度</w:t>
                  </w:r>
                </w:p>
              </w:tc>
              <w:tc>
                <w:tcPr>
                  <w:tcW w:w="1527" w:type="pct"/>
                  <w:vAlign w:val="center"/>
                </w:tcPr>
                <w:p w14:paraId="48D2B8E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《工业企业厂界环境噪声排放标准》中2类</w:t>
                  </w:r>
                </w:p>
              </w:tc>
            </w:tr>
          </w:tbl>
          <w:p w14:paraId="2E4BD9FD">
            <w:pPr>
              <w:pStyle w:val="7"/>
              <w:spacing w:before="120" w:beforeLines="50"/>
              <w:ind w:firstLine="0" w:firstLineChars="0"/>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4</w:t>
            </w:r>
            <w:r>
              <w:rPr>
                <w:rFonts w:ascii="Times New Roman" w:hAnsi="Times New Roman" w:cs="Times New Roman"/>
                <w:b w:val="0"/>
                <w:color w:val="000000" w:themeColor="text1"/>
                <w14:textFill>
                  <w14:solidFill>
                    <w14:schemeClr w14:val="tx1"/>
                  </w14:solidFill>
                </w14:textFill>
              </w:rPr>
              <w:t>、</w:t>
            </w:r>
            <w:r>
              <w:rPr>
                <w:rFonts w:ascii="Times New Roman" w:hAnsi="Times New Roman" w:cs="Times New Roman" w:eastAsiaTheme="minorEastAsia"/>
                <w:color w:val="000000" w:themeColor="text1"/>
                <w14:textFill>
                  <w14:solidFill>
                    <w14:schemeClr w14:val="tx1"/>
                  </w14:solidFill>
                </w14:textFill>
              </w:rPr>
              <w:t>固体废物</w:t>
            </w:r>
          </w:p>
          <w:p w14:paraId="16907B7C">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本项目运营期固体废物主要有生活垃圾、沉淀池沉渣、布袋除尘器收集粉尘以及不合格品，其具体处理排放情况与治理措施如下：</w:t>
            </w:r>
          </w:p>
          <w:p w14:paraId="344D1BB3">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（1）生活垃圾</w:t>
            </w:r>
          </w:p>
          <w:p w14:paraId="6D017CD5">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预计项目每人每天产生生活垃圾量为0.5kg/人</w:t>
            </w:r>
            <w:r>
              <w:rPr>
                <w:rFonts w:eastAsiaTheme="minorEastAsia"/>
                <w:bCs/>
                <w:color w:val="000000" w:themeColor="text1"/>
                <w:sz w:val="24"/>
                <w:lang w:val="pt-PT"/>
                <w14:textFill>
                  <w14:solidFill>
                    <w14:schemeClr w14:val="tx1"/>
                  </w14:solidFill>
                </w14:textFill>
              </w:rPr>
              <w:t>·</w:t>
            </w:r>
            <w:r>
              <w:rPr>
                <w:rFonts w:eastAsiaTheme="minorEastAsia"/>
                <w:bCs/>
                <w:color w:val="000000" w:themeColor="text1"/>
                <w:sz w:val="24"/>
                <w14:textFill>
                  <w14:solidFill>
                    <w14:schemeClr w14:val="tx1"/>
                  </w14:solidFill>
                </w14:textFill>
              </w:rPr>
              <w:t>d，项目有职工28人，年工作天数300d，则年产生活垃圾总量约为4.2t/a。厂区内合理布设垃圾桶，生活垃圾由环卫部门统一清运，做到日产日清。</w:t>
            </w:r>
          </w:p>
          <w:p w14:paraId="190A8B04">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（2）沉淀池沉渣</w:t>
            </w:r>
          </w:p>
          <w:p w14:paraId="2869DDEB">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厂区内设沉淀池收集冲洗废水，沉渣主要成分为切割过程的边角料，沉淀池沉渣产生量约为4t/a，用作原料进入生产线，不外排。</w:t>
            </w:r>
          </w:p>
          <w:p w14:paraId="5CC242FB">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（3）布袋除尘器收集的粉尘</w:t>
            </w:r>
          </w:p>
          <w:p w14:paraId="3748A523">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本项目生产过程各产尘源设置布袋除尘系统，根据核算，本项目经除尘系统收集的粉尘量为13.2t/a，全部回用于生产线，不外排。</w:t>
            </w:r>
          </w:p>
          <w:p w14:paraId="6A2F801F">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（4）不合格品</w:t>
            </w:r>
          </w:p>
          <w:p w14:paraId="4CAF7143">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根据建设单位提供，不合格品的产生量约为29.76t/a，全部用作原料进入生产线，不外排。</w:t>
            </w:r>
          </w:p>
          <w:p w14:paraId="1E4CB2A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本项目运营期固体废物排放及治理措施汇总如下：</w:t>
            </w:r>
          </w:p>
          <w:p w14:paraId="5AB63CBA">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表4-15固体废物排放及治理措施</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821"/>
              <w:gridCol w:w="1177"/>
              <w:gridCol w:w="1227"/>
              <w:gridCol w:w="3626"/>
            </w:tblGrid>
            <w:tr w14:paraId="353E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6EF85864">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序号</w:t>
                  </w:r>
                </w:p>
              </w:tc>
              <w:tc>
                <w:tcPr>
                  <w:tcW w:w="1038" w:type="pct"/>
                  <w:vAlign w:val="center"/>
                </w:tcPr>
                <w:p w14:paraId="533C5EE0">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种类</w:t>
                  </w:r>
                </w:p>
              </w:tc>
              <w:tc>
                <w:tcPr>
                  <w:tcW w:w="671" w:type="pct"/>
                  <w:vAlign w:val="center"/>
                </w:tcPr>
                <w:p w14:paraId="6CD6EA85">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产量</w:t>
                  </w:r>
                </w:p>
              </w:tc>
              <w:tc>
                <w:tcPr>
                  <w:tcW w:w="699" w:type="pct"/>
                  <w:vAlign w:val="center"/>
                </w:tcPr>
                <w:p w14:paraId="32AFFC58">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排放量</w:t>
                  </w:r>
                </w:p>
              </w:tc>
              <w:tc>
                <w:tcPr>
                  <w:tcW w:w="2066" w:type="pct"/>
                  <w:vAlign w:val="center"/>
                </w:tcPr>
                <w:p w14:paraId="3FA65F2C">
                  <w:pPr>
                    <w:pStyle w:val="79"/>
                    <w:jc w:val="both"/>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排放去向</w:t>
                  </w:r>
                </w:p>
              </w:tc>
            </w:tr>
            <w:tr w14:paraId="4F10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6077C5A6">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w:t>
                  </w:r>
                </w:p>
              </w:tc>
              <w:tc>
                <w:tcPr>
                  <w:tcW w:w="1038" w:type="pct"/>
                  <w:vAlign w:val="center"/>
                </w:tcPr>
                <w:p w14:paraId="5D217E65">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生活垃圾</w:t>
                  </w:r>
                </w:p>
              </w:tc>
              <w:tc>
                <w:tcPr>
                  <w:tcW w:w="671" w:type="pct"/>
                  <w:vAlign w:val="center"/>
                </w:tcPr>
                <w:p w14:paraId="6F2047E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4.2t/a</w:t>
                  </w:r>
                </w:p>
              </w:tc>
              <w:tc>
                <w:tcPr>
                  <w:tcW w:w="699" w:type="pct"/>
                  <w:vAlign w:val="center"/>
                </w:tcPr>
                <w:p w14:paraId="1F4C28F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2066" w:type="pct"/>
                  <w:vAlign w:val="center"/>
                </w:tcPr>
                <w:p w14:paraId="7CBCA3E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垃圾桶收集，环卫部门统一清运处理</w:t>
                  </w:r>
                </w:p>
              </w:tc>
            </w:tr>
            <w:tr w14:paraId="5F43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1DEF81D3">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p>
              </w:tc>
              <w:tc>
                <w:tcPr>
                  <w:tcW w:w="1038" w:type="pct"/>
                  <w:vAlign w:val="center"/>
                </w:tcPr>
                <w:p w14:paraId="48792CC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沉淀池沉渣</w:t>
                  </w:r>
                </w:p>
              </w:tc>
              <w:tc>
                <w:tcPr>
                  <w:tcW w:w="671" w:type="pct"/>
                  <w:vAlign w:val="center"/>
                </w:tcPr>
                <w:p w14:paraId="40427D6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4t/a</w:t>
                  </w:r>
                </w:p>
              </w:tc>
              <w:tc>
                <w:tcPr>
                  <w:tcW w:w="699" w:type="pct"/>
                  <w:vAlign w:val="center"/>
                </w:tcPr>
                <w:p w14:paraId="45FD50EF">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2066" w:type="pct"/>
                  <w:vAlign w:val="center"/>
                </w:tcPr>
                <w:p w14:paraId="67121A6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回用于生产线，不外排</w:t>
                  </w:r>
                </w:p>
              </w:tc>
            </w:tr>
            <w:tr w14:paraId="750D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683358FA">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w:t>
                  </w:r>
                </w:p>
              </w:tc>
              <w:tc>
                <w:tcPr>
                  <w:tcW w:w="1038" w:type="pct"/>
                  <w:vAlign w:val="center"/>
                </w:tcPr>
                <w:p w14:paraId="4A3266C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布袋除尘器收集的粉尘</w:t>
                  </w:r>
                </w:p>
              </w:tc>
              <w:tc>
                <w:tcPr>
                  <w:tcW w:w="671" w:type="pct"/>
                  <w:vAlign w:val="center"/>
                </w:tcPr>
                <w:p w14:paraId="1619792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13.2t/a</w:t>
                  </w:r>
                </w:p>
              </w:tc>
              <w:tc>
                <w:tcPr>
                  <w:tcW w:w="699" w:type="pct"/>
                  <w:vAlign w:val="center"/>
                </w:tcPr>
                <w:p w14:paraId="466D5BD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2066" w:type="pct"/>
                  <w:vAlign w:val="center"/>
                </w:tcPr>
                <w:p w14:paraId="75B9BC6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回用于生产线，不外排</w:t>
                  </w:r>
                </w:p>
              </w:tc>
            </w:tr>
            <w:tr w14:paraId="3666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0E0B2964">
                  <w:pPr>
                    <w:pStyle w:val="79"/>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w:t>
                  </w:r>
                </w:p>
              </w:tc>
              <w:tc>
                <w:tcPr>
                  <w:tcW w:w="1038" w:type="pct"/>
                  <w:vAlign w:val="center"/>
                </w:tcPr>
                <w:p w14:paraId="6491566D">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不合格品</w:t>
                  </w:r>
                </w:p>
              </w:tc>
              <w:tc>
                <w:tcPr>
                  <w:tcW w:w="671" w:type="pct"/>
                  <w:vAlign w:val="center"/>
                </w:tcPr>
                <w:p w14:paraId="30E9FCC4">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29.76t/a</w:t>
                  </w:r>
                </w:p>
              </w:tc>
              <w:tc>
                <w:tcPr>
                  <w:tcW w:w="699" w:type="pct"/>
                  <w:vAlign w:val="center"/>
                </w:tcPr>
                <w:p w14:paraId="73EB963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0</w:t>
                  </w:r>
                </w:p>
              </w:tc>
              <w:tc>
                <w:tcPr>
                  <w:tcW w:w="2066" w:type="pct"/>
                  <w:vAlign w:val="center"/>
                </w:tcPr>
                <w:p w14:paraId="36C69BA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回用于生产线，不外排</w:t>
                  </w:r>
                </w:p>
              </w:tc>
            </w:tr>
          </w:tbl>
          <w:p w14:paraId="65CE8DD6">
            <w:pPr>
              <w:spacing w:before="120" w:beforeLines="50" w:line="360" w:lineRule="auto"/>
              <w:ind w:firstLine="482" w:firstLineChars="200"/>
              <w:rPr>
                <w:rFonts w:eastAsiaTheme="minorEastAsia"/>
                <w:b/>
                <w:color w:val="000000" w:themeColor="text1"/>
                <w:sz w:val="24"/>
                <w14:textFill>
                  <w14:solidFill>
                    <w14:schemeClr w14:val="tx1"/>
                  </w14:solidFill>
                </w14:textFill>
              </w:rPr>
            </w:pPr>
            <w:r>
              <w:rPr>
                <w:rFonts w:eastAsiaTheme="minorEastAsia"/>
                <w:b/>
                <w:color w:val="000000" w:themeColor="text1"/>
                <w:sz w:val="24"/>
                <w14:textFill>
                  <w14:solidFill>
                    <w14:schemeClr w14:val="tx1"/>
                  </w14:solidFill>
                </w14:textFill>
              </w:rPr>
              <w:t>综上，项目固废采取以上合理的处置措施后，去向明确，不会对周围环境造成明显影响。</w:t>
            </w:r>
          </w:p>
          <w:p w14:paraId="6B4A14B3">
            <w:pPr>
              <w:spacing w:line="360" w:lineRule="auto"/>
              <w:rPr>
                <w:rFonts w:eastAsiaTheme="minorEastAsia"/>
                <w:color w:val="000000" w:themeColor="text1"/>
                <w:sz w:val="24"/>
                <w14:textFill>
                  <w14:solidFill>
                    <w14:schemeClr w14:val="tx1"/>
                  </w14:solidFill>
                </w14:textFill>
              </w:rPr>
            </w:pPr>
            <w:r>
              <w:rPr>
                <w:rFonts w:eastAsiaTheme="minorEastAsia"/>
                <w:b/>
                <w:color w:val="000000" w:themeColor="text1"/>
                <w:kern w:val="28"/>
                <w:sz w:val="24"/>
                <w14:textFill>
                  <w14:solidFill>
                    <w14:schemeClr w14:val="tx1"/>
                  </w14:solidFill>
                </w14:textFill>
              </w:rPr>
              <w:t>5、地下水、土壤</w:t>
            </w:r>
          </w:p>
          <w:p w14:paraId="37EAE22F">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根据项目特点，本项目的沉淀池、制砂池以及导流沟可能存在一定污染地下水和土壤的途径。环评要求对租用的空地地面进行水泥硬化，对沉淀池、制砂池以及冲洗水导流沟及生</w:t>
            </w:r>
            <w:r>
              <w:rPr>
                <w:rFonts w:hint="eastAsia" w:eastAsiaTheme="minorEastAsia"/>
                <w:bCs/>
                <w:color w:val="000000" w:themeColor="text1"/>
                <w:sz w:val="24"/>
                <w:lang w:eastAsia="zh-CN"/>
                <w14:textFill>
                  <w14:solidFill>
                    <w14:schemeClr w14:val="tx1"/>
                  </w14:solidFill>
                </w14:textFill>
              </w:rPr>
              <w:t>产</w:t>
            </w:r>
            <w:r>
              <w:rPr>
                <w:rFonts w:eastAsiaTheme="minorEastAsia"/>
                <w:bCs/>
                <w:color w:val="000000" w:themeColor="text1"/>
                <w:sz w:val="24"/>
                <w14:textFill>
                  <w14:solidFill>
                    <w14:schemeClr w14:val="tx1"/>
                  </w14:solidFill>
                </w14:textFill>
              </w:rPr>
              <w:t>车间其他区域进行一般防渗，使其渗透系数K≤10</w:t>
            </w:r>
            <w:r>
              <w:rPr>
                <w:rFonts w:eastAsiaTheme="minorEastAsia"/>
                <w:bCs/>
                <w:color w:val="000000" w:themeColor="text1"/>
                <w:sz w:val="24"/>
                <w:vertAlign w:val="superscript"/>
                <w14:textFill>
                  <w14:solidFill>
                    <w14:schemeClr w14:val="tx1"/>
                  </w14:solidFill>
                </w14:textFill>
              </w:rPr>
              <w:t>-7</w:t>
            </w:r>
            <w:r>
              <w:rPr>
                <w:rFonts w:eastAsiaTheme="minorEastAsia"/>
                <w:bCs/>
                <w:color w:val="000000" w:themeColor="text1"/>
                <w:sz w:val="24"/>
                <w14:textFill>
                  <w14:solidFill>
                    <w14:schemeClr w14:val="tx1"/>
                  </w14:solidFill>
                </w14:textFill>
              </w:rPr>
              <w:t>cm/s。</w:t>
            </w:r>
          </w:p>
          <w:p w14:paraId="24698886">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此外企业应定期对</w:t>
            </w:r>
            <w:r>
              <w:rPr>
                <w:rFonts w:eastAsiaTheme="minorEastAsia"/>
                <w:bCs/>
                <w:color w:val="000000" w:themeColor="text1"/>
                <w:sz w:val="24"/>
                <w14:textFill>
                  <w14:solidFill>
                    <w14:schemeClr w14:val="tx1"/>
                  </w14:solidFill>
                </w14:textFill>
              </w:rPr>
              <w:t>沉淀池、制砂池以及冲洗水导流沟</w:t>
            </w:r>
            <w:r>
              <w:rPr>
                <w:rFonts w:eastAsiaTheme="minorEastAsia"/>
                <w:color w:val="000000" w:themeColor="text1"/>
                <w:sz w:val="24"/>
                <w14:textFill>
                  <w14:solidFill>
                    <w14:schemeClr w14:val="tx1"/>
                  </w14:solidFill>
                </w14:textFill>
              </w:rPr>
              <w:t>进行检查和维护，一旦发现裂缝、裂隙，应立即进行修补，确保防渗措施的完整性、密闭性和连续性，确保防渗效果。严格加强厂区环境管理。</w:t>
            </w:r>
          </w:p>
          <w:p w14:paraId="6CD23205">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综上，在确保防渗措施得以有效落实，并加强维护厂区环境管理的前提下，可有效控制污染物下渗现象，不会对评价区域地下水、土壤环境质量造成污染影响。此外本项目废气污染物主要为颗粒物，成分较简单，毒害性较低，废气沉降</w:t>
            </w:r>
            <w:r>
              <w:rPr>
                <w:rFonts w:hint="eastAsia" w:eastAsiaTheme="minorEastAsia"/>
                <w:color w:val="000000" w:themeColor="text1"/>
                <w:sz w:val="24"/>
                <w:lang w:eastAsia="zh-CN"/>
                <w14:textFill>
                  <w14:solidFill>
                    <w14:schemeClr w14:val="tx1"/>
                  </w14:solidFill>
                </w14:textFill>
              </w:rPr>
              <w:t>对</w:t>
            </w:r>
            <w:r>
              <w:rPr>
                <w:rFonts w:eastAsiaTheme="minorEastAsia"/>
                <w:color w:val="000000" w:themeColor="text1"/>
                <w:sz w:val="24"/>
                <w14:textFill>
                  <w14:solidFill>
                    <w14:schemeClr w14:val="tx1"/>
                  </w14:solidFill>
                </w14:textFill>
              </w:rPr>
              <w:t>土壤环境的影响较小。</w:t>
            </w:r>
          </w:p>
          <w:p w14:paraId="3995AA2B">
            <w:pPr>
              <w:spacing w:line="360" w:lineRule="auto"/>
              <w:rPr>
                <w:rFonts w:eastAsiaTheme="minorEastAsia"/>
                <w:b/>
                <w:color w:val="000000" w:themeColor="text1"/>
                <w:kern w:val="28"/>
                <w:sz w:val="24"/>
                <w14:textFill>
                  <w14:solidFill>
                    <w14:schemeClr w14:val="tx1"/>
                  </w14:solidFill>
                </w14:textFill>
              </w:rPr>
            </w:pPr>
            <w:r>
              <w:rPr>
                <w:rFonts w:eastAsiaTheme="minorEastAsia"/>
                <w:b/>
                <w:color w:val="000000" w:themeColor="text1"/>
                <w:kern w:val="28"/>
                <w:sz w:val="24"/>
                <w14:textFill>
                  <w14:solidFill>
                    <w14:schemeClr w14:val="tx1"/>
                  </w14:solidFill>
                </w14:textFill>
              </w:rPr>
              <w:t>6</w:t>
            </w:r>
            <w:r>
              <w:rPr>
                <w:b/>
                <w:color w:val="000000" w:themeColor="text1"/>
                <w:sz w:val="24"/>
                <w14:textFill>
                  <w14:solidFill>
                    <w14:schemeClr w14:val="tx1"/>
                  </w14:solidFill>
                </w14:textFill>
              </w:rPr>
              <w:t>、</w:t>
            </w:r>
            <w:r>
              <w:rPr>
                <w:rFonts w:eastAsiaTheme="minorEastAsia"/>
                <w:b/>
                <w:color w:val="000000" w:themeColor="text1"/>
                <w:kern w:val="28"/>
                <w:sz w:val="24"/>
                <w14:textFill>
                  <w14:solidFill>
                    <w14:schemeClr w14:val="tx1"/>
                  </w14:solidFill>
                </w14:textFill>
              </w:rPr>
              <w:t>生态</w:t>
            </w:r>
          </w:p>
          <w:p w14:paraId="09F3AF72">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项目在砖厂已占地内建设，不新增占地，故无新增生态保护措施。</w:t>
            </w:r>
          </w:p>
          <w:p w14:paraId="30FAA63C">
            <w:pPr>
              <w:spacing w:line="360" w:lineRule="auto"/>
              <w:rPr>
                <w:rFonts w:eastAsiaTheme="minorEastAsia"/>
                <w:b/>
                <w:color w:val="000000" w:themeColor="text1"/>
                <w:kern w:val="28"/>
                <w:sz w:val="24"/>
                <w14:textFill>
                  <w14:solidFill>
                    <w14:schemeClr w14:val="tx1"/>
                  </w14:solidFill>
                </w14:textFill>
              </w:rPr>
            </w:pPr>
            <w:r>
              <w:rPr>
                <w:rFonts w:eastAsiaTheme="minorEastAsia"/>
                <w:b/>
                <w:color w:val="000000" w:themeColor="text1"/>
                <w:kern w:val="28"/>
                <w:sz w:val="24"/>
                <w14:textFill>
                  <w14:solidFill>
                    <w14:schemeClr w14:val="tx1"/>
                  </w14:solidFill>
                </w14:textFill>
              </w:rPr>
              <w:t>7</w:t>
            </w:r>
            <w:r>
              <w:rPr>
                <w:b/>
                <w:color w:val="000000" w:themeColor="text1"/>
                <w:sz w:val="24"/>
                <w14:textFill>
                  <w14:solidFill>
                    <w14:schemeClr w14:val="tx1"/>
                  </w14:solidFill>
                </w14:textFill>
              </w:rPr>
              <w:t>、</w:t>
            </w:r>
            <w:r>
              <w:rPr>
                <w:rFonts w:eastAsiaTheme="minorEastAsia"/>
                <w:b/>
                <w:color w:val="000000" w:themeColor="text1"/>
                <w:kern w:val="28"/>
                <w:sz w:val="24"/>
                <w14:textFill>
                  <w14:solidFill>
                    <w14:schemeClr w14:val="tx1"/>
                  </w14:solidFill>
                </w14:textFill>
              </w:rPr>
              <w:t>环境风险</w:t>
            </w:r>
          </w:p>
          <w:p w14:paraId="6FEDF06B">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7.1风险识别</w:t>
            </w:r>
          </w:p>
          <w:p w14:paraId="564543E0">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本项目使用的原辅材料主要为建筑垃圾、碎石，水泥、粉煤灰、石灰等，无危险化学品，故不需要设置风险专项评价。</w:t>
            </w:r>
          </w:p>
          <w:p w14:paraId="02B5DF3E">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根据项目实际情况，最大可信事故为布袋除尘器失效以及车间电器火灾。</w:t>
            </w:r>
          </w:p>
          <w:p w14:paraId="5E99212C">
            <w:pPr>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7.2风险防范措施</w:t>
            </w:r>
          </w:p>
          <w:p w14:paraId="585F00D3">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（1）布袋除尘器风险防范措施</w:t>
            </w:r>
          </w:p>
          <w:p w14:paraId="10DD22FB">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为预防废气设备故障导致废气超标排放，公司应采取以下预防措施：</w:t>
            </w:r>
          </w:p>
          <w:p w14:paraId="68ADBAF3">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公司应按照环保主管部门的规定，严格实行废气的总量控制，废气产生量与废气处理设施的处理能力合理匹配。</w:t>
            </w:r>
          </w:p>
          <w:p w14:paraId="72CE2305">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除尘设备定期维护，包括正常时的检查、管路和设备的清扫、疏通</w:t>
            </w:r>
            <w:r>
              <w:rPr>
                <w:rFonts w:hint="eastAsia" w:eastAsiaTheme="minorEastAsia"/>
                <w:color w:val="000000" w:themeColor="text1"/>
                <w:sz w:val="24"/>
                <w:lang w:eastAsia="zh-CN"/>
                <w14:textFill>
                  <w14:solidFill>
                    <w14:schemeClr w14:val="tx1"/>
                  </w14:solidFill>
                </w14:textFill>
              </w:rPr>
              <w:t>堵塞</w:t>
            </w:r>
            <w:r>
              <w:rPr>
                <w:rFonts w:eastAsiaTheme="minorEastAsia"/>
                <w:color w:val="000000" w:themeColor="text1"/>
                <w:sz w:val="24"/>
                <w14:textFill>
                  <w14:solidFill>
                    <w14:schemeClr w14:val="tx1"/>
                  </w14:solidFill>
                </w14:textFill>
              </w:rPr>
              <w:t>，定期进行中修和大修，维护范围包括工程配套设施。减少粉尘的非正常排放事故的污染影响程度和范围。</w:t>
            </w:r>
          </w:p>
          <w:p w14:paraId="7A668F2A">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eastAsiaTheme="minorEastAsia"/>
                <w:color w:val="000000" w:themeColor="text1"/>
                <w:sz w:val="24"/>
                <w14:textFill>
                  <w14:solidFill>
                    <w14:schemeClr w14:val="tx1"/>
                  </w14:solidFill>
                </w14:textFill>
              </w:rPr>
              <w:t>除尘设备投运一周内应对各链接件进行紧固，对运行部件逐一检查。</w:t>
            </w:r>
          </w:p>
          <w:p w14:paraId="758CC939">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eastAsiaTheme="minorEastAsia"/>
                <w:color w:val="000000" w:themeColor="text1"/>
                <w:sz w:val="24"/>
                <w14:textFill>
                  <w14:solidFill>
                    <w14:schemeClr w14:val="tx1"/>
                  </w14:solidFill>
                </w14:textFill>
              </w:rPr>
              <w:t>严格的工艺操作规程，加强安全监督和管理，提高职工的安全意识和环保意识。定期对布袋除尘器装置进行检查。</w:t>
            </w:r>
          </w:p>
          <w:p w14:paraId="56AA929F">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eastAsiaTheme="minorEastAsia"/>
                <w:color w:val="000000" w:themeColor="text1"/>
                <w:sz w:val="24"/>
                <w14:textFill>
                  <w14:solidFill>
                    <w14:schemeClr w14:val="tx1"/>
                  </w14:solidFill>
                </w14:textFill>
              </w:rPr>
              <w:t>定期排查并消除可能导致事故的诱因，加强安全管理，将非正常工况排放的机率减到最小、采取措施杜绝风险事故的发生。</w:t>
            </w:r>
          </w:p>
          <w:p w14:paraId="37C9B1D4">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（2）火灾事故风险防范措施</w:t>
            </w:r>
          </w:p>
          <w:p w14:paraId="059C33D5">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加强消防设施的日常管理，确保事故时消防设施能够正常使用，针对厂房等可能出现的火灾事故进行消防演练。</w:t>
            </w:r>
          </w:p>
          <w:p w14:paraId="063DAA45">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严格明火管理，严禁吸烟、动火。严格按照《中华人民共和国爆炸危险场所安全规程》和现行有关标准、规程及要求执行。</w:t>
            </w:r>
          </w:p>
          <w:p w14:paraId="1613715C">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eastAsiaTheme="minorEastAsia"/>
                <w:color w:val="000000" w:themeColor="text1"/>
                <w:sz w:val="24"/>
                <w14:textFill>
                  <w14:solidFill>
                    <w14:schemeClr w14:val="tx1"/>
                  </w14:solidFill>
                </w14:textFill>
              </w:rPr>
              <w:t>厂房内配备足够数量的二氧化碳灭火器或干粉灭火器等消防器材，消防器材应当设置在明显和便于取用的地点，周围不准堆放物品与杂物。消防器材</w:t>
            </w:r>
            <w:r>
              <w:rPr>
                <w:rFonts w:hint="eastAsia" w:eastAsiaTheme="minorEastAsia"/>
                <w:color w:val="000000" w:themeColor="text1"/>
                <w:sz w:val="24"/>
                <w:lang w:eastAsia="zh-CN"/>
                <w14:textFill>
                  <w14:solidFill>
                    <w14:schemeClr w14:val="tx1"/>
                  </w14:solidFill>
                </w14:textFill>
              </w:rPr>
              <w:t>应当</w:t>
            </w:r>
            <w:r>
              <w:rPr>
                <w:rFonts w:eastAsiaTheme="minorEastAsia"/>
                <w:color w:val="000000" w:themeColor="text1"/>
                <w:sz w:val="24"/>
                <w14:textFill>
                  <w14:solidFill>
                    <w14:schemeClr w14:val="tx1"/>
                  </w14:solidFill>
                </w14:textFill>
              </w:rPr>
              <w:t>由专人管理，负责检查、维修、保养和添置，保证完好有效，严禁圈占、埋压和挪用。配备的消防器材与设施应当标识明确。</w:t>
            </w:r>
          </w:p>
          <w:p w14:paraId="336B084F">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eastAsiaTheme="minorEastAsia"/>
                <w:color w:val="000000" w:themeColor="text1"/>
                <w:sz w:val="24"/>
                <w14:textFill>
                  <w14:solidFill>
                    <w14:schemeClr w14:val="tx1"/>
                  </w14:solidFill>
                </w14:textFill>
              </w:rPr>
              <w:t>项目内定期进行电路、电气检查，消除安全隐患。</w:t>
            </w:r>
          </w:p>
          <w:p w14:paraId="2826A7DD">
            <w:pPr>
              <w:spacing w:line="360" w:lineRule="auto"/>
              <w:ind w:firstLine="480" w:firstLineChars="200"/>
              <w:rPr>
                <w:rFonts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eastAsiaTheme="minorEastAsia"/>
                <w:color w:val="000000" w:themeColor="text1"/>
                <w:sz w:val="24"/>
                <w14:textFill>
                  <w14:solidFill>
                    <w14:schemeClr w14:val="tx1"/>
                  </w14:solidFill>
                </w14:textFill>
              </w:rPr>
              <w:t>企业要加强消防安全管理，开展好消防安全检查和消防安全宣传教育，加强消防安全培训，建立健全各项消防安全制度，落实消防安全责任，提高职工的消防素质，规范配置灭火器材和消防装备。建设单位在项目竣工经过验收合格后，才能投入使用。</w:t>
            </w:r>
          </w:p>
          <w:p w14:paraId="003CDA79">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项目在落实上述风险</w:t>
            </w:r>
            <w:r>
              <w:rPr>
                <w:rFonts w:hint="eastAsia" w:eastAsiaTheme="minorEastAsia"/>
                <w:color w:val="000000" w:themeColor="text1"/>
                <w:sz w:val="24"/>
                <w:lang w:eastAsia="zh-CN"/>
                <w14:textFill>
                  <w14:solidFill>
                    <w14:schemeClr w14:val="tx1"/>
                  </w14:solidFill>
                </w14:textFill>
              </w:rPr>
              <w:t>防控</w:t>
            </w:r>
            <w:r>
              <w:rPr>
                <w:rFonts w:eastAsiaTheme="minorEastAsia"/>
                <w:color w:val="000000" w:themeColor="text1"/>
                <w:sz w:val="24"/>
                <w14:textFill>
                  <w14:solidFill>
                    <w14:schemeClr w14:val="tx1"/>
                  </w14:solidFill>
                </w14:textFill>
              </w:rPr>
              <w:t>措施后，运营期环境风险可接受。</w:t>
            </w:r>
          </w:p>
          <w:p w14:paraId="57DE11D8">
            <w:pPr>
              <w:spacing w:line="360" w:lineRule="auto"/>
              <w:ind w:firstLine="482" w:firstLineChars="200"/>
              <w:rPr>
                <w:bCs/>
                <w:color w:val="000000" w:themeColor="text1"/>
                <w:sz w:val="24"/>
                <w14:textFill>
                  <w14:solidFill>
                    <w14:schemeClr w14:val="tx1"/>
                  </w14:solidFill>
                </w14:textFill>
              </w:rPr>
            </w:pPr>
            <w:r>
              <w:rPr>
                <w:rFonts w:eastAsiaTheme="minorEastAsia"/>
                <w:b/>
                <w:color w:val="000000" w:themeColor="text1"/>
                <w:kern w:val="28"/>
                <w:sz w:val="24"/>
                <w14:textFill>
                  <w14:solidFill>
                    <w14:schemeClr w14:val="tx1"/>
                  </w14:solidFill>
                </w14:textFill>
              </w:rPr>
              <w:t>8</w:t>
            </w:r>
            <w:r>
              <w:rPr>
                <w:b/>
                <w:color w:val="000000" w:themeColor="text1"/>
                <w:sz w:val="24"/>
                <w14:textFill>
                  <w14:solidFill>
                    <w14:schemeClr w14:val="tx1"/>
                  </w14:solidFill>
                </w14:textFill>
              </w:rPr>
              <w:t>、新老污染源“三本账”</w:t>
            </w:r>
          </w:p>
          <w:p w14:paraId="039533D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本项目产业升级改建前后新老污染源“三本</w:t>
            </w:r>
            <w:r>
              <w:rPr>
                <w:rFonts w:hint="eastAsia"/>
                <w:color w:val="000000" w:themeColor="text1"/>
                <w:sz w:val="24"/>
                <w:lang w:eastAsia="zh-CN"/>
                <w14:textFill>
                  <w14:solidFill>
                    <w14:schemeClr w14:val="tx1"/>
                  </w14:solidFill>
                </w14:textFill>
              </w:rPr>
              <w:t>账</w:t>
            </w:r>
            <w:r>
              <w:rPr>
                <w:color w:val="000000" w:themeColor="text1"/>
                <w:sz w:val="24"/>
                <w14:textFill>
                  <w14:solidFill>
                    <w14:schemeClr w14:val="tx1"/>
                  </w14:solidFill>
                </w14:textFill>
              </w:rPr>
              <w:t>”见下表。</w:t>
            </w:r>
          </w:p>
          <w:p w14:paraId="79B9653E">
            <w:pPr>
              <w:pStyle w:val="2"/>
              <w:rPr>
                <w:color w:val="000000" w:themeColor="text1"/>
                <w14:textFill>
                  <w14:solidFill>
                    <w14:schemeClr w14:val="tx1"/>
                  </w14:solidFill>
                </w14:textFill>
              </w:rPr>
            </w:pPr>
          </w:p>
          <w:p w14:paraId="5BB35AA9">
            <w:pPr>
              <w:pStyle w:val="2"/>
              <w:rPr>
                <w:color w:val="000000" w:themeColor="text1"/>
                <w14:textFill>
                  <w14:solidFill>
                    <w14:schemeClr w14:val="tx1"/>
                  </w14:solidFill>
                </w14:textFill>
              </w:rPr>
            </w:pPr>
          </w:p>
          <w:p w14:paraId="3AA92EF7">
            <w:pPr>
              <w:pStyle w:val="2"/>
              <w:rPr>
                <w:color w:val="000000" w:themeColor="text1"/>
                <w14:textFill>
                  <w14:solidFill>
                    <w14:schemeClr w14:val="tx1"/>
                  </w14:solidFill>
                </w14:textFill>
              </w:rPr>
            </w:pPr>
          </w:p>
          <w:p w14:paraId="077F766E">
            <w:pPr>
              <w:ind w:firstLine="422"/>
              <w:jc w:val="center"/>
              <w:rPr>
                <w:color w:val="000000" w:themeColor="text1"/>
                <w14:textFill>
                  <w14:solidFill>
                    <w14:schemeClr w14:val="tx1"/>
                  </w14:solidFill>
                </w14:textFill>
              </w:rPr>
            </w:pPr>
            <w:r>
              <w:rPr>
                <w:b/>
                <w:color w:val="000000" w:themeColor="text1"/>
                <w14:textFill>
                  <w14:solidFill>
                    <w14:schemeClr w14:val="tx1"/>
                  </w14:solidFill>
                </w14:textFill>
              </w:rPr>
              <w:t>表4-16项目改建前后污染物排放“三本</w:t>
            </w:r>
            <w:r>
              <w:rPr>
                <w:rFonts w:hint="eastAsia"/>
                <w:b/>
                <w:color w:val="000000" w:themeColor="text1"/>
                <w:lang w:eastAsia="zh-CN"/>
                <w14:textFill>
                  <w14:solidFill>
                    <w14:schemeClr w14:val="tx1"/>
                  </w14:solidFill>
                </w14:textFill>
              </w:rPr>
              <w:t>账</w:t>
            </w:r>
            <w:r>
              <w:rPr>
                <w:b/>
                <w:color w:val="000000" w:themeColor="text1"/>
                <w14:textFill>
                  <w14:solidFill>
                    <w14:schemeClr w14:val="tx1"/>
                  </w14:solidFill>
                </w14:textFill>
              </w:rPr>
              <w:t>”比较（单位：t/a）</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0"/>
              <w:gridCol w:w="1360"/>
              <w:gridCol w:w="1393"/>
              <w:gridCol w:w="1346"/>
              <w:gridCol w:w="1197"/>
              <w:gridCol w:w="1495"/>
              <w:gridCol w:w="1421"/>
            </w:tblGrid>
            <w:tr w14:paraId="2CD4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320" w:type="pct"/>
                  <w:shd w:val="clear" w:color="auto" w:fill="auto"/>
                  <w:vAlign w:val="center"/>
                </w:tcPr>
                <w:p w14:paraId="1310A080">
                  <w:pPr>
                    <w:jc w:val="center"/>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775" w:type="pct"/>
                  <w:shd w:val="clear" w:color="auto" w:fill="auto"/>
                  <w:vAlign w:val="center"/>
                </w:tcPr>
                <w:p w14:paraId="531C7E73">
                  <w:pPr>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794" w:type="pct"/>
                  <w:shd w:val="clear" w:color="auto" w:fill="auto"/>
                  <w:vAlign w:val="center"/>
                </w:tcPr>
                <w:p w14:paraId="0CCB30F9">
                  <w:pPr>
                    <w:jc w:val="center"/>
                    <w:rPr>
                      <w:b/>
                      <w:color w:val="000000" w:themeColor="text1"/>
                      <w14:textFill>
                        <w14:solidFill>
                          <w14:schemeClr w14:val="tx1"/>
                        </w14:solidFill>
                      </w14:textFill>
                    </w:rPr>
                  </w:pPr>
                  <w:r>
                    <w:rPr>
                      <w:b/>
                      <w:color w:val="000000" w:themeColor="text1"/>
                      <w14:textFill>
                        <w14:solidFill>
                          <w14:schemeClr w14:val="tx1"/>
                        </w14:solidFill>
                      </w14:textFill>
                    </w:rPr>
                    <w:t>改建前项目排放量（t/a）</w:t>
                  </w:r>
                </w:p>
              </w:tc>
              <w:tc>
                <w:tcPr>
                  <w:tcW w:w="767" w:type="pct"/>
                  <w:shd w:val="clear" w:color="auto" w:fill="auto"/>
                  <w:vAlign w:val="center"/>
                </w:tcPr>
                <w:p w14:paraId="720E044B">
                  <w:pPr>
                    <w:jc w:val="center"/>
                    <w:rPr>
                      <w:b/>
                      <w:color w:val="000000" w:themeColor="text1"/>
                      <w14:textFill>
                        <w14:solidFill>
                          <w14:schemeClr w14:val="tx1"/>
                        </w14:solidFill>
                      </w14:textFill>
                    </w:rPr>
                  </w:pPr>
                  <w:r>
                    <w:rPr>
                      <w:b/>
                      <w:color w:val="000000" w:themeColor="text1"/>
                      <w14:textFill>
                        <w14:solidFill>
                          <w14:schemeClr w14:val="tx1"/>
                        </w14:solidFill>
                      </w14:textFill>
                    </w:rPr>
                    <w:t>拟建项目排放量（t/a）</w:t>
                  </w:r>
                </w:p>
              </w:tc>
              <w:tc>
                <w:tcPr>
                  <w:tcW w:w="682" w:type="pct"/>
                  <w:shd w:val="clear" w:color="auto" w:fill="auto"/>
                  <w:vAlign w:val="center"/>
                </w:tcPr>
                <w:p w14:paraId="132B103A">
                  <w:pPr>
                    <w:jc w:val="center"/>
                    <w:rPr>
                      <w:b/>
                      <w:color w:val="000000" w:themeColor="text1"/>
                      <w14:textFill>
                        <w14:solidFill>
                          <w14:schemeClr w14:val="tx1"/>
                        </w14:solidFill>
                      </w14:textFill>
                    </w:rPr>
                  </w:pPr>
                  <w:r>
                    <w:rPr>
                      <w:b/>
                      <w:color w:val="000000" w:themeColor="text1"/>
                      <w14:textFill>
                        <w14:solidFill>
                          <w14:schemeClr w14:val="tx1"/>
                        </w14:solidFill>
                      </w14:textFill>
                    </w:rPr>
                    <w:t>以新带老削减量（t/a）</w:t>
                  </w:r>
                </w:p>
              </w:tc>
              <w:tc>
                <w:tcPr>
                  <w:tcW w:w="852" w:type="pct"/>
                  <w:shd w:val="clear" w:color="auto" w:fill="auto"/>
                  <w:vAlign w:val="center"/>
                </w:tcPr>
                <w:p w14:paraId="716290E6">
                  <w:pPr>
                    <w:jc w:val="center"/>
                    <w:rPr>
                      <w:b/>
                      <w:color w:val="000000" w:themeColor="text1"/>
                      <w14:textFill>
                        <w14:solidFill>
                          <w14:schemeClr w14:val="tx1"/>
                        </w14:solidFill>
                      </w14:textFill>
                    </w:rPr>
                  </w:pPr>
                  <w:r>
                    <w:rPr>
                      <w:b/>
                      <w:color w:val="000000" w:themeColor="text1"/>
                      <w14:textFill>
                        <w14:solidFill>
                          <w14:schemeClr w14:val="tx1"/>
                        </w14:solidFill>
                      </w14:textFill>
                    </w:rPr>
                    <w:t>改建工程完成后总排放量（t/a）</w:t>
                  </w:r>
                </w:p>
              </w:tc>
              <w:tc>
                <w:tcPr>
                  <w:tcW w:w="811" w:type="pct"/>
                  <w:shd w:val="clear" w:color="auto" w:fill="auto"/>
                  <w:vAlign w:val="center"/>
                </w:tcPr>
                <w:p w14:paraId="59849E2F">
                  <w:pPr>
                    <w:jc w:val="center"/>
                    <w:rPr>
                      <w:b/>
                      <w:color w:val="000000" w:themeColor="text1"/>
                      <w14:textFill>
                        <w14:solidFill>
                          <w14:schemeClr w14:val="tx1"/>
                        </w14:solidFill>
                      </w14:textFill>
                    </w:rPr>
                  </w:pPr>
                  <w:r>
                    <w:rPr>
                      <w:b/>
                      <w:color w:val="000000" w:themeColor="text1"/>
                      <w14:textFill>
                        <w14:solidFill>
                          <w14:schemeClr w14:val="tx1"/>
                        </w14:solidFill>
                      </w14:textFill>
                    </w:rPr>
                    <w:t>增减量变化（t/a）</w:t>
                  </w:r>
                </w:p>
              </w:tc>
            </w:tr>
            <w:tr w14:paraId="37F92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20" w:type="pct"/>
                  <w:vMerge w:val="restart"/>
                  <w:shd w:val="clear" w:color="auto" w:fill="auto"/>
                  <w:vAlign w:val="center"/>
                </w:tcPr>
                <w:p w14:paraId="7F66D685">
                  <w:pPr>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775" w:type="pct"/>
                  <w:shd w:val="clear" w:color="auto" w:fill="auto"/>
                  <w:vAlign w:val="center"/>
                </w:tcPr>
                <w:p w14:paraId="3C26E7FF">
                  <w:pPr>
                    <w:jc w:val="center"/>
                    <w:rPr>
                      <w:color w:val="000000" w:themeColor="text1"/>
                      <w:spacing w:val="-20"/>
                      <w14:textFill>
                        <w14:solidFill>
                          <w14:schemeClr w14:val="tx1"/>
                        </w14:solidFill>
                      </w14:textFill>
                    </w:rPr>
                  </w:pPr>
                  <w:r>
                    <w:rPr>
                      <w:color w:val="000000" w:themeColor="text1"/>
                      <w:szCs w:val="21"/>
                      <w14:textFill>
                        <w14:solidFill>
                          <w14:schemeClr w14:val="tx1"/>
                        </w14:solidFill>
                      </w14:textFill>
                    </w:rPr>
                    <w:t>粉尘</w:t>
                  </w:r>
                </w:p>
              </w:tc>
              <w:tc>
                <w:tcPr>
                  <w:tcW w:w="794" w:type="pct"/>
                  <w:shd w:val="clear" w:color="auto" w:fill="auto"/>
                  <w:vAlign w:val="center"/>
                </w:tcPr>
                <w:p w14:paraId="5FF5A9FC">
                  <w:pPr>
                    <w:pStyle w:val="15"/>
                    <w:spacing w:line="240" w:lineRule="auto"/>
                    <w:ind w:firstLine="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0.3042</w:t>
                  </w:r>
                </w:p>
              </w:tc>
              <w:tc>
                <w:tcPr>
                  <w:tcW w:w="767" w:type="pct"/>
                  <w:shd w:val="clear" w:color="auto" w:fill="auto"/>
                  <w:vAlign w:val="center"/>
                </w:tcPr>
                <w:p w14:paraId="733558E3">
                  <w:pPr>
                    <w:widowControl/>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0.2403</w:t>
                  </w:r>
                </w:p>
              </w:tc>
              <w:tc>
                <w:tcPr>
                  <w:tcW w:w="682" w:type="pct"/>
                  <w:shd w:val="clear" w:color="auto" w:fill="auto"/>
                  <w:vAlign w:val="center"/>
                </w:tcPr>
                <w:p w14:paraId="23B68658">
                  <w:pPr>
                    <w:widowControl/>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0.0639</w:t>
                  </w:r>
                </w:p>
              </w:tc>
              <w:tc>
                <w:tcPr>
                  <w:tcW w:w="852" w:type="pct"/>
                  <w:shd w:val="clear" w:color="auto" w:fill="auto"/>
                  <w:vAlign w:val="center"/>
                </w:tcPr>
                <w:p w14:paraId="3F573FE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0.2403</w:t>
                  </w:r>
                </w:p>
              </w:tc>
              <w:tc>
                <w:tcPr>
                  <w:tcW w:w="811" w:type="pct"/>
                  <w:shd w:val="clear" w:color="auto" w:fill="auto"/>
                  <w:vAlign w:val="center"/>
                </w:tcPr>
                <w:p w14:paraId="6CA03F43">
                  <w:pPr>
                    <w:jc w:val="center"/>
                    <w:rPr>
                      <w:rFonts w:eastAsia="等线"/>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w:t>
                  </w:r>
                  <w:r>
                    <w:rPr>
                      <w:color w:val="000000" w:themeColor="text1"/>
                      <w:sz w:val="24"/>
                      <w14:textFill>
                        <w14:solidFill>
                          <w14:schemeClr w14:val="tx1"/>
                        </w14:solidFill>
                      </w14:textFill>
                    </w:rPr>
                    <w:t>0.0639</w:t>
                  </w:r>
                </w:p>
              </w:tc>
            </w:tr>
            <w:tr w14:paraId="2B2BF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20" w:type="pct"/>
                  <w:vMerge w:val="continue"/>
                  <w:shd w:val="clear" w:color="auto" w:fill="auto"/>
                  <w:vAlign w:val="center"/>
                </w:tcPr>
                <w:p w14:paraId="543D788D">
                  <w:pPr>
                    <w:ind w:firstLine="420"/>
                    <w:jc w:val="center"/>
                    <w:rPr>
                      <w:color w:val="000000" w:themeColor="text1"/>
                      <w14:textFill>
                        <w14:solidFill>
                          <w14:schemeClr w14:val="tx1"/>
                        </w14:solidFill>
                      </w14:textFill>
                    </w:rPr>
                  </w:pPr>
                </w:p>
              </w:tc>
              <w:tc>
                <w:tcPr>
                  <w:tcW w:w="775" w:type="pct"/>
                  <w:shd w:val="clear" w:color="auto" w:fill="auto"/>
                  <w:vAlign w:val="center"/>
                </w:tcPr>
                <w:p w14:paraId="3CCE7EF8">
                  <w:pPr>
                    <w:jc w:val="center"/>
                    <w:rPr>
                      <w:color w:val="000000" w:themeColor="text1"/>
                      <w:spacing w:val="-20"/>
                      <w14:textFill>
                        <w14:solidFill>
                          <w14:schemeClr w14:val="tx1"/>
                        </w14:solidFill>
                      </w14:textFill>
                    </w:rPr>
                  </w:pP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p>
              </w:tc>
              <w:tc>
                <w:tcPr>
                  <w:tcW w:w="794" w:type="pct"/>
                  <w:shd w:val="clear" w:color="auto" w:fill="auto"/>
                  <w:vAlign w:val="center"/>
                </w:tcPr>
                <w:p w14:paraId="00452202">
                  <w:pPr>
                    <w:pStyle w:val="15"/>
                    <w:spacing w:line="240" w:lineRule="auto"/>
                    <w:ind w:firstLine="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0.24</w:t>
                  </w:r>
                </w:p>
              </w:tc>
              <w:tc>
                <w:tcPr>
                  <w:tcW w:w="767" w:type="pct"/>
                  <w:shd w:val="clear" w:color="auto" w:fill="auto"/>
                  <w:vAlign w:val="center"/>
                </w:tcPr>
                <w:p w14:paraId="66A2165D">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0.24</w:t>
                  </w:r>
                </w:p>
              </w:tc>
              <w:tc>
                <w:tcPr>
                  <w:tcW w:w="682" w:type="pct"/>
                  <w:shd w:val="clear" w:color="auto" w:fill="auto"/>
                  <w:vAlign w:val="center"/>
                </w:tcPr>
                <w:p w14:paraId="7DF15738">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w:t>
                  </w:r>
                </w:p>
              </w:tc>
              <w:tc>
                <w:tcPr>
                  <w:tcW w:w="852" w:type="pct"/>
                  <w:shd w:val="clear" w:color="auto" w:fill="auto"/>
                  <w:vAlign w:val="center"/>
                </w:tcPr>
                <w:p w14:paraId="652074D4">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0.24</w:t>
                  </w:r>
                </w:p>
              </w:tc>
              <w:tc>
                <w:tcPr>
                  <w:tcW w:w="811" w:type="pct"/>
                  <w:shd w:val="clear" w:color="auto" w:fill="auto"/>
                  <w:vAlign w:val="center"/>
                </w:tcPr>
                <w:p w14:paraId="096A6752">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0</w:t>
                  </w:r>
                </w:p>
              </w:tc>
            </w:tr>
            <w:tr w14:paraId="20E77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20" w:type="pct"/>
                  <w:vMerge w:val="continue"/>
                  <w:shd w:val="clear" w:color="auto" w:fill="auto"/>
                  <w:vAlign w:val="center"/>
                </w:tcPr>
                <w:p w14:paraId="3D0655D8">
                  <w:pPr>
                    <w:ind w:firstLine="420"/>
                    <w:jc w:val="center"/>
                    <w:rPr>
                      <w:color w:val="000000" w:themeColor="text1"/>
                      <w14:textFill>
                        <w14:solidFill>
                          <w14:schemeClr w14:val="tx1"/>
                        </w14:solidFill>
                      </w14:textFill>
                    </w:rPr>
                  </w:pPr>
                </w:p>
              </w:tc>
              <w:tc>
                <w:tcPr>
                  <w:tcW w:w="775" w:type="pct"/>
                  <w:shd w:val="clear" w:color="auto" w:fill="auto"/>
                  <w:vAlign w:val="center"/>
                </w:tcPr>
                <w:p w14:paraId="16527F07">
                  <w:pPr>
                    <w:jc w:val="center"/>
                    <w:rPr>
                      <w:color w:val="000000" w:themeColor="text1"/>
                      <w:spacing w:val="-20"/>
                      <w14:textFill>
                        <w14:solidFill>
                          <w14:schemeClr w14:val="tx1"/>
                        </w14:solidFill>
                      </w14:textFill>
                    </w:rPr>
                  </w:pPr>
                  <w:r>
                    <w:rPr>
                      <w:color w:val="000000" w:themeColor="text1"/>
                      <w:sz w:val="24"/>
                      <w14:textFill>
                        <w14:solidFill>
                          <w14:schemeClr w14:val="tx1"/>
                        </w14:solidFill>
                      </w14:textFill>
                    </w:rPr>
                    <w:t>NOx</w:t>
                  </w:r>
                </w:p>
              </w:tc>
              <w:tc>
                <w:tcPr>
                  <w:tcW w:w="794" w:type="pct"/>
                  <w:shd w:val="clear" w:color="auto" w:fill="auto"/>
                  <w:vAlign w:val="center"/>
                </w:tcPr>
                <w:p w14:paraId="0296BEAA">
                  <w:pPr>
                    <w:pStyle w:val="15"/>
                    <w:spacing w:line="240" w:lineRule="auto"/>
                    <w:ind w:firstLine="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0.42</w:t>
                  </w:r>
                </w:p>
              </w:tc>
              <w:tc>
                <w:tcPr>
                  <w:tcW w:w="767" w:type="pct"/>
                  <w:shd w:val="clear" w:color="auto" w:fill="auto"/>
                  <w:vAlign w:val="center"/>
                </w:tcPr>
                <w:p w14:paraId="3B4BB709">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0.42</w:t>
                  </w:r>
                </w:p>
              </w:tc>
              <w:tc>
                <w:tcPr>
                  <w:tcW w:w="682" w:type="pct"/>
                  <w:shd w:val="clear" w:color="auto" w:fill="auto"/>
                  <w:vAlign w:val="center"/>
                </w:tcPr>
                <w:p w14:paraId="40E0A017">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w:t>
                  </w:r>
                </w:p>
              </w:tc>
              <w:tc>
                <w:tcPr>
                  <w:tcW w:w="852" w:type="pct"/>
                  <w:shd w:val="clear" w:color="auto" w:fill="auto"/>
                  <w:vAlign w:val="center"/>
                </w:tcPr>
                <w:p w14:paraId="582D9F1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0.42</w:t>
                  </w:r>
                </w:p>
              </w:tc>
              <w:tc>
                <w:tcPr>
                  <w:tcW w:w="811" w:type="pct"/>
                  <w:shd w:val="clear" w:color="auto" w:fill="auto"/>
                  <w:vAlign w:val="center"/>
                </w:tcPr>
                <w:p w14:paraId="33062BED">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0</w:t>
                  </w:r>
                </w:p>
              </w:tc>
            </w:tr>
            <w:tr w14:paraId="0030D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20" w:type="pct"/>
                  <w:shd w:val="clear" w:color="auto" w:fill="auto"/>
                  <w:vAlign w:val="center"/>
                </w:tcPr>
                <w:p w14:paraId="459EE573">
                  <w:pPr>
                    <w:jc w:val="center"/>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775" w:type="pct"/>
                  <w:shd w:val="clear" w:color="auto" w:fill="auto"/>
                  <w:vAlign w:val="center"/>
                </w:tcPr>
                <w:p w14:paraId="6AFF2692">
                  <w:pPr>
                    <w:jc w:val="center"/>
                    <w:rPr>
                      <w:color w:val="000000" w:themeColor="text1"/>
                      <w14:textFill>
                        <w14:solidFill>
                          <w14:schemeClr w14:val="tx1"/>
                        </w14:solidFill>
                      </w14:textFill>
                    </w:rPr>
                  </w:pPr>
                  <w:r>
                    <w:rPr>
                      <w:color w:val="000000" w:themeColor="text1"/>
                      <w14:textFill>
                        <w14:solidFill>
                          <w14:schemeClr w14:val="tx1"/>
                        </w14:solidFill>
                      </w14:textFill>
                    </w:rPr>
                    <w:t>生活污水</w:t>
                  </w:r>
                  <w:r>
                    <w:rPr>
                      <w:b/>
                      <w:color w:val="000000" w:themeColor="text1"/>
                      <w14:textFill>
                        <w14:solidFill>
                          <w14:schemeClr w14:val="tx1"/>
                        </w14:solidFill>
                      </w14:textFill>
                    </w:rPr>
                    <w:t>（</w:t>
                  </w:r>
                  <w:r>
                    <w:rPr>
                      <w:rFonts w:eastAsiaTheme="minorEastAsia"/>
                      <w:color w:val="000000" w:themeColor="text1"/>
                      <w:sz w:val="24"/>
                      <w14:textFill>
                        <w14:solidFill>
                          <w14:schemeClr w14:val="tx1"/>
                        </w14:solidFill>
                      </w14:textFill>
                    </w:rPr>
                    <w:t>m</w:t>
                  </w:r>
                  <w:r>
                    <w:rPr>
                      <w:rFonts w:eastAsiaTheme="minorEastAsia"/>
                      <w:color w:val="000000" w:themeColor="text1"/>
                      <w:sz w:val="24"/>
                      <w:vertAlign w:val="superscript"/>
                      <w14:textFill>
                        <w14:solidFill>
                          <w14:schemeClr w14:val="tx1"/>
                        </w14:solidFill>
                      </w14:textFill>
                    </w:rPr>
                    <w:t>3</w:t>
                  </w:r>
                  <w:r>
                    <w:rPr>
                      <w:b/>
                      <w:color w:val="000000" w:themeColor="text1"/>
                      <w14:textFill>
                        <w14:solidFill>
                          <w14:schemeClr w14:val="tx1"/>
                        </w14:solidFill>
                      </w14:textFill>
                    </w:rPr>
                    <w:t>/d）</w:t>
                  </w:r>
                </w:p>
              </w:tc>
              <w:tc>
                <w:tcPr>
                  <w:tcW w:w="794" w:type="pct"/>
                  <w:shd w:val="clear" w:color="auto" w:fill="auto"/>
                  <w:vAlign w:val="center"/>
                </w:tcPr>
                <w:p w14:paraId="652B8D44">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0.64</w:t>
                  </w:r>
                </w:p>
              </w:tc>
              <w:tc>
                <w:tcPr>
                  <w:tcW w:w="767" w:type="pct"/>
                  <w:shd w:val="clear" w:color="auto" w:fill="auto"/>
                  <w:vAlign w:val="center"/>
                </w:tcPr>
                <w:p w14:paraId="700FED4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1.19</w:t>
                  </w:r>
                </w:p>
              </w:tc>
              <w:tc>
                <w:tcPr>
                  <w:tcW w:w="682" w:type="pct"/>
                  <w:shd w:val="clear" w:color="auto" w:fill="auto"/>
                  <w:vAlign w:val="center"/>
                </w:tcPr>
                <w:p w14:paraId="0FD611FE">
                  <w:pPr>
                    <w:jc w:val="center"/>
                    <w:rPr>
                      <w:color w:val="000000" w:themeColor="text1"/>
                      <w:sz w:val="24"/>
                      <w14:textFill>
                        <w14:solidFill>
                          <w14:schemeClr w14:val="tx1"/>
                        </w14:solidFill>
                      </w14:textFill>
                    </w:rPr>
                  </w:pPr>
                  <w:r>
                    <w:rPr>
                      <w:rFonts w:eastAsia="等线"/>
                      <w:color w:val="000000" w:themeColor="text1"/>
                      <w:sz w:val="24"/>
                      <w14:textFill>
                        <w14:solidFill>
                          <w14:schemeClr w14:val="tx1"/>
                        </w14:solidFill>
                      </w14:textFill>
                    </w:rPr>
                    <w:t>/</w:t>
                  </w:r>
                </w:p>
              </w:tc>
              <w:tc>
                <w:tcPr>
                  <w:tcW w:w="852" w:type="pct"/>
                  <w:shd w:val="clear" w:color="auto" w:fill="auto"/>
                  <w:vAlign w:val="center"/>
                </w:tcPr>
                <w:p w14:paraId="72A2EA6B">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0.55</w:t>
                  </w:r>
                </w:p>
              </w:tc>
              <w:tc>
                <w:tcPr>
                  <w:tcW w:w="811" w:type="pct"/>
                  <w:shd w:val="clear" w:color="auto" w:fill="auto"/>
                  <w:vAlign w:val="center"/>
                </w:tcPr>
                <w:p w14:paraId="47857A73">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+0.55</w:t>
                  </w:r>
                </w:p>
              </w:tc>
            </w:tr>
          </w:tbl>
          <w:p w14:paraId="0555A74E">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由表可以看出，本次项目改建完成后，通过采取相应的环保措施后废气排放减少，并在区域环境内具有正效益作用。</w:t>
            </w:r>
          </w:p>
          <w:p w14:paraId="457CBA99">
            <w:pPr>
              <w:spacing w:line="360" w:lineRule="auto"/>
              <w:rPr>
                <w:rFonts w:eastAsiaTheme="minorEastAsia"/>
                <w:b/>
                <w:color w:val="000000" w:themeColor="text1"/>
                <w:kern w:val="28"/>
                <w:sz w:val="24"/>
                <w14:textFill>
                  <w14:solidFill>
                    <w14:schemeClr w14:val="tx1"/>
                  </w14:solidFill>
                </w14:textFill>
              </w:rPr>
            </w:pPr>
            <w:r>
              <w:rPr>
                <w:rFonts w:eastAsiaTheme="minorEastAsia"/>
                <w:b/>
                <w:color w:val="000000" w:themeColor="text1"/>
                <w:kern w:val="28"/>
                <w:sz w:val="24"/>
                <w14:textFill>
                  <w14:solidFill>
                    <w14:schemeClr w14:val="tx1"/>
                  </w14:solidFill>
                </w14:textFill>
              </w:rPr>
              <w:t>9</w:t>
            </w:r>
            <w:r>
              <w:rPr>
                <w:b/>
                <w:color w:val="000000" w:themeColor="text1"/>
                <w:sz w:val="24"/>
                <w14:textFill>
                  <w14:solidFill>
                    <w14:schemeClr w14:val="tx1"/>
                  </w14:solidFill>
                </w14:textFill>
              </w:rPr>
              <w:t>、</w:t>
            </w:r>
            <w:r>
              <w:rPr>
                <w:rFonts w:eastAsiaTheme="minorEastAsia"/>
                <w:b/>
                <w:color w:val="000000" w:themeColor="text1"/>
                <w:kern w:val="28"/>
                <w:sz w:val="24"/>
                <w14:textFill>
                  <w14:solidFill>
                    <w14:schemeClr w14:val="tx1"/>
                  </w14:solidFill>
                </w14:textFill>
              </w:rPr>
              <w:t>环保投资</w:t>
            </w:r>
          </w:p>
          <w:p w14:paraId="45CCE0DC">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本项目建设总投资1000万元，项目环保投资预计为60万元，占项目总投资的6%，项目环保设施及投资详见下表。</w:t>
            </w:r>
          </w:p>
          <w:p w14:paraId="0D817A9D">
            <w:pPr>
              <w:pStyle w:val="61"/>
              <w:spacing w:line="360" w:lineRule="auto"/>
              <w:ind w:firstLine="482"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表4-17 项目环保投资一览表   单位：万元</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65"/>
              <w:gridCol w:w="961"/>
              <w:gridCol w:w="1681"/>
              <w:gridCol w:w="3395"/>
              <w:gridCol w:w="1112"/>
              <w:gridCol w:w="958"/>
            </w:tblGrid>
            <w:tr w14:paraId="30F2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68" w:hRule="atLeast"/>
              </w:trPr>
              <w:tc>
                <w:tcPr>
                  <w:tcW w:w="379" w:type="pct"/>
                  <w:vAlign w:val="center"/>
                </w:tcPr>
                <w:p w14:paraId="43B24B5F">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序号</w:t>
                  </w:r>
                </w:p>
              </w:tc>
              <w:tc>
                <w:tcPr>
                  <w:tcW w:w="548" w:type="pct"/>
                  <w:vAlign w:val="center"/>
                </w:tcPr>
                <w:p w14:paraId="3631E48A">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类型</w:t>
                  </w:r>
                </w:p>
              </w:tc>
              <w:tc>
                <w:tcPr>
                  <w:tcW w:w="958" w:type="pct"/>
                  <w:vAlign w:val="center"/>
                </w:tcPr>
                <w:p w14:paraId="1EC6F003">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污染源</w:t>
                  </w:r>
                </w:p>
              </w:tc>
              <w:tc>
                <w:tcPr>
                  <w:tcW w:w="1935" w:type="pct"/>
                  <w:vAlign w:val="center"/>
                </w:tcPr>
                <w:p w14:paraId="72B7E017">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治理内容</w:t>
                  </w:r>
                </w:p>
              </w:tc>
              <w:tc>
                <w:tcPr>
                  <w:tcW w:w="634" w:type="pct"/>
                  <w:vAlign w:val="center"/>
                </w:tcPr>
                <w:p w14:paraId="4BD928F9">
                  <w:pPr>
                    <w:pStyle w:val="80"/>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环保投资（万元）</w:t>
                  </w:r>
                </w:p>
              </w:tc>
              <w:tc>
                <w:tcPr>
                  <w:tcW w:w="546" w:type="pct"/>
                  <w:vAlign w:val="center"/>
                </w:tcPr>
                <w:p w14:paraId="588FDF6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备注</w:t>
                  </w:r>
                </w:p>
              </w:tc>
            </w:tr>
            <w:tr w14:paraId="6CD2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817" w:hRule="atLeast"/>
              </w:trPr>
              <w:tc>
                <w:tcPr>
                  <w:tcW w:w="379" w:type="pct"/>
                  <w:vAlign w:val="center"/>
                </w:tcPr>
                <w:p w14:paraId="33F4158D">
                  <w:pPr>
                    <w:pStyle w:val="79"/>
                    <w:jc w:val="both"/>
                    <w:rPr>
                      <w:rFonts w:ascii="Times New Roman" w:hAnsi="Times New Roman" w:eastAsiaTheme="minorEastAsia"/>
                      <w:color w:val="000000" w:themeColor="text1"/>
                      <w:sz w:val="24"/>
                      <w:szCs w:val="24"/>
                      <w14:textFill>
                        <w14:solidFill>
                          <w14:schemeClr w14:val="tx1"/>
                        </w14:solidFill>
                      </w14:textFill>
                    </w:rPr>
                  </w:pPr>
                  <w:bookmarkStart w:id="15" w:name="_Hlk197079283"/>
                  <w:bookmarkStart w:id="16" w:name="_Hlk364781672"/>
                  <w:bookmarkStart w:id="17" w:name="OLE_LINK9" w:colFirst="3" w:colLast="3"/>
                  <w:bookmarkStart w:id="18" w:name="OLE_LINK16" w:colFirst="3" w:colLast="3"/>
                  <w:bookmarkStart w:id="19" w:name="OLE_LINK10" w:colFirst="3" w:colLast="3"/>
                  <w:bookmarkStart w:id="20" w:name="_Hlk173502611"/>
                  <w:bookmarkStart w:id="21" w:name="_Hlk179368970"/>
                  <w:bookmarkStart w:id="22" w:name="OLE_LINK14" w:colFirst="3" w:colLast="3"/>
                  <w:bookmarkStart w:id="23" w:name="OLE_LINK7" w:colFirst="3" w:colLast="3"/>
                  <w:bookmarkStart w:id="24" w:name="OLE_LINK13" w:colFirst="3" w:colLast="3"/>
                  <w:bookmarkStart w:id="25" w:name="_Hlk197079615"/>
                  <w:bookmarkStart w:id="26" w:name="OLE_LINK17" w:colFirst="3" w:colLast="3"/>
                  <w:bookmarkStart w:id="27" w:name="OLE_LINK8" w:colFirst="3" w:colLast="3"/>
                  <w:bookmarkStart w:id="28" w:name="OLE_LINK15" w:colFirst="3" w:colLast="3"/>
                  <w:r>
                    <w:rPr>
                      <w:rFonts w:ascii="Times New Roman" w:hAnsi="Times New Roman" w:eastAsiaTheme="minorEastAsia"/>
                      <w:color w:val="000000" w:themeColor="text1"/>
                      <w:sz w:val="24"/>
                      <w:szCs w:val="24"/>
                      <w14:textFill>
                        <w14:solidFill>
                          <w14:schemeClr w14:val="tx1"/>
                        </w14:solidFill>
                      </w14:textFill>
                    </w:rPr>
                    <w:t>1</w:t>
                  </w:r>
                </w:p>
              </w:tc>
              <w:tc>
                <w:tcPr>
                  <w:tcW w:w="548" w:type="pct"/>
                  <w:vMerge w:val="restart"/>
                  <w:vAlign w:val="center"/>
                </w:tcPr>
                <w:p w14:paraId="10276FA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大气污染物</w:t>
                  </w:r>
                </w:p>
              </w:tc>
              <w:tc>
                <w:tcPr>
                  <w:tcW w:w="958" w:type="pct"/>
                  <w:vAlign w:val="center"/>
                </w:tcPr>
                <w:p w14:paraId="62CF12A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生产废气</w:t>
                  </w:r>
                </w:p>
              </w:tc>
              <w:tc>
                <w:tcPr>
                  <w:tcW w:w="1935" w:type="pct"/>
                  <w:vAlign w:val="center"/>
                </w:tcPr>
                <w:p w14:paraId="7761E537">
                  <w:pPr>
                    <w:pStyle w:val="64"/>
                    <w:snapToGrid w:val="0"/>
                    <w:spacing w:line="240" w:lineRule="auto"/>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布袋除尘器1套，15m高排气筒（DA001）1根</w:t>
                  </w:r>
                </w:p>
              </w:tc>
              <w:tc>
                <w:tcPr>
                  <w:tcW w:w="634" w:type="pct"/>
                  <w:vAlign w:val="center"/>
                </w:tcPr>
                <w:p w14:paraId="3E4EC26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31</w:t>
                  </w:r>
                </w:p>
              </w:tc>
              <w:tc>
                <w:tcPr>
                  <w:tcW w:w="546" w:type="pct"/>
                  <w:vAlign w:val="center"/>
                </w:tcPr>
                <w:p w14:paraId="0DA37AD8">
                  <w:pPr>
                    <w:pStyle w:val="79"/>
                    <w:jc w:val="both"/>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提标改造</w:t>
                  </w:r>
                </w:p>
              </w:tc>
            </w:tr>
            <w:bookmarkEnd w:id="15"/>
            <w:bookmarkEnd w:id="16"/>
            <w:bookmarkEnd w:id="17"/>
            <w:bookmarkEnd w:id="18"/>
            <w:bookmarkEnd w:id="19"/>
            <w:bookmarkEnd w:id="20"/>
            <w:bookmarkEnd w:id="21"/>
            <w:bookmarkEnd w:id="22"/>
            <w:bookmarkEnd w:id="23"/>
            <w:bookmarkEnd w:id="24"/>
            <w:bookmarkEnd w:id="25"/>
            <w:bookmarkEnd w:id="26"/>
            <w:bookmarkEnd w:id="27"/>
            <w:bookmarkEnd w:id="28"/>
            <w:tr w14:paraId="235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817" w:hRule="atLeast"/>
              </w:trPr>
              <w:tc>
                <w:tcPr>
                  <w:tcW w:w="379" w:type="pct"/>
                  <w:vAlign w:val="center"/>
                </w:tcPr>
                <w:p w14:paraId="6BCEA5D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w:t>
                  </w:r>
                </w:p>
              </w:tc>
              <w:tc>
                <w:tcPr>
                  <w:tcW w:w="548" w:type="pct"/>
                  <w:vMerge w:val="continue"/>
                  <w:vAlign w:val="center"/>
                </w:tcPr>
                <w:p w14:paraId="7EECAFAC">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958" w:type="pct"/>
                  <w:vAlign w:val="center"/>
                </w:tcPr>
                <w:p w14:paraId="62A6F298">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无组织粉尘</w:t>
                  </w:r>
                </w:p>
              </w:tc>
              <w:tc>
                <w:tcPr>
                  <w:tcW w:w="1935" w:type="pct"/>
                  <w:vAlign w:val="center"/>
                </w:tcPr>
                <w:p w14:paraId="336587DF">
                  <w:pP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雾炮机1台，建筑垃圾碎石堆存区喷雾装置</w:t>
                  </w:r>
                </w:p>
              </w:tc>
              <w:tc>
                <w:tcPr>
                  <w:tcW w:w="634" w:type="pct"/>
                  <w:vAlign w:val="center"/>
                </w:tcPr>
                <w:p w14:paraId="72E98BD5">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12</w:t>
                  </w:r>
                </w:p>
              </w:tc>
              <w:tc>
                <w:tcPr>
                  <w:tcW w:w="546" w:type="pct"/>
                  <w:vAlign w:val="center"/>
                </w:tcPr>
                <w:p w14:paraId="63642B44">
                  <w:pPr>
                    <w:pStyle w:val="79"/>
                    <w:jc w:val="both"/>
                    <w:rPr>
                      <w:rFonts w:ascii="Times New Roman" w:hAnsi="Times New Roman" w:eastAsiaTheme="minorEastAsia"/>
                      <w:b/>
                      <w:bCs/>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新增</w:t>
                  </w:r>
                </w:p>
              </w:tc>
            </w:tr>
            <w:tr w14:paraId="793C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817" w:hRule="atLeast"/>
              </w:trPr>
              <w:tc>
                <w:tcPr>
                  <w:tcW w:w="379" w:type="pct"/>
                  <w:vAlign w:val="center"/>
                </w:tcPr>
                <w:p w14:paraId="097EE59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w:t>
                  </w:r>
                </w:p>
              </w:tc>
              <w:tc>
                <w:tcPr>
                  <w:tcW w:w="548" w:type="pct"/>
                  <w:vMerge w:val="continue"/>
                  <w:vAlign w:val="center"/>
                </w:tcPr>
                <w:p w14:paraId="5E751CF1">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958" w:type="pct"/>
                  <w:vAlign w:val="center"/>
                </w:tcPr>
                <w:p w14:paraId="3ED950C9">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锅炉烟气</w:t>
                  </w:r>
                </w:p>
              </w:tc>
              <w:tc>
                <w:tcPr>
                  <w:tcW w:w="1935" w:type="pct"/>
                  <w:vAlign w:val="center"/>
                </w:tcPr>
                <w:p w14:paraId="06A17B11">
                  <w:pP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燃气锅炉采用国内领先的低氮燃烧器，废气通过15m高排气筒排放</w:t>
                  </w:r>
                </w:p>
              </w:tc>
              <w:tc>
                <w:tcPr>
                  <w:tcW w:w="634" w:type="pct"/>
                  <w:vAlign w:val="center"/>
                </w:tcPr>
                <w:p w14:paraId="26DA308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w:t>
                  </w:r>
                </w:p>
              </w:tc>
              <w:tc>
                <w:tcPr>
                  <w:tcW w:w="546" w:type="pct"/>
                  <w:vAlign w:val="center"/>
                </w:tcPr>
                <w:p w14:paraId="23C99C7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b/>
                      <w:bCs/>
                      <w:color w:val="000000" w:themeColor="text1"/>
                      <w:sz w:val="24"/>
                      <w:szCs w:val="24"/>
                      <w14:textFill>
                        <w14:solidFill>
                          <w14:schemeClr w14:val="tx1"/>
                        </w14:solidFill>
                      </w14:textFill>
                    </w:rPr>
                    <w:t>提标改造</w:t>
                  </w:r>
                </w:p>
              </w:tc>
            </w:tr>
            <w:tr w14:paraId="7A0F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75" w:hRule="atLeast"/>
              </w:trPr>
              <w:tc>
                <w:tcPr>
                  <w:tcW w:w="379" w:type="pct"/>
                  <w:vMerge w:val="restart"/>
                  <w:vAlign w:val="center"/>
                </w:tcPr>
                <w:p w14:paraId="3E7ABEB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4</w:t>
                  </w:r>
                </w:p>
              </w:tc>
              <w:tc>
                <w:tcPr>
                  <w:tcW w:w="548" w:type="pct"/>
                  <w:vMerge w:val="restart"/>
                  <w:vAlign w:val="center"/>
                </w:tcPr>
                <w:p w14:paraId="639A650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水污染物</w:t>
                  </w:r>
                </w:p>
              </w:tc>
              <w:tc>
                <w:tcPr>
                  <w:tcW w:w="958" w:type="pct"/>
                  <w:vAlign w:val="center"/>
                </w:tcPr>
                <w:p w14:paraId="43AB2A6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生产废水</w:t>
                  </w:r>
                </w:p>
              </w:tc>
              <w:tc>
                <w:tcPr>
                  <w:tcW w:w="1935" w:type="pct"/>
                  <w:vAlign w:val="center"/>
                </w:tcPr>
                <w:p w14:paraId="33E6C513">
                  <w:pPr>
                    <w:pStyle w:val="64"/>
                    <w:snapToGrid w:val="0"/>
                    <w:spacing w:line="240" w:lineRule="auto"/>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沉淀池1座，容积10（m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p>
              </w:tc>
              <w:tc>
                <w:tcPr>
                  <w:tcW w:w="634" w:type="pct"/>
                  <w:vAlign w:val="center"/>
                </w:tcPr>
                <w:p w14:paraId="3BB218E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3</w:t>
                  </w:r>
                </w:p>
              </w:tc>
              <w:tc>
                <w:tcPr>
                  <w:tcW w:w="546" w:type="pct"/>
                  <w:vAlign w:val="center"/>
                </w:tcPr>
                <w:p w14:paraId="3DD09F03">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新增</w:t>
                  </w:r>
                </w:p>
              </w:tc>
            </w:tr>
            <w:tr w14:paraId="2DED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13" w:hRule="atLeast"/>
              </w:trPr>
              <w:tc>
                <w:tcPr>
                  <w:tcW w:w="379" w:type="pct"/>
                  <w:vMerge w:val="continue"/>
                  <w:vAlign w:val="center"/>
                </w:tcPr>
                <w:p w14:paraId="2DA18386">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548" w:type="pct"/>
                  <w:vMerge w:val="continue"/>
                  <w:vAlign w:val="center"/>
                </w:tcPr>
                <w:p w14:paraId="2599D84B">
                  <w:pPr>
                    <w:pStyle w:val="79"/>
                    <w:jc w:val="both"/>
                    <w:rPr>
                      <w:rFonts w:ascii="Times New Roman" w:hAnsi="Times New Roman" w:eastAsiaTheme="minorEastAsia"/>
                      <w:color w:val="000000" w:themeColor="text1"/>
                      <w:sz w:val="24"/>
                      <w:szCs w:val="24"/>
                      <w14:textFill>
                        <w14:solidFill>
                          <w14:schemeClr w14:val="tx1"/>
                        </w14:solidFill>
                      </w14:textFill>
                    </w:rPr>
                  </w:pPr>
                </w:p>
              </w:tc>
              <w:tc>
                <w:tcPr>
                  <w:tcW w:w="958" w:type="pct"/>
                  <w:vAlign w:val="center"/>
                </w:tcPr>
                <w:p w14:paraId="2C0809E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生活污水</w:t>
                  </w:r>
                </w:p>
              </w:tc>
              <w:tc>
                <w:tcPr>
                  <w:tcW w:w="1935" w:type="pct"/>
                  <w:vAlign w:val="center"/>
                </w:tcPr>
                <w:p w14:paraId="450F6E00">
                  <w:pPr>
                    <w:pStyle w:val="79"/>
                    <w:jc w:val="both"/>
                    <w:rPr>
                      <w:rFonts w:ascii="Times New Roman" w:hAnsi="Times New Roman" w:eastAsiaTheme="minorEastAsia"/>
                      <w:color w:val="000000" w:themeColor="text1"/>
                      <w:sz w:val="24"/>
                      <w:szCs w:val="24"/>
                      <w:vertAlign w:val="superscript"/>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依托砖厂已有预处理池（10m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w:t>
                  </w:r>
                </w:p>
              </w:tc>
              <w:tc>
                <w:tcPr>
                  <w:tcW w:w="634" w:type="pct"/>
                  <w:vAlign w:val="center"/>
                </w:tcPr>
                <w:p w14:paraId="7DB803AF">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w:t>
                  </w:r>
                </w:p>
              </w:tc>
              <w:tc>
                <w:tcPr>
                  <w:tcW w:w="546" w:type="pct"/>
                  <w:vAlign w:val="center"/>
                </w:tcPr>
                <w:p w14:paraId="04CB528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依托</w:t>
                  </w:r>
                </w:p>
              </w:tc>
            </w:tr>
            <w:tr w14:paraId="5D99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24" w:hRule="atLeast"/>
              </w:trPr>
              <w:tc>
                <w:tcPr>
                  <w:tcW w:w="379" w:type="pct"/>
                  <w:vAlign w:val="center"/>
                </w:tcPr>
                <w:p w14:paraId="6D9536E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5</w:t>
                  </w:r>
                </w:p>
              </w:tc>
              <w:tc>
                <w:tcPr>
                  <w:tcW w:w="548" w:type="pct"/>
                  <w:vAlign w:val="center"/>
                </w:tcPr>
                <w:p w14:paraId="3D8929C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噪声</w:t>
                  </w:r>
                </w:p>
              </w:tc>
              <w:tc>
                <w:tcPr>
                  <w:tcW w:w="958" w:type="pct"/>
                  <w:vAlign w:val="center"/>
                </w:tcPr>
                <w:p w14:paraId="29EC3546">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设备噪声</w:t>
                  </w:r>
                </w:p>
              </w:tc>
              <w:tc>
                <w:tcPr>
                  <w:tcW w:w="1935" w:type="pct"/>
                  <w:vAlign w:val="center"/>
                </w:tcPr>
                <w:p w14:paraId="2DD2D8D7">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基础减振、厂房隔声等措施</w:t>
                  </w:r>
                </w:p>
              </w:tc>
              <w:tc>
                <w:tcPr>
                  <w:tcW w:w="634" w:type="pct"/>
                  <w:vAlign w:val="center"/>
                </w:tcPr>
                <w:p w14:paraId="38ED37AE">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10</w:t>
                  </w:r>
                </w:p>
              </w:tc>
              <w:tc>
                <w:tcPr>
                  <w:tcW w:w="546" w:type="pct"/>
                  <w:vAlign w:val="center"/>
                </w:tcPr>
                <w:p w14:paraId="4DDFE4D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新增</w:t>
                  </w:r>
                </w:p>
              </w:tc>
            </w:tr>
            <w:tr w14:paraId="3179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924" w:hRule="atLeast"/>
              </w:trPr>
              <w:tc>
                <w:tcPr>
                  <w:tcW w:w="379" w:type="pct"/>
                  <w:vAlign w:val="center"/>
                </w:tcPr>
                <w:p w14:paraId="67BA6B0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w:t>
                  </w:r>
                </w:p>
              </w:tc>
              <w:tc>
                <w:tcPr>
                  <w:tcW w:w="548" w:type="pct"/>
                  <w:vAlign w:val="center"/>
                </w:tcPr>
                <w:p w14:paraId="62AD7EA0">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固体废物</w:t>
                  </w:r>
                </w:p>
              </w:tc>
              <w:tc>
                <w:tcPr>
                  <w:tcW w:w="958" w:type="pct"/>
                  <w:vAlign w:val="center"/>
                </w:tcPr>
                <w:p w14:paraId="56DB270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生产生活垃圾、办公垃圾</w:t>
                  </w:r>
                </w:p>
              </w:tc>
              <w:tc>
                <w:tcPr>
                  <w:tcW w:w="1935" w:type="pct"/>
                  <w:vAlign w:val="center"/>
                </w:tcPr>
                <w:p w14:paraId="2080C7BC">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设垃圾桶收集，由环卫部门统一清运</w:t>
                  </w:r>
                </w:p>
              </w:tc>
              <w:tc>
                <w:tcPr>
                  <w:tcW w:w="634" w:type="pct"/>
                  <w:vAlign w:val="center"/>
                </w:tcPr>
                <w:p w14:paraId="137E68A1">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1.0</w:t>
                  </w:r>
                </w:p>
              </w:tc>
              <w:tc>
                <w:tcPr>
                  <w:tcW w:w="546" w:type="pct"/>
                  <w:vAlign w:val="center"/>
                </w:tcPr>
                <w:p w14:paraId="1138058A">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新增</w:t>
                  </w:r>
                </w:p>
              </w:tc>
            </w:tr>
            <w:tr w14:paraId="5459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06" w:hRule="atLeast"/>
              </w:trPr>
              <w:tc>
                <w:tcPr>
                  <w:tcW w:w="3820" w:type="pct"/>
                  <w:gridSpan w:val="4"/>
                  <w:vAlign w:val="center"/>
                </w:tcPr>
                <w:p w14:paraId="099F7FBB">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合计</w:t>
                  </w:r>
                </w:p>
              </w:tc>
              <w:tc>
                <w:tcPr>
                  <w:tcW w:w="634" w:type="pct"/>
                  <w:vAlign w:val="center"/>
                </w:tcPr>
                <w:p w14:paraId="46CABE8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60</w:t>
                  </w:r>
                </w:p>
              </w:tc>
              <w:tc>
                <w:tcPr>
                  <w:tcW w:w="546" w:type="pct"/>
                  <w:vAlign w:val="center"/>
                </w:tcPr>
                <w:p w14:paraId="74484F62">
                  <w:pPr>
                    <w:pStyle w:val="79"/>
                    <w:jc w:val="both"/>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w:t>
                  </w:r>
                </w:p>
              </w:tc>
            </w:tr>
          </w:tbl>
          <w:p w14:paraId="31402E3B">
            <w:pPr>
              <w:pStyle w:val="2"/>
              <w:spacing w:after="0" w:line="360" w:lineRule="auto"/>
              <w:ind w:left="0" w:leftChars="0" w:firstLine="0" w:firstLineChars="0"/>
              <w:rPr>
                <w:rFonts w:eastAsiaTheme="minorEastAsia"/>
                <w:color w:val="000000" w:themeColor="text1"/>
                <w:sz w:val="24"/>
                <w14:textFill>
                  <w14:solidFill>
                    <w14:schemeClr w14:val="tx1"/>
                  </w14:solidFill>
                </w14:textFill>
              </w:rPr>
            </w:pPr>
          </w:p>
        </w:tc>
      </w:tr>
    </w:tbl>
    <w:p w14:paraId="42911523">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14:paraId="6539AF69">
      <w:pPr>
        <w:pStyle w:val="23"/>
        <w:spacing w:before="0" w:beforeAutospacing="0" w:after="0" w:afterAutospacing="0"/>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五、</w:t>
      </w:r>
      <w:bookmarkStart w:id="29" w:name="_Hlk54167917"/>
      <w:r>
        <w:rPr>
          <w:rFonts w:ascii="Times New Roman" w:hAnsi="Times New Roman"/>
          <w:b/>
          <w:bCs/>
          <w:snapToGrid w:val="0"/>
          <w:color w:val="000000" w:themeColor="text1"/>
          <w:sz w:val="30"/>
          <w:szCs w:val="30"/>
          <w14:textFill>
            <w14:solidFill>
              <w14:schemeClr w14:val="tx1"/>
            </w14:solidFill>
          </w14:textFill>
        </w:rPr>
        <w:t>环境保护措施监督检查清单</w:t>
      </w:r>
      <w:bookmarkEnd w:id="29"/>
    </w:p>
    <w:tbl>
      <w:tblPr>
        <w:tblStyle w:val="25"/>
        <w:tblW w:w="91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55"/>
        <w:gridCol w:w="1674"/>
        <w:gridCol w:w="1776"/>
        <w:gridCol w:w="2640"/>
      </w:tblGrid>
      <w:tr w14:paraId="7FC48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tcBorders>
              <w:tl2br w:val="single" w:color="auto" w:sz="4" w:space="0"/>
            </w:tcBorders>
          </w:tcPr>
          <w:p w14:paraId="40ED9E9F">
            <w:pPr>
              <w:adjustRightInd w:val="0"/>
              <w:snapToGrid w:val="0"/>
              <w:spacing w:line="440" w:lineRule="exact"/>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14:paraId="0B91C9FD">
            <w:pPr>
              <w:adjustRightInd w:val="0"/>
              <w:snapToGrid w:val="0"/>
              <w:spacing w:line="440" w:lineRule="exact"/>
              <w:ind w:left="105" w:leftChars="5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755" w:type="dxa"/>
            <w:vAlign w:val="center"/>
          </w:tcPr>
          <w:p w14:paraId="782F40AA">
            <w:pPr>
              <w:adjustRightInd w:val="0"/>
              <w:snapToGrid w:val="0"/>
              <w:spacing w:line="440" w:lineRule="exact"/>
              <w:ind w:left="105" w:lef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p w14:paraId="4599C39D">
            <w:pPr>
              <w:adjustRightInd w:val="0"/>
              <w:snapToGrid w:val="0"/>
              <w:spacing w:line="440" w:lineRule="exact"/>
              <w:ind w:left="105" w:lef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名称)/污染源</w:t>
            </w:r>
          </w:p>
        </w:tc>
        <w:tc>
          <w:tcPr>
            <w:tcW w:w="1674" w:type="dxa"/>
            <w:vAlign w:val="center"/>
          </w:tcPr>
          <w:p w14:paraId="6B1E10C3">
            <w:pPr>
              <w:adjustRightInd w:val="0"/>
              <w:snapToGrid w:val="0"/>
              <w:spacing w:line="440" w:lineRule="exact"/>
              <w:ind w:left="105" w:lef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1776" w:type="dxa"/>
            <w:vAlign w:val="center"/>
          </w:tcPr>
          <w:p w14:paraId="54D01262">
            <w:pPr>
              <w:adjustRightInd w:val="0"/>
              <w:snapToGrid w:val="0"/>
              <w:spacing w:line="440" w:lineRule="exact"/>
              <w:ind w:left="105" w:lef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2640" w:type="dxa"/>
            <w:vAlign w:val="center"/>
          </w:tcPr>
          <w:p w14:paraId="5F031B56">
            <w:pPr>
              <w:adjustRightInd w:val="0"/>
              <w:snapToGrid w:val="0"/>
              <w:spacing w:line="440" w:lineRule="exact"/>
              <w:ind w:left="105" w:left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76D63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vMerge w:val="restart"/>
            <w:vAlign w:val="center"/>
          </w:tcPr>
          <w:p w14:paraId="08396D74">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755" w:type="dxa"/>
            <w:vAlign w:val="center"/>
          </w:tcPr>
          <w:p w14:paraId="6819CBA5">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布袋除尘器（DA001）</w:t>
            </w:r>
          </w:p>
        </w:tc>
        <w:tc>
          <w:tcPr>
            <w:tcW w:w="1674" w:type="dxa"/>
            <w:vAlign w:val="center"/>
          </w:tcPr>
          <w:p w14:paraId="20A61808">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776" w:type="dxa"/>
            <w:vAlign w:val="center"/>
          </w:tcPr>
          <w:p w14:paraId="5E80AA5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布袋除尘器</w:t>
            </w:r>
          </w:p>
        </w:tc>
        <w:tc>
          <w:tcPr>
            <w:tcW w:w="2640" w:type="dxa"/>
            <w:vAlign w:val="center"/>
          </w:tcPr>
          <w:p w14:paraId="76F432B1">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《水泥工业大气污染物排放标准》（GB4915-2013）</w:t>
            </w:r>
          </w:p>
        </w:tc>
      </w:tr>
      <w:tr w14:paraId="5DB2B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273" w:type="dxa"/>
            <w:vMerge w:val="continue"/>
            <w:vAlign w:val="center"/>
          </w:tcPr>
          <w:p w14:paraId="5F0BA6F8">
            <w:pPr>
              <w:adjustRightInd w:val="0"/>
              <w:snapToGrid w:val="0"/>
              <w:ind w:left="105" w:leftChars="50"/>
              <w:jc w:val="center"/>
              <w:rPr>
                <w:color w:val="000000" w:themeColor="text1"/>
                <w:szCs w:val="21"/>
                <w14:textFill>
                  <w14:solidFill>
                    <w14:schemeClr w14:val="tx1"/>
                  </w14:solidFill>
                </w14:textFill>
              </w:rPr>
            </w:pPr>
          </w:p>
        </w:tc>
        <w:tc>
          <w:tcPr>
            <w:tcW w:w="1755" w:type="dxa"/>
            <w:vAlign w:val="center"/>
          </w:tcPr>
          <w:p w14:paraId="1779564D">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燃气锅炉（DA002）</w:t>
            </w:r>
          </w:p>
        </w:tc>
        <w:tc>
          <w:tcPr>
            <w:tcW w:w="1674" w:type="dxa"/>
            <w:vAlign w:val="center"/>
          </w:tcPr>
          <w:p w14:paraId="1190EA2D">
            <w:pPr>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颗粒物、SO</w:t>
            </w:r>
            <w:r>
              <w:rPr>
                <w:color w:val="000000" w:themeColor="text1"/>
                <w:szCs w:val="21"/>
                <w:vertAlign w:val="subscript"/>
                <w14:textFill>
                  <w14:solidFill>
                    <w14:schemeClr w14:val="tx1"/>
                  </w14:solidFill>
                </w14:textFill>
              </w:rPr>
              <w:t>2</w:t>
            </w:r>
          </w:p>
          <w:p w14:paraId="3C4668F3">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1776" w:type="dxa"/>
            <w:vAlign w:val="center"/>
          </w:tcPr>
          <w:p w14:paraId="25A46E3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采用国内领先的低氮燃烧器</w:t>
            </w:r>
          </w:p>
        </w:tc>
        <w:tc>
          <w:tcPr>
            <w:tcW w:w="2640" w:type="dxa"/>
            <w:vAlign w:val="center"/>
          </w:tcPr>
          <w:p w14:paraId="2D98D167">
            <w:pPr>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《锅炉大气污染物排放标准》(GB13271-2014)</w:t>
            </w:r>
          </w:p>
        </w:tc>
      </w:tr>
      <w:tr w14:paraId="30EA1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vMerge w:val="restart"/>
            <w:vAlign w:val="center"/>
          </w:tcPr>
          <w:p w14:paraId="5DF9954C">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755" w:type="dxa"/>
            <w:vAlign w:val="center"/>
          </w:tcPr>
          <w:p w14:paraId="6E96DCD4">
            <w:pPr>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1674" w:type="dxa"/>
            <w:vAlign w:val="center"/>
          </w:tcPr>
          <w:p w14:paraId="1FF3F2D5">
            <w:pPr>
              <w:ind w:left="105" w:leftChars="5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pH值、COD、氨氮、SS、TP、TN、BOD</w:t>
            </w:r>
            <w:r>
              <w:rPr>
                <w:color w:val="000000" w:themeColor="text1"/>
                <w:spacing w:val="-6"/>
                <w:szCs w:val="21"/>
                <w:vertAlign w:val="subscript"/>
                <w14:textFill>
                  <w14:solidFill>
                    <w14:schemeClr w14:val="tx1"/>
                  </w14:solidFill>
                </w14:textFill>
              </w:rPr>
              <w:t>5</w:t>
            </w:r>
          </w:p>
        </w:tc>
        <w:tc>
          <w:tcPr>
            <w:tcW w:w="1776" w:type="dxa"/>
            <w:vAlign w:val="center"/>
          </w:tcPr>
          <w:p w14:paraId="34DA56D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预处理池处理后用于农田施肥</w:t>
            </w:r>
          </w:p>
        </w:tc>
        <w:tc>
          <w:tcPr>
            <w:tcW w:w="2640" w:type="dxa"/>
            <w:vAlign w:val="center"/>
          </w:tcPr>
          <w:p w14:paraId="7C40CA37">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7DD7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3" w:type="dxa"/>
            <w:vMerge w:val="continue"/>
            <w:vAlign w:val="center"/>
          </w:tcPr>
          <w:p w14:paraId="0C334AB7">
            <w:pPr>
              <w:adjustRightInd w:val="0"/>
              <w:snapToGrid w:val="0"/>
              <w:ind w:left="105" w:leftChars="50"/>
              <w:jc w:val="center"/>
              <w:rPr>
                <w:color w:val="000000" w:themeColor="text1"/>
                <w:szCs w:val="21"/>
                <w14:textFill>
                  <w14:solidFill>
                    <w14:schemeClr w14:val="tx1"/>
                  </w14:solidFill>
                </w14:textFill>
              </w:rPr>
            </w:pPr>
          </w:p>
        </w:tc>
        <w:tc>
          <w:tcPr>
            <w:tcW w:w="1755" w:type="dxa"/>
            <w:vAlign w:val="center"/>
          </w:tcPr>
          <w:p w14:paraId="3A10B1F0">
            <w:pPr>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w:t>
            </w:r>
          </w:p>
        </w:tc>
        <w:tc>
          <w:tcPr>
            <w:tcW w:w="1674" w:type="dxa"/>
            <w:vAlign w:val="center"/>
          </w:tcPr>
          <w:p w14:paraId="7CDD0EED">
            <w:pPr>
              <w:ind w:left="105" w:leftChars="5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SS</w:t>
            </w:r>
          </w:p>
        </w:tc>
        <w:tc>
          <w:tcPr>
            <w:tcW w:w="1776" w:type="dxa"/>
            <w:vAlign w:val="center"/>
          </w:tcPr>
          <w:p w14:paraId="71A3B8B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沉淀后回用于生产</w:t>
            </w:r>
          </w:p>
        </w:tc>
        <w:tc>
          <w:tcPr>
            <w:tcW w:w="2640" w:type="dxa"/>
            <w:vAlign w:val="center"/>
          </w:tcPr>
          <w:p w14:paraId="492DA9FD">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3F89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vMerge w:val="continue"/>
            <w:vAlign w:val="center"/>
          </w:tcPr>
          <w:p w14:paraId="37CFBED4">
            <w:pPr>
              <w:adjustRightInd w:val="0"/>
              <w:snapToGrid w:val="0"/>
              <w:ind w:left="105" w:leftChars="50"/>
              <w:jc w:val="center"/>
              <w:rPr>
                <w:color w:val="000000" w:themeColor="text1"/>
                <w:szCs w:val="21"/>
                <w14:textFill>
                  <w14:solidFill>
                    <w14:schemeClr w14:val="tx1"/>
                  </w14:solidFill>
                </w14:textFill>
              </w:rPr>
            </w:pPr>
          </w:p>
        </w:tc>
        <w:tc>
          <w:tcPr>
            <w:tcW w:w="1755" w:type="dxa"/>
            <w:vAlign w:val="center"/>
          </w:tcPr>
          <w:p w14:paraId="35FC86B0">
            <w:pPr>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切割边角料冲洗废水</w:t>
            </w:r>
          </w:p>
        </w:tc>
        <w:tc>
          <w:tcPr>
            <w:tcW w:w="1674" w:type="dxa"/>
            <w:vAlign w:val="center"/>
          </w:tcPr>
          <w:p w14:paraId="34E6F3E5">
            <w:pPr>
              <w:ind w:left="105" w:leftChars="5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SS</w:t>
            </w:r>
          </w:p>
        </w:tc>
        <w:tc>
          <w:tcPr>
            <w:tcW w:w="1776" w:type="dxa"/>
            <w:vMerge w:val="restart"/>
            <w:vAlign w:val="center"/>
          </w:tcPr>
          <w:p w14:paraId="6EE28D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经导流沟进入沉淀池处理后回用于生产，不外排</w:t>
            </w:r>
          </w:p>
        </w:tc>
        <w:tc>
          <w:tcPr>
            <w:tcW w:w="2640" w:type="dxa"/>
            <w:vAlign w:val="center"/>
          </w:tcPr>
          <w:p w14:paraId="3C25ADE0">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B1BD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3" w:type="dxa"/>
            <w:vMerge w:val="continue"/>
            <w:vAlign w:val="center"/>
          </w:tcPr>
          <w:p w14:paraId="14279728">
            <w:pPr>
              <w:adjustRightInd w:val="0"/>
              <w:snapToGrid w:val="0"/>
              <w:ind w:left="105" w:leftChars="50"/>
              <w:jc w:val="center"/>
              <w:rPr>
                <w:color w:val="000000" w:themeColor="text1"/>
                <w:szCs w:val="21"/>
                <w14:textFill>
                  <w14:solidFill>
                    <w14:schemeClr w14:val="tx1"/>
                  </w14:solidFill>
                </w14:textFill>
              </w:rPr>
            </w:pPr>
          </w:p>
        </w:tc>
        <w:tc>
          <w:tcPr>
            <w:tcW w:w="1755" w:type="dxa"/>
            <w:vAlign w:val="center"/>
          </w:tcPr>
          <w:p w14:paraId="101EBA1A">
            <w:pPr>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配料机冲洗废水</w:t>
            </w:r>
          </w:p>
        </w:tc>
        <w:tc>
          <w:tcPr>
            <w:tcW w:w="1674" w:type="dxa"/>
            <w:vAlign w:val="center"/>
          </w:tcPr>
          <w:p w14:paraId="2B2842F3">
            <w:pPr>
              <w:ind w:left="105" w:leftChars="5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SS</w:t>
            </w:r>
          </w:p>
        </w:tc>
        <w:tc>
          <w:tcPr>
            <w:tcW w:w="1776" w:type="dxa"/>
            <w:vMerge w:val="continue"/>
            <w:vAlign w:val="center"/>
          </w:tcPr>
          <w:p w14:paraId="4A475718">
            <w:pPr>
              <w:adjustRightInd w:val="0"/>
              <w:snapToGrid w:val="0"/>
              <w:jc w:val="center"/>
              <w:rPr>
                <w:color w:val="000000" w:themeColor="text1"/>
                <w:szCs w:val="21"/>
                <w14:textFill>
                  <w14:solidFill>
                    <w14:schemeClr w14:val="tx1"/>
                  </w14:solidFill>
                </w14:textFill>
              </w:rPr>
            </w:pPr>
          </w:p>
        </w:tc>
        <w:tc>
          <w:tcPr>
            <w:tcW w:w="2640" w:type="dxa"/>
            <w:vAlign w:val="center"/>
          </w:tcPr>
          <w:p w14:paraId="41BD628E">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96A0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3" w:type="dxa"/>
            <w:vAlign w:val="center"/>
          </w:tcPr>
          <w:p w14:paraId="0C7C75D7">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755" w:type="dxa"/>
            <w:vAlign w:val="center"/>
          </w:tcPr>
          <w:p w14:paraId="19D646A5">
            <w:pPr>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设备噪声</w:t>
            </w:r>
          </w:p>
        </w:tc>
        <w:tc>
          <w:tcPr>
            <w:tcW w:w="1674" w:type="dxa"/>
            <w:vAlign w:val="center"/>
          </w:tcPr>
          <w:p w14:paraId="64E994BD">
            <w:pPr>
              <w:ind w:left="105" w:leftChars="50"/>
              <w:jc w:val="center"/>
              <w:rPr>
                <w:color w:val="000000" w:themeColor="text1"/>
                <w:spacing w:val="8"/>
                <w:szCs w:val="21"/>
                <w14:textFill>
                  <w14:solidFill>
                    <w14:schemeClr w14:val="tx1"/>
                  </w14:solidFill>
                </w14:textFill>
              </w:rPr>
            </w:pPr>
            <w:r>
              <w:rPr>
                <w:color w:val="000000" w:themeColor="text1"/>
                <w:szCs w:val="21"/>
                <w14:textFill>
                  <w14:solidFill>
                    <w14:schemeClr w14:val="tx1"/>
                  </w14:solidFill>
                </w14:textFill>
              </w:rPr>
              <w:t>60~70dB(A)</w:t>
            </w:r>
          </w:p>
        </w:tc>
        <w:tc>
          <w:tcPr>
            <w:tcW w:w="1776" w:type="dxa"/>
            <w:vAlign w:val="center"/>
          </w:tcPr>
          <w:p w14:paraId="0C358EDB">
            <w:pPr>
              <w:ind w:left="210" w:hanging="210" w:hangingChars="100"/>
              <w:jc w:val="center"/>
              <w:rPr>
                <w:bCs/>
                <w:color w:val="000000" w:themeColor="text1"/>
                <w:szCs w:val="21"/>
                <w14:textFill>
                  <w14:solidFill>
                    <w14:schemeClr w14:val="tx1"/>
                  </w14:solidFill>
                </w14:textFill>
              </w:rPr>
            </w:pPr>
            <w:r>
              <w:rPr>
                <w:color w:val="000000" w:themeColor="text1"/>
                <w:kern w:val="21"/>
                <w:szCs w:val="21"/>
                <w14:textFill>
                  <w14:solidFill>
                    <w14:schemeClr w14:val="tx1"/>
                  </w14:solidFill>
                </w14:textFill>
              </w:rPr>
              <w:t>选用低噪声设备，基础减震、厂房建筑隔声</w:t>
            </w:r>
          </w:p>
        </w:tc>
        <w:tc>
          <w:tcPr>
            <w:tcW w:w="2640" w:type="dxa"/>
            <w:vAlign w:val="center"/>
          </w:tcPr>
          <w:p w14:paraId="1CCBC4B8">
            <w:pPr>
              <w:pStyle w:val="75"/>
              <w:adjustRightInd w:val="0"/>
              <w:snapToGrid w:val="0"/>
              <w:ind w:left="105" w:leftChars="50"/>
              <w:jc w:val="center"/>
              <w:rPr>
                <w:rFonts w:ascii="Times New Roman" w:hAnsi="Times New Roman"/>
                <w:color w:val="000000" w:themeColor="text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《工业企业厂界环境噪声排放标准》（GB12348-2008）2</w:t>
            </w:r>
            <w:r>
              <w:rPr>
                <w:rFonts w:ascii="Times New Roman" w:hAnsi="Times New Roman"/>
                <w:color w:val="000000" w:themeColor="text1"/>
                <w:szCs w:val="21"/>
                <w:lang w:eastAsia="zh-CN"/>
                <w14:textFill>
                  <w14:solidFill>
                    <w14:schemeClr w14:val="tx1"/>
                  </w14:solidFill>
                </w14:textFill>
              </w:rPr>
              <w:t>类标准</w:t>
            </w:r>
          </w:p>
        </w:tc>
      </w:tr>
      <w:tr w14:paraId="04591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3" w:type="dxa"/>
            <w:vAlign w:val="center"/>
          </w:tcPr>
          <w:p w14:paraId="40E6EA74">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845" w:type="dxa"/>
            <w:gridSpan w:val="4"/>
            <w:vAlign w:val="center"/>
          </w:tcPr>
          <w:p w14:paraId="5CAB4F45">
            <w:pPr>
              <w:adjustRightInd w:val="0"/>
              <w:snapToGrid w:val="0"/>
              <w:ind w:left="105" w:leftChars="50"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生活垃圾厂区设置垃圾桶，环卫部门统一清运；沉渣、粉尘与不合格品废物回用于生产</w:t>
            </w:r>
          </w:p>
        </w:tc>
      </w:tr>
      <w:tr w14:paraId="0F66C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73" w:type="dxa"/>
            <w:vAlign w:val="center"/>
          </w:tcPr>
          <w:p w14:paraId="5BF00FCB">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7845" w:type="dxa"/>
            <w:gridSpan w:val="4"/>
            <w:vAlign w:val="center"/>
          </w:tcPr>
          <w:p w14:paraId="7C53E007">
            <w:pPr>
              <w:adjustRightInd w:val="0"/>
              <w:snapToGrid w:val="0"/>
              <w:ind w:left="105" w:leftChars="50"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对沉淀池、制砂池以及冲洗水导流沟及生产车间其他区域进行一般防渗，使其渗透系数K≤10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cm/s，确保液态物料不渗漏</w:t>
            </w:r>
          </w:p>
        </w:tc>
      </w:tr>
      <w:tr w14:paraId="4C6E6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73" w:type="dxa"/>
            <w:vAlign w:val="center"/>
          </w:tcPr>
          <w:p w14:paraId="14D90738">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845" w:type="dxa"/>
            <w:gridSpan w:val="4"/>
            <w:vAlign w:val="center"/>
          </w:tcPr>
          <w:p w14:paraId="3C9995D9">
            <w:pPr>
              <w:adjustRightInd w:val="0"/>
              <w:snapToGrid w:val="0"/>
              <w:ind w:left="105" w:lef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14:paraId="20F4F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273" w:type="dxa"/>
            <w:vAlign w:val="center"/>
          </w:tcPr>
          <w:p w14:paraId="27DF2C9C">
            <w:pPr>
              <w:adjustRightInd w:val="0"/>
              <w:snapToGrid w:val="0"/>
              <w:ind w:left="105" w:leftChars="5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3E74368C">
            <w:pPr>
              <w:adjustRightInd w:val="0"/>
              <w:snapToGrid w:val="0"/>
              <w:ind w:left="105" w:leftChars="5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845" w:type="dxa"/>
            <w:gridSpan w:val="4"/>
            <w:vAlign w:val="center"/>
          </w:tcPr>
          <w:p w14:paraId="330FE243">
            <w:pPr>
              <w:adjustRightInd w:val="0"/>
              <w:snapToGrid w:val="0"/>
              <w:ind w:left="105" w:leftChars="50" w:firstLine="420" w:firstLineChars="200"/>
              <w:jc w:val="left"/>
              <w:rPr>
                <w:color w:val="000000" w:themeColor="text1"/>
                <w:szCs w:val="21"/>
                <w14:textFill>
                  <w14:solidFill>
                    <w14:schemeClr w14:val="tx1"/>
                  </w14:solidFill>
                </w14:textFill>
              </w:rPr>
            </w:pPr>
            <w:r>
              <w:rPr>
                <w:color w:val="000000" w:themeColor="text1"/>
                <w:szCs w:val="21"/>
                <w:lang w:val="de-DE"/>
                <w14:textFill>
                  <w14:solidFill>
                    <w14:schemeClr w14:val="tx1"/>
                  </w14:solidFill>
                </w14:textFill>
              </w:rPr>
              <w:t>建设单位应加强除尘设备的保养和维护，实时监控设备的运行状态，避免事故工况的产生，一旦设备出现故障，应立即停车检修，防止粉尘未经处理直接进入环境。</w:t>
            </w:r>
          </w:p>
        </w:tc>
      </w:tr>
      <w:tr w14:paraId="3ADD6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73" w:type="dxa"/>
            <w:vAlign w:val="center"/>
          </w:tcPr>
          <w:p w14:paraId="52259C68">
            <w:pPr>
              <w:adjustRightInd w:val="0"/>
              <w:snapToGrid w:val="0"/>
              <w:ind w:left="105" w:leftChars="5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5F364EE9">
            <w:pPr>
              <w:adjustRightInd w:val="0"/>
              <w:snapToGrid w:val="0"/>
              <w:ind w:left="105" w:leftChars="5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7845" w:type="dxa"/>
            <w:gridSpan w:val="4"/>
            <w:vAlign w:val="center"/>
          </w:tcPr>
          <w:p w14:paraId="6F911282">
            <w:pPr>
              <w:adjustRightInd w:val="0"/>
              <w:snapToGrid w:val="0"/>
              <w:ind w:left="105" w:leftChars="50"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结合企业的环保工作目标，制定生产工序中的环保、安全操作制度，环境治理设施的维修保养制度，企业内部的环保工作检查制度，废水、废气、固废和设备噪声、厂界噪声的定期检查汇报制度，企业排污状况定期向环境行政主管部门的汇报制度。</w:t>
            </w:r>
          </w:p>
        </w:tc>
      </w:tr>
    </w:tbl>
    <w:p w14:paraId="22500A4F">
      <w:pPr>
        <w:pStyle w:val="23"/>
        <w:spacing w:before="0" w:beforeAutospacing="0" w:after="0" w:afterAutospacing="0"/>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b/>
          <w:bCs/>
          <w:snapToGrid w:val="0"/>
          <w:color w:val="000000" w:themeColor="text1"/>
          <w:sz w:val="30"/>
          <w:szCs w:val="30"/>
          <w14:textFill>
            <w14:solidFill>
              <w14:schemeClr w14:val="tx1"/>
            </w14:solidFill>
          </w14:textFill>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4139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6" w:hRule="atLeast"/>
          <w:jc w:val="center"/>
        </w:trPr>
        <w:tc>
          <w:tcPr>
            <w:tcW w:w="8865" w:type="dxa"/>
          </w:tcPr>
          <w:p w14:paraId="6637CC36">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（1）项目类型及其选址、布局、规模等符合环境保护法律法规和相关法定规划；</w:t>
            </w:r>
          </w:p>
          <w:p w14:paraId="7FF2B70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（2）建设项目废水、废气、固废及噪声采取的污染防治措施可确保污染物排放达到国家规定的排放标准，并采取了必要的措施预防和控制生态破坏；</w:t>
            </w:r>
          </w:p>
          <w:p w14:paraId="40350D2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符合国家产业政策，选址符合当地总体规划，总图布局合理，贯彻了“清洁生产、总量控制和达标排放”的原则，采取污染物治理措施技术经济可行，措施有效，可确保污染物达标排放。工程实施后，只要认真落实本报告表所提出的各项污染防治措施、环境风险防范措施，加强内部环境管理和安全生产运行管理，实现环境保护措施的有效运行，严格执行“三同时”制度，从环境保护角度看，项目在大英县蓬莱镇虎泉村8社建设是可行的。</w:t>
            </w:r>
          </w:p>
        </w:tc>
      </w:tr>
    </w:tbl>
    <w:p w14:paraId="16D16016">
      <w:pPr>
        <w:pStyle w:val="2"/>
        <w:spacing w:line="360" w:lineRule="auto"/>
        <w:ind w:left="0" w:leftChars="0"/>
        <w:rPr>
          <w:color w:val="000000" w:themeColor="text1"/>
          <w14:textFill>
            <w14:solidFill>
              <w14:schemeClr w14:val="tx1"/>
            </w14:solidFill>
          </w14:textFill>
        </w:rPr>
      </w:pPr>
    </w:p>
    <w:p w14:paraId="692CF3CB">
      <w:pPr>
        <w:pStyle w:val="2"/>
        <w:rPr>
          <w:color w:val="000000" w:themeColor="text1"/>
          <w14:textFill>
            <w14:solidFill>
              <w14:schemeClr w14:val="tx1"/>
            </w14:solidFill>
          </w14:textFill>
        </w:rPr>
      </w:pPr>
    </w:p>
    <w:p w14:paraId="320DE287">
      <w:pPr>
        <w:pStyle w:val="2"/>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0D90BE43">
      <w:pPr>
        <w:pStyle w:val="23"/>
        <w:tabs>
          <w:tab w:val="left" w:pos="2606"/>
        </w:tabs>
        <w:adjustRightInd w:val="0"/>
        <w:snapToGrid w:val="0"/>
        <w:spacing w:before="0" w:beforeAutospacing="0" w:after="0" w:afterAutospacing="0" w:line="648" w:lineRule="auto"/>
        <w:outlineLvl w:val="0"/>
        <w:rPr>
          <w:rFonts w:ascii="Times New Roman" w:hAnsi="Times New Roman"/>
          <w:snapToGrid w:val="0"/>
          <w:color w:val="000000" w:themeColor="text1"/>
          <w:sz w:val="32"/>
          <w:szCs w:val="32"/>
          <w14:textFill>
            <w14:solidFill>
              <w14:schemeClr w14:val="tx1"/>
            </w14:solidFill>
          </w14:textFill>
        </w:rPr>
      </w:pPr>
      <w:r>
        <w:rPr>
          <w:rFonts w:ascii="Times New Roman" w:hAnsi="Times New Roman"/>
          <w:snapToGrid w:val="0"/>
          <w:color w:val="000000" w:themeColor="text1"/>
          <w:sz w:val="32"/>
          <w:szCs w:val="32"/>
          <w14:textFill>
            <w14:solidFill>
              <w14:schemeClr w14:val="tx1"/>
            </w14:solidFill>
          </w14:textFill>
        </w:rPr>
        <w:t>附表</w:t>
      </w:r>
      <w:r>
        <w:rPr>
          <w:rFonts w:ascii="Times New Roman" w:hAnsi="Times New Roman"/>
          <w:snapToGrid w:val="0"/>
          <w:color w:val="000000" w:themeColor="text1"/>
          <w:sz w:val="32"/>
          <w:szCs w:val="32"/>
          <w14:textFill>
            <w14:solidFill>
              <w14:schemeClr w14:val="tx1"/>
            </w14:solidFill>
          </w14:textFill>
        </w:rPr>
        <w:tab/>
      </w:r>
    </w:p>
    <w:p w14:paraId="222A239D">
      <w:pPr>
        <w:pStyle w:val="23"/>
        <w:adjustRightInd w:val="0"/>
        <w:snapToGrid w:val="0"/>
        <w:spacing w:before="0" w:beforeAutospacing="0" w:after="0" w:afterAutospacing="0"/>
        <w:jc w:val="center"/>
        <w:outlineLvl w:val="0"/>
        <w:rPr>
          <w:rFonts w:ascii="Times New Roman" w:hAnsi="Times New Roman"/>
          <w:snapToGrid w:val="0"/>
          <w:color w:val="000000" w:themeColor="text1"/>
          <w:sz w:val="38"/>
          <w:szCs w:val="38"/>
          <w14:textFill>
            <w14:solidFill>
              <w14:schemeClr w14:val="tx1"/>
            </w14:solidFill>
          </w14:textFill>
        </w:rPr>
      </w:pPr>
      <w:r>
        <w:rPr>
          <w:rFonts w:ascii="Times New Roman" w:hAnsi="Times New Roman"/>
          <w:snapToGrid w:val="0"/>
          <w:color w:val="000000" w:themeColor="text1"/>
          <w:sz w:val="38"/>
          <w:szCs w:val="38"/>
          <w14:textFill>
            <w14:solidFill>
              <w14:schemeClr w14:val="tx1"/>
            </w14:solidFill>
          </w14:textFill>
        </w:rPr>
        <w:t>建设项目污染物排放量汇总表</w:t>
      </w:r>
    </w:p>
    <w:tbl>
      <w:tblPr>
        <w:tblStyle w:val="25"/>
        <w:tblW w:w="0" w:type="auto"/>
        <w:jc w:val="center"/>
        <w:tblLayout w:type="autofit"/>
        <w:tblCellMar>
          <w:top w:w="0" w:type="dxa"/>
          <w:left w:w="108" w:type="dxa"/>
          <w:bottom w:w="0" w:type="dxa"/>
          <w:right w:w="108" w:type="dxa"/>
        </w:tblCellMar>
      </w:tblPr>
      <w:tblGrid>
        <w:gridCol w:w="1132"/>
        <w:gridCol w:w="1511"/>
        <w:gridCol w:w="1691"/>
        <w:gridCol w:w="1059"/>
        <w:gridCol w:w="1703"/>
        <w:gridCol w:w="1764"/>
        <w:gridCol w:w="1621"/>
        <w:gridCol w:w="2131"/>
        <w:gridCol w:w="1040"/>
      </w:tblGrid>
      <w:tr w14:paraId="1A9EA861">
        <w:tblPrEx>
          <w:tblCellMar>
            <w:top w:w="0" w:type="dxa"/>
            <w:left w:w="108" w:type="dxa"/>
            <w:bottom w:w="0" w:type="dxa"/>
            <w:right w:w="108" w:type="dxa"/>
          </w:tblCellMar>
        </w:tblPrEx>
        <w:trPr>
          <w:trHeight w:val="90" w:hRule="atLeast"/>
          <w:tblHeader/>
          <w:jc w:val="center"/>
        </w:trPr>
        <w:tc>
          <w:tcPr>
            <w:tcW w:w="0" w:type="auto"/>
            <w:tcBorders>
              <w:top w:val="single" w:color="000000" w:sz="4" w:space="0"/>
              <w:left w:val="single" w:color="000000" w:sz="4" w:space="0"/>
              <w:bottom w:val="single" w:color="auto" w:sz="4" w:space="0"/>
              <w:right w:val="single" w:color="000000" w:sz="4" w:space="0"/>
            </w:tcBorders>
            <w:vAlign w:val="center"/>
          </w:tcPr>
          <w:p w14:paraId="6764A936">
            <w:pPr>
              <w:widowControl/>
              <w:snapToGrid w:val="0"/>
              <w:spacing w:line="440" w:lineRule="exact"/>
              <w:jc w:val="center"/>
              <w:textAlignment w:val="center"/>
              <w:rPr>
                <w:color w:val="000000" w:themeColor="text1"/>
                <w:szCs w:val="21"/>
                <w14:textFill>
                  <w14:solidFill>
                    <w14:schemeClr w14:val="tx1"/>
                  </w14:solidFill>
                </w14:textFill>
              </w:rPr>
            </w:pPr>
          </w:p>
          <w:p w14:paraId="6777AA36">
            <w:pPr>
              <w:widowControl/>
              <w:snapToGrid w:val="0"/>
              <w:spacing w:line="44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分类</w:t>
            </w:r>
          </w:p>
          <w:p w14:paraId="4DC63454">
            <w:pPr>
              <w:widowControl/>
              <w:spacing w:line="44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511" w:type="dxa"/>
            <w:tcBorders>
              <w:top w:val="single" w:color="000000" w:sz="4" w:space="0"/>
              <w:left w:val="single" w:color="000000" w:sz="4" w:space="0"/>
              <w:bottom w:val="single" w:color="000000" w:sz="4" w:space="0"/>
              <w:right w:val="single" w:color="000000" w:sz="4" w:space="0"/>
            </w:tcBorders>
            <w:vAlign w:val="center"/>
          </w:tcPr>
          <w:p w14:paraId="75755E06">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污染物名称</w:t>
            </w:r>
          </w:p>
        </w:tc>
        <w:tc>
          <w:tcPr>
            <w:tcW w:w="1691" w:type="dxa"/>
            <w:tcBorders>
              <w:top w:val="single" w:color="000000" w:sz="4" w:space="0"/>
              <w:left w:val="single" w:color="000000" w:sz="4" w:space="0"/>
              <w:bottom w:val="single" w:color="000000" w:sz="4" w:space="0"/>
              <w:right w:val="single" w:color="000000" w:sz="4" w:space="0"/>
            </w:tcBorders>
            <w:vAlign w:val="center"/>
          </w:tcPr>
          <w:p w14:paraId="6FEE43D4">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现有工程排放量（固体废物产生量）</w:t>
            </w:r>
            <w:r>
              <w:rPr>
                <w:rFonts w:hint="eastAsia" w:ascii="宋体" w:hAnsi="宋体" w:cs="宋体"/>
                <w:color w:val="000000" w:themeColor="text1"/>
                <w:kern w:val="0"/>
                <w:szCs w:val="21"/>
                <w14:textFill>
                  <w14:solidFill>
                    <w14:schemeClr w14:val="tx1"/>
                  </w14:solidFill>
                </w14:textFill>
              </w:rPr>
              <w:t>①</w:t>
            </w:r>
          </w:p>
        </w:tc>
        <w:tc>
          <w:tcPr>
            <w:tcW w:w="1059" w:type="dxa"/>
            <w:tcBorders>
              <w:top w:val="single" w:color="000000" w:sz="4" w:space="0"/>
              <w:left w:val="single" w:color="000000" w:sz="4" w:space="0"/>
              <w:bottom w:val="single" w:color="000000" w:sz="4" w:space="0"/>
              <w:right w:val="single" w:color="000000" w:sz="4" w:space="0"/>
            </w:tcBorders>
            <w:vAlign w:val="center"/>
          </w:tcPr>
          <w:p w14:paraId="2C220F75">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现有工程许可排放量</w:t>
            </w:r>
            <w:r>
              <w:rPr>
                <w:rFonts w:hint="eastAsia" w:ascii="宋体" w:hAnsi="宋体" w:cs="宋体"/>
                <w:color w:val="000000" w:themeColor="text1"/>
                <w:kern w:val="0"/>
                <w:szCs w:val="21"/>
                <w14:textFill>
                  <w14:solidFill>
                    <w14:schemeClr w14:val="tx1"/>
                  </w14:solidFill>
                </w14:textFill>
              </w:rPr>
              <w:t>②</w:t>
            </w:r>
          </w:p>
        </w:tc>
        <w:tc>
          <w:tcPr>
            <w:tcW w:w="0" w:type="auto"/>
            <w:tcBorders>
              <w:top w:val="single" w:color="000000" w:sz="4" w:space="0"/>
              <w:left w:val="single" w:color="000000" w:sz="4" w:space="0"/>
              <w:bottom w:val="single" w:color="000000" w:sz="4" w:space="0"/>
              <w:right w:val="single" w:color="000000" w:sz="4" w:space="0"/>
            </w:tcBorders>
            <w:vAlign w:val="center"/>
          </w:tcPr>
          <w:p w14:paraId="40217261">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在建工程排放量（固体废物产生量）</w:t>
            </w:r>
            <w:r>
              <w:rPr>
                <w:rFonts w:hint="eastAsia" w:ascii="宋体" w:hAnsi="宋体" w:cs="宋体"/>
                <w:color w:val="000000" w:themeColor="text1"/>
                <w:kern w:val="0"/>
                <w:szCs w:val="21"/>
                <w14:textFill>
                  <w14:solidFill>
                    <w14:schemeClr w14:val="tx1"/>
                  </w14:solidFill>
                </w14:textFill>
              </w:rPr>
              <w:t>③</w:t>
            </w:r>
          </w:p>
        </w:tc>
        <w:tc>
          <w:tcPr>
            <w:tcW w:w="0" w:type="auto"/>
            <w:tcBorders>
              <w:top w:val="single" w:color="000000" w:sz="4" w:space="0"/>
              <w:left w:val="single" w:color="000000" w:sz="4" w:space="0"/>
              <w:bottom w:val="single" w:color="000000" w:sz="4" w:space="0"/>
              <w:right w:val="single" w:color="000000" w:sz="4" w:space="0"/>
            </w:tcBorders>
            <w:vAlign w:val="center"/>
          </w:tcPr>
          <w:p w14:paraId="63C35CAE">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本项目排放量（固体废物产生量）</w:t>
            </w:r>
            <w:r>
              <w:rPr>
                <w:rFonts w:hint="eastAsia" w:ascii="宋体" w:hAnsi="宋体" w:cs="宋体"/>
                <w:color w:val="000000" w:themeColor="text1"/>
                <w:kern w:val="0"/>
                <w:szCs w:val="21"/>
                <w14:textFill>
                  <w14:solidFill>
                    <w14:schemeClr w14:val="tx1"/>
                  </w14:solidFill>
                </w14:textFill>
              </w:rPr>
              <w:t>④</w:t>
            </w:r>
          </w:p>
        </w:tc>
        <w:tc>
          <w:tcPr>
            <w:tcW w:w="0" w:type="auto"/>
            <w:tcBorders>
              <w:top w:val="single" w:color="000000" w:sz="4" w:space="0"/>
              <w:left w:val="single" w:color="000000" w:sz="4" w:space="0"/>
              <w:bottom w:val="single" w:color="000000" w:sz="4" w:space="0"/>
              <w:right w:val="single" w:color="000000" w:sz="4" w:space="0"/>
            </w:tcBorders>
            <w:vAlign w:val="center"/>
          </w:tcPr>
          <w:p w14:paraId="1510D2FE">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以新带老削减量（新建项目不填）</w:t>
            </w:r>
            <w:r>
              <w:rPr>
                <w:rFonts w:hint="eastAsia" w:ascii="宋体" w:hAnsi="宋体" w:cs="宋体"/>
                <w:color w:val="000000" w:themeColor="text1"/>
                <w:kern w:val="0"/>
                <w:szCs w:val="21"/>
                <w14:textFill>
                  <w14:solidFill>
                    <w14:schemeClr w14:val="tx1"/>
                  </w14:solidFill>
                </w14:textFill>
              </w:rPr>
              <w:t>⑤</w:t>
            </w:r>
          </w:p>
        </w:tc>
        <w:tc>
          <w:tcPr>
            <w:tcW w:w="0" w:type="auto"/>
            <w:tcBorders>
              <w:top w:val="single" w:color="000000" w:sz="4" w:space="0"/>
              <w:left w:val="single" w:color="000000" w:sz="4" w:space="0"/>
              <w:bottom w:val="single" w:color="000000" w:sz="4" w:space="0"/>
              <w:right w:val="single" w:color="000000" w:sz="4" w:space="0"/>
            </w:tcBorders>
            <w:vAlign w:val="center"/>
          </w:tcPr>
          <w:p w14:paraId="40F0BBFF">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本项目建成后全厂排放量（固体废物产生量）</w:t>
            </w:r>
            <w:r>
              <w:rPr>
                <w:rFonts w:hint="eastAsia" w:ascii="宋体" w:hAnsi="宋体" w:cs="宋体"/>
                <w:color w:val="000000" w:themeColor="text1"/>
                <w:kern w:val="0"/>
                <w:szCs w:val="21"/>
                <w14:textFill>
                  <w14:solidFill>
                    <w14:schemeClr w14:val="tx1"/>
                  </w14:solidFill>
                </w14:textFill>
              </w:rPr>
              <w:t>⑥</w:t>
            </w:r>
          </w:p>
        </w:tc>
        <w:tc>
          <w:tcPr>
            <w:tcW w:w="0" w:type="auto"/>
            <w:tcBorders>
              <w:top w:val="single" w:color="000000" w:sz="4" w:space="0"/>
              <w:left w:val="single" w:color="000000" w:sz="4" w:space="0"/>
              <w:bottom w:val="single" w:color="000000" w:sz="4" w:space="0"/>
              <w:right w:val="single" w:color="000000" w:sz="4" w:space="0"/>
            </w:tcBorders>
            <w:vAlign w:val="center"/>
          </w:tcPr>
          <w:p w14:paraId="5243DBEE">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变化量</w:t>
            </w:r>
            <w:r>
              <w:rPr>
                <w:rFonts w:hint="eastAsia" w:ascii="宋体" w:hAnsi="宋体" w:cs="宋体"/>
                <w:color w:val="000000" w:themeColor="text1"/>
                <w:kern w:val="0"/>
                <w:szCs w:val="21"/>
                <w14:textFill>
                  <w14:solidFill>
                    <w14:schemeClr w14:val="tx1"/>
                  </w14:solidFill>
                </w14:textFill>
              </w:rPr>
              <w:t>⑦</w:t>
            </w:r>
          </w:p>
        </w:tc>
      </w:tr>
      <w:tr w14:paraId="2B385C58">
        <w:tblPrEx>
          <w:tblCellMar>
            <w:top w:w="0" w:type="dxa"/>
            <w:left w:w="108" w:type="dxa"/>
            <w:bottom w:w="0" w:type="dxa"/>
            <w:right w:w="108" w:type="dxa"/>
          </w:tblCellMar>
        </w:tblPrEx>
        <w:trPr>
          <w:jc w:val="center"/>
        </w:trPr>
        <w:tc>
          <w:tcPr>
            <w:tcW w:w="1132" w:type="dxa"/>
            <w:vMerge w:val="restart"/>
            <w:tcBorders>
              <w:top w:val="single" w:color="auto" w:sz="4" w:space="0"/>
              <w:left w:val="single" w:color="auto" w:sz="4" w:space="0"/>
              <w:bottom w:val="single" w:color="auto" w:sz="4" w:space="0"/>
              <w:right w:val="single" w:color="auto" w:sz="4" w:space="0"/>
            </w:tcBorders>
            <w:vAlign w:val="center"/>
          </w:tcPr>
          <w:p w14:paraId="64B0DEB4">
            <w:pPr>
              <w:widowControl/>
              <w:spacing w:line="440" w:lineRule="exact"/>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w:t>
            </w:r>
          </w:p>
          <w:p w14:paraId="33479E79">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（t/a）</w:t>
            </w:r>
          </w:p>
        </w:tc>
        <w:tc>
          <w:tcPr>
            <w:tcW w:w="1511" w:type="dxa"/>
            <w:tcBorders>
              <w:top w:val="single" w:color="000000" w:sz="4" w:space="0"/>
              <w:left w:val="single" w:color="auto" w:sz="4" w:space="0"/>
              <w:bottom w:val="single" w:color="000000" w:sz="4" w:space="0"/>
              <w:right w:val="single" w:color="000000" w:sz="4" w:space="0"/>
            </w:tcBorders>
            <w:vAlign w:val="center"/>
          </w:tcPr>
          <w:p w14:paraId="5B44A4F7">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COD</w:t>
            </w:r>
          </w:p>
        </w:tc>
        <w:tc>
          <w:tcPr>
            <w:tcW w:w="1691" w:type="dxa"/>
            <w:tcBorders>
              <w:top w:val="single" w:color="000000" w:sz="4" w:space="0"/>
              <w:left w:val="single" w:color="000000" w:sz="4" w:space="0"/>
              <w:bottom w:val="single" w:color="000000" w:sz="4" w:space="0"/>
              <w:right w:val="single" w:color="000000" w:sz="4" w:space="0"/>
            </w:tcBorders>
            <w:vAlign w:val="center"/>
          </w:tcPr>
          <w:p w14:paraId="3DE6B90D">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3146F28B">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0F73E130">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231C4EE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21" w:type="dxa"/>
            <w:tcBorders>
              <w:top w:val="single" w:color="000000" w:sz="4" w:space="0"/>
              <w:left w:val="single" w:color="000000" w:sz="4" w:space="0"/>
              <w:bottom w:val="single" w:color="000000" w:sz="4" w:space="0"/>
              <w:right w:val="single" w:color="000000" w:sz="4" w:space="0"/>
            </w:tcBorders>
            <w:vAlign w:val="center"/>
          </w:tcPr>
          <w:p w14:paraId="1D6ECC63">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4B46DABA">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7A2901D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1F6932BF">
        <w:tblPrEx>
          <w:tblCellMar>
            <w:top w:w="0" w:type="dxa"/>
            <w:left w:w="108" w:type="dxa"/>
            <w:bottom w:w="0" w:type="dxa"/>
            <w:right w:w="108" w:type="dxa"/>
          </w:tblCellMar>
        </w:tblPrEx>
        <w:trPr>
          <w:jc w:val="center"/>
        </w:trPr>
        <w:tc>
          <w:tcPr>
            <w:tcW w:w="1132" w:type="dxa"/>
            <w:vMerge w:val="continue"/>
            <w:tcBorders>
              <w:top w:val="single" w:color="auto" w:sz="4" w:space="0"/>
              <w:left w:val="single" w:color="auto" w:sz="4" w:space="0"/>
              <w:bottom w:val="single" w:color="auto" w:sz="4" w:space="0"/>
              <w:right w:val="single" w:color="auto" w:sz="4" w:space="0"/>
            </w:tcBorders>
            <w:vAlign w:val="center"/>
          </w:tcPr>
          <w:p w14:paraId="34B44E5E">
            <w:pPr>
              <w:spacing w:line="440" w:lineRule="exact"/>
              <w:jc w:val="center"/>
              <w:rPr>
                <w:color w:val="000000" w:themeColor="text1"/>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21852DF2">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1691" w:type="dxa"/>
            <w:tcBorders>
              <w:top w:val="single" w:color="000000" w:sz="4" w:space="0"/>
              <w:left w:val="single" w:color="000000" w:sz="4" w:space="0"/>
              <w:bottom w:val="single" w:color="000000" w:sz="4" w:space="0"/>
              <w:right w:val="single" w:color="000000" w:sz="4" w:space="0"/>
            </w:tcBorders>
            <w:vAlign w:val="center"/>
          </w:tcPr>
          <w:p w14:paraId="54893AC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4F1EE85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308B5D0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60A7D020">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621" w:type="dxa"/>
            <w:tcBorders>
              <w:top w:val="single" w:color="000000" w:sz="4" w:space="0"/>
              <w:left w:val="single" w:color="000000" w:sz="4" w:space="0"/>
              <w:bottom w:val="single" w:color="000000" w:sz="4" w:space="0"/>
              <w:right w:val="single" w:color="000000" w:sz="4" w:space="0"/>
            </w:tcBorders>
            <w:vAlign w:val="center"/>
          </w:tcPr>
          <w:p w14:paraId="5D151FE4">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0AE96D5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2081B44D">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60EA4077">
        <w:tblPrEx>
          <w:tblCellMar>
            <w:top w:w="0" w:type="dxa"/>
            <w:left w:w="108" w:type="dxa"/>
            <w:bottom w:w="0" w:type="dxa"/>
            <w:right w:w="108" w:type="dxa"/>
          </w:tblCellMar>
        </w:tblPrEx>
        <w:trPr>
          <w:jc w:val="center"/>
        </w:trPr>
        <w:tc>
          <w:tcPr>
            <w:tcW w:w="1132" w:type="dxa"/>
            <w:vMerge w:val="restart"/>
            <w:tcBorders>
              <w:top w:val="single" w:color="auto" w:sz="4" w:space="0"/>
              <w:left w:val="single" w:color="auto" w:sz="4" w:space="0"/>
              <w:right w:val="single" w:color="auto" w:sz="4" w:space="0"/>
            </w:tcBorders>
            <w:vAlign w:val="center"/>
          </w:tcPr>
          <w:p w14:paraId="62A2FDE4">
            <w:pPr>
              <w:widowControl/>
              <w:spacing w:line="440" w:lineRule="exact"/>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w:t>
            </w:r>
          </w:p>
          <w:p w14:paraId="4709141E">
            <w:pPr>
              <w:spacing w:line="4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（t/a）</w:t>
            </w:r>
          </w:p>
        </w:tc>
        <w:tc>
          <w:tcPr>
            <w:tcW w:w="1511" w:type="dxa"/>
            <w:tcBorders>
              <w:top w:val="single" w:color="000000" w:sz="4" w:space="0"/>
              <w:left w:val="single" w:color="auto" w:sz="4" w:space="0"/>
              <w:bottom w:val="single" w:color="000000" w:sz="4" w:space="0"/>
              <w:right w:val="single" w:color="000000" w:sz="4" w:space="0"/>
            </w:tcBorders>
            <w:vAlign w:val="center"/>
          </w:tcPr>
          <w:p w14:paraId="34D22D5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SO</w:t>
            </w:r>
            <w:r>
              <w:rPr>
                <w:color w:val="000000" w:themeColor="text1"/>
                <w:kern w:val="0"/>
                <w:szCs w:val="21"/>
                <w:vertAlign w:val="subscript"/>
                <w14:textFill>
                  <w14:solidFill>
                    <w14:schemeClr w14:val="tx1"/>
                  </w14:solidFill>
                </w14:textFill>
              </w:rPr>
              <w:t>2</w:t>
            </w:r>
          </w:p>
        </w:tc>
        <w:tc>
          <w:tcPr>
            <w:tcW w:w="1691" w:type="dxa"/>
            <w:tcBorders>
              <w:top w:val="single" w:color="000000" w:sz="4" w:space="0"/>
              <w:left w:val="single" w:color="000000" w:sz="4" w:space="0"/>
              <w:bottom w:val="single" w:color="000000" w:sz="4" w:space="0"/>
              <w:right w:val="single" w:color="000000" w:sz="4" w:space="0"/>
            </w:tcBorders>
            <w:vAlign w:val="center"/>
          </w:tcPr>
          <w:p w14:paraId="1C7E0B9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0769C45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2E13938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3BFF111C">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0.24</w:t>
            </w:r>
            <w:r>
              <w:rPr>
                <w:snapToGrid w:val="0"/>
                <w:color w:val="000000" w:themeColor="text1"/>
                <w:kern w:val="21"/>
                <w:szCs w:val="21"/>
                <w14:textFill>
                  <w14:solidFill>
                    <w14:schemeClr w14:val="tx1"/>
                  </w14:solidFill>
                </w14:textFill>
              </w:rPr>
              <w:t>t/a</w:t>
            </w:r>
          </w:p>
        </w:tc>
        <w:tc>
          <w:tcPr>
            <w:tcW w:w="1621" w:type="dxa"/>
            <w:tcBorders>
              <w:top w:val="single" w:color="000000" w:sz="4" w:space="0"/>
              <w:left w:val="single" w:color="000000" w:sz="4" w:space="0"/>
              <w:bottom w:val="single" w:color="000000" w:sz="4" w:space="0"/>
              <w:right w:val="single" w:color="000000" w:sz="4" w:space="0"/>
            </w:tcBorders>
            <w:vAlign w:val="center"/>
          </w:tcPr>
          <w:p w14:paraId="6A4192AA">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0126D933">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0.24t/a</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534F9E22">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454D2ECA">
        <w:tblPrEx>
          <w:tblCellMar>
            <w:top w:w="0" w:type="dxa"/>
            <w:left w:w="108" w:type="dxa"/>
            <w:bottom w:w="0" w:type="dxa"/>
            <w:right w:w="108" w:type="dxa"/>
          </w:tblCellMar>
        </w:tblPrEx>
        <w:trPr>
          <w:jc w:val="center"/>
        </w:trPr>
        <w:tc>
          <w:tcPr>
            <w:tcW w:w="1132" w:type="dxa"/>
            <w:vMerge w:val="continue"/>
            <w:tcBorders>
              <w:left w:val="single" w:color="auto" w:sz="4" w:space="0"/>
              <w:right w:val="single" w:color="auto" w:sz="4" w:space="0"/>
            </w:tcBorders>
            <w:vAlign w:val="center"/>
          </w:tcPr>
          <w:p w14:paraId="4FC37239">
            <w:pPr>
              <w:spacing w:line="440" w:lineRule="exact"/>
              <w:jc w:val="center"/>
              <w:rPr>
                <w:color w:val="000000" w:themeColor="text1"/>
                <w:kern w:val="0"/>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618CABD4">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NOx</w:t>
            </w:r>
          </w:p>
        </w:tc>
        <w:tc>
          <w:tcPr>
            <w:tcW w:w="1691" w:type="dxa"/>
            <w:tcBorders>
              <w:top w:val="single" w:color="000000" w:sz="4" w:space="0"/>
              <w:left w:val="single" w:color="000000" w:sz="4" w:space="0"/>
              <w:bottom w:val="single" w:color="000000" w:sz="4" w:space="0"/>
              <w:right w:val="single" w:color="000000" w:sz="4" w:space="0"/>
            </w:tcBorders>
            <w:vAlign w:val="center"/>
          </w:tcPr>
          <w:p w14:paraId="19A7BFB8">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6651645F">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5489B4BD">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2A255FB3">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0.42t/a</w:t>
            </w:r>
          </w:p>
        </w:tc>
        <w:tc>
          <w:tcPr>
            <w:tcW w:w="1621" w:type="dxa"/>
            <w:tcBorders>
              <w:top w:val="single" w:color="000000" w:sz="4" w:space="0"/>
              <w:left w:val="single" w:color="000000" w:sz="4" w:space="0"/>
              <w:bottom w:val="single" w:color="000000" w:sz="4" w:space="0"/>
              <w:right w:val="single" w:color="000000" w:sz="4" w:space="0"/>
            </w:tcBorders>
            <w:vAlign w:val="center"/>
          </w:tcPr>
          <w:p w14:paraId="7DC2DF96">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3C0405D3">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0.42t/a</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7A5E9C3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2B5CDE71">
        <w:tblPrEx>
          <w:tblCellMar>
            <w:top w:w="0" w:type="dxa"/>
            <w:left w:w="108" w:type="dxa"/>
            <w:bottom w:w="0" w:type="dxa"/>
            <w:right w:w="108" w:type="dxa"/>
          </w:tblCellMar>
        </w:tblPrEx>
        <w:trPr>
          <w:jc w:val="center"/>
        </w:trPr>
        <w:tc>
          <w:tcPr>
            <w:tcW w:w="1132" w:type="dxa"/>
            <w:vMerge w:val="continue"/>
            <w:tcBorders>
              <w:left w:val="single" w:color="auto" w:sz="4" w:space="0"/>
              <w:bottom w:val="single" w:color="auto" w:sz="4" w:space="0"/>
              <w:right w:val="single" w:color="auto" w:sz="4" w:space="0"/>
            </w:tcBorders>
            <w:vAlign w:val="center"/>
          </w:tcPr>
          <w:p w14:paraId="3C936011">
            <w:pPr>
              <w:spacing w:line="440" w:lineRule="exact"/>
              <w:jc w:val="center"/>
              <w:rPr>
                <w:color w:val="000000" w:themeColor="text1"/>
                <w:kern w:val="0"/>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0D5D84C8">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1691" w:type="dxa"/>
            <w:tcBorders>
              <w:top w:val="single" w:color="000000" w:sz="4" w:space="0"/>
              <w:left w:val="single" w:color="000000" w:sz="4" w:space="0"/>
              <w:bottom w:val="single" w:color="000000" w:sz="4" w:space="0"/>
              <w:right w:val="single" w:color="000000" w:sz="4" w:space="0"/>
            </w:tcBorders>
            <w:vAlign w:val="center"/>
          </w:tcPr>
          <w:p w14:paraId="5D9DA83D">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4ABC35C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1A76F7DA">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7BD469C4">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0.2403t/a</w:t>
            </w:r>
          </w:p>
        </w:tc>
        <w:tc>
          <w:tcPr>
            <w:tcW w:w="1621" w:type="dxa"/>
            <w:tcBorders>
              <w:top w:val="single" w:color="000000" w:sz="4" w:space="0"/>
              <w:left w:val="single" w:color="000000" w:sz="4" w:space="0"/>
              <w:bottom w:val="single" w:color="000000" w:sz="4" w:space="0"/>
              <w:right w:val="single" w:color="000000" w:sz="4" w:space="0"/>
            </w:tcBorders>
            <w:vAlign w:val="center"/>
          </w:tcPr>
          <w:p w14:paraId="511AB9D0">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48ABD0E9">
            <w:pPr>
              <w:autoSpaceDE w:val="0"/>
              <w:autoSpaceDN w:val="0"/>
              <w:adjustRightInd w:val="0"/>
              <w:spacing w:line="440" w:lineRule="exact"/>
              <w:ind w:right="-82" w:rightChars="-39"/>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0.2403/a</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02414C6B">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65D03DD3">
        <w:tblPrEx>
          <w:tblCellMar>
            <w:top w:w="0" w:type="dxa"/>
            <w:left w:w="108" w:type="dxa"/>
            <w:bottom w:w="0" w:type="dxa"/>
            <w:right w:w="108" w:type="dxa"/>
          </w:tblCellMar>
        </w:tblPrEx>
        <w:trPr>
          <w:jc w:val="center"/>
        </w:trPr>
        <w:tc>
          <w:tcPr>
            <w:tcW w:w="1132" w:type="dxa"/>
            <w:vMerge w:val="restart"/>
            <w:tcBorders>
              <w:top w:val="single" w:color="auto" w:sz="4" w:space="0"/>
              <w:left w:val="single" w:color="auto" w:sz="4" w:space="0"/>
              <w:right w:val="single" w:color="auto" w:sz="4" w:space="0"/>
            </w:tcBorders>
            <w:vAlign w:val="center"/>
          </w:tcPr>
          <w:p w14:paraId="2F768274">
            <w:pPr>
              <w:widowControl/>
              <w:spacing w:line="440" w:lineRule="exact"/>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固废</w:t>
            </w:r>
          </w:p>
          <w:p w14:paraId="6530EFFE">
            <w:pPr>
              <w:spacing w:line="4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（t/a）</w:t>
            </w:r>
          </w:p>
        </w:tc>
        <w:tc>
          <w:tcPr>
            <w:tcW w:w="1511" w:type="dxa"/>
            <w:tcBorders>
              <w:top w:val="single" w:color="000000" w:sz="4" w:space="0"/>
              <w:left w:val="single" w:color="auto" w:sz="4" w:space="0"/>
              <w:bottom w:val="single" w:color="000000" w:sz="4" w:space="0"/>
              <w:right w:val="single" w:color="000000" w:sz="4" w:space="0"/>
            </w:tcBorders>
            <w:noWrap/>
            <w:vAlign w:val="center"/>
          </w:tcPr>
          <w:p w14:paraId="518442C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1691" w:type="dxa"/>
            <w:tcBorders>
              <w:top w:val="single" w:color="000000" w:sz="4" w:space="0"/>
              <w:left w:val="single" w:color="000000" w:sz="4" w:space="0"/>
              <w:bottom w:val="single" w:color="000000" w:sz="4" w:space="0"/>
              <w:right w:val="single" w:color="000000" w:sz="4" w:space="0"/>
            </w:tcBorders>
            <w:vAlign w:val="center"/>
          </w:tcPr>
          <w:p w14:paraId="1B614440">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0B885DE3">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71D2B66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131B84FF">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r>
              <w:rPr>
                <w:color w:val="000000" w:themeColor="text1"/>
                <w:kern w:val="0"/>
                <w:szCs w:val="21"/>
                <w14:textFill>
                  <w14:solidFill>
                    <w14:schemeClr w14:val="tx1"/>
                  </w14:solidFill>
                </w14:textFill>
              </w:rPr>
              <w:t>t/a</w:t>
            </w:r>
          </w:p>
        </w:tc>
        <w:tc>
          <w:tcPr>
            <w:tcW w:w="1621" w:type="dxa"/>
            <w:tcBorders>
              <w:top w:val="single" w:color="000000" w:sz="4" w:space="0"/>
              <w:left w:val="single" w:color="000000" w:sz="4" w:space="0"/>
              <w:bottom w:val="single" w:color="000000" w:sz="4" w:space="0"/>
              <w:right w:val="single" w:color="000000" w:sz="4" w:space="0"/>
            </w:tcBorders>
            <w:vAlign w:val="center"/>
          </w:tcPr>
          <w:p w14:paraId="2A604CE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3204228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r>
              <w:rPr>
                <w:color w:val="000000" w:themeColor="text1"/>
                <w:kern w:val="0"/>
                <w:szCs w:val="21"/>
                <w14:textFill>
                  <w14:solidFill>
                    <w14:schemeClr w14:val="tx1"/>
                  </w14:solidFill>
                </w14:textFill>
              </w:rPr>
              <w:t>t/a</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6DF4BC7C">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788F18CA">
        <w:tblPrEx>
          <w:tblCellMar>
            <w:top w:w="0" w:type="dxa"/>
            <w:left w:w="108" w:type="dxa"/>
            <w:bottom w:w="0" w:type="dxa"/>
            <w:right w:w="108" w:type="dxa"/>
          </w:tblCellMar>
        </w:tblPrEx>
        <w:trPr>
          <w:jc w:val="center"/>
        </w:trPr>
        <w:tc>
          <w:tcPr>
            <w:tcW w:w="1132" w:type="dxa"/>
            <w:vMerge w:val="continue"/>
            <w:tcBorders>
              <w:left w:val="single" w:color="auto" w:sz="4" w:space="0"/>
              <w:right w:val="single" w:color="auto" w:sz="4" w:space="0"/>
            </w:tcBorders>
            <w:vAlign w:val="center"/>
          </w:tcPr>
          <w:p w14:paraId="2C61AE34">
            <w:pPr>
              <w:spacing w:line="440" w:lineRule="exact"/>
              <w:jc w:val="center"/>
              <w:rPr>
                <w:color w:val="000000" w:themeColor="text1"/>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noWrap/>
            <w:vAlign w:val="center"/>
          </w:tcPr>
          <w:p w14:paraId="37C265B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91" w:type="dxa"/>
            <w:tcBorders>
              <w:top w:val="single" w:color="000000" w:sz="4" w:space="0"/>
              <w:left w:val="single" w:color="000000" w:sz="4" w:space="0"/>
              <w:bottom w:val="single" w:color="000000" w:sz="4" w:space="0"/>
              <w:right w:val="single" w:color="000000" w:sz="4" w:space="0"/>
            </w:tcBorders>
            <w:vAlign w:val="center"/>
          </w:tcPr>
          <w:p w14:paraId="4E1741F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6527DF07">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5CD1CF80">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30165D4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21" w:type="dxa"/>
            <w:tcBorders>
              <w:top w:val="single" w:color="000000" w:sz="4" w:space="0"/>
              <w:left w:val="single" w:color="000000" w:sz="4" w:space="0"/>
              <w:bottom w:val="single" w:color="000000" w:sz="4" w:space="0"/>
              <w:right w:val="single" w:color="000000" w:sz="4" w:space="0"/>
            </w:tcBorders>
            <w:vAlign w:val="center"/>
          </w:tcPr>
          <w:p w14:paraId="33AD891F">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260C185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39CB5EB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677BDFD7">
        <w:tblPrEx>
          <w:tblCellMar>
            <w:top w:w="0" w:type="dxa"/>
            <w:left w:w="108" w:type="dxa"/>
            <w:bottom w:w="0" w:type="dxa"/>
            <w:right w:w="108" w:type="dxa"/>
          </w:tblCellMar>
        </w:tblPrEx>
        <w:trPr>
          <w:jc w:val="center"/>
        </w:trPr>
        <w:tc>
          <w:tcPr>
            <w:tcW w:w="1132" w:type="dxa"/>
            <w:vMerge w:val="continue"/>
            <w:tcBorders>
              <w:left w:val="single" w:color="auto" w:sz="4" w:space="0"/>
              <w:right w:val="single" w:color="auto" w:sz="4" w:space="0"/>
            </w:tcBorders>
            <w:vAlign w:val="center"/>
          </w:tcPr>
          <w:p w14:paraId="71A9CB89">
            <w:pPr>
              <w:spacing w:line="440" w:lineRule="exact"/>
              <w:jc w:val="center"/>
              <w:rPr>
                <w:color w:val="000000" w:themeColor="text1"/>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02683C68">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91" w:type="dxa"/>
            <w:tcBorders>
              <w:top w:val="single" w:color="000000" w:sz="4" w:space="0"/>
              <w:left w:val="single" w:color="000000" w:sz="4" w:space="0"/>
              <w:bottom w:val="single" w:color="000000" w:sz="4" w:space="0"/>
              <w:right w:val="single" w:color="000000" w:sz="4" w:space="0"/>
            </w:tcBorders>
            <w:vAlign w:val="center"/>
          </w:tcPr>
          <w:p w14:paraId="7E8F5D9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339FD4FA">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0143BF88">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20B400AF">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21" w:type="dxa"/>
            <w:tcBorders>
              <w:top w:val="single" w:color="000000" w:sz="4" w:space="0"/>
              <w:left w:val="single" w:color="000000" w:sz="4" w:space="0"/>
              <w:bottom w:val="single" w:color="000000" w:sz="4" w:space="0"/>
              <w:right w:val="single" w:color="000000" w:sz="4" w:space="0"/>
            </w:tcBorders>
            <w:vAlign w:val="center"/>
          </w:tcPr>
          <w:p w14:paraId="091F1282">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3E7BE7EB">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6026AE4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54A883CB">
        <w:tblPrEx>
          <w:tblCellMar>
            <w:top w:w="0" w:type="dxa"/>
            <w:left w:w="108" w:type="dxa"/>
            <w:bottom w:w="0" w:type="dxa"/>
            <w:right w:w="108" w:type="dxa"/>
          </w:tblCellMar>
        </w:tblPrEx>
        <w:trPr>
          <w:jc w:val="center"/>
        </w:trPr>
        <w:tc>
          <w:tcPr>
            <w:tcW w:w="1132" w:type="dxa"/>
            <w:vMerge w:val="continue"/>
            <w:tcBorders>
              <w:left w:val="single" w:color="auto" w:sz="4" w:space="0"/>
              <w:right w:val="single" w:color="auto" w:sz="4" w:space="0"/>
            </w:tcBorders>
            <w:vAlign w:val="center"/>
          </w:tcPr>
          <w:p w14:paraId="7D01C4ED">
            <w:pPr>
              <w:spacing w:line="440" w:lineRule="exact"/>
              <w:jc w:val="center"/>
              <w:rPr>
                <w:color w:val="000000" w:themeColor="text1"/>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63A0A73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91" w:type="dxa"/>
            <w:tcBorders>
              <w:top w:val="single" w:color="000000" w:sz="4" w:space="0"/>
              <w:left w:val="single" w:color="000000" w:sz="4" w:space="0"/>
              <w:bottom w:val="single" w:color="000000" w:sz="4" w:space="0"/>
              <w:right w:val="single" w:color="000000" w:sz="4" w:space="0"/>
            </w:tcBorders>
            <w:vAlign w:val="center"/>
          </w:tcPr>
          <w:p w14:paraId="2E27CC8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255ED25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05CB7B5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7EC102A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21" w:type="dxa"/>
            <w:tcBorders>
              <w:top w:val="single" w:color="000000" w:sz="4" w:space="0"/>
              <w:left w:val="single" w:color="000000" w:sz="4" w:space="0"/>
              <w:bottom w:val="single" w:color="000000" w:sz="4" w:space="0"/>
              <w:right w:val="single" w:color="000000" w:sz="4" w:space="0"/>
            </w:tcBorders>
            <w:vAlign w:val="center"/>
          </w:tcPr>
          <w:p w14:paraId="3D4C7FB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3F4AA890">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63F3551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2ACB1C86">
        <w:tblPrEx>
          <w:tblCellMar>
            <w:top w:w="0" w:type="dxa"/>
            <w:left w:w="108" w:type="dxa"/>
            <w:bottom w:w="0" w:type="dxa"/>
            <w:right w:w="108" w:type="dxa"/>
          </w:tblCellMar>
        </w:tblPrEx>
        <w:trPr>
          <w:jc w:val="center"/>
        </w:trPr>
        <w:tc>
          <w:tcPr>
            <w:tcW w:w="1132" w:type="dxa"/>
            <w:vMerge w:val="continue"/>
            <w:tcBorders>
              <w:left w:val="single" w:color="auto" w:sz="4" w:space="0"/>
              <w:right w:val="single" w:color="auto" w:sz="4" w:space="0"/>
            </w:tcBorders>
            <w:vAlign w:val="center"/>
          </w:tcPr>
          <w:p w14:paraId="19DCBDB8">
            <w:pPr>
              <w:widowControl/>
              <w:spacing w:line="440" w:lineRule="exact"/>
              <w:jc w:val="center"/>
              <w:textAlignment w:val="center"/>
              <w:rPr>
                <w:color w:val="000000" w:themeColor="text1"/>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55077E43">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91" w:type="dxa"/>
            <w:tcBorders>
              <w:top w:val="single" w:color="000000" w:sz="4" w:space="0"/>
              <w:left w:val="single" w:color="000000" w:sz="4" w:space="0"/>
              <w:bottom w:val="single" w:color="000000" w:sz="4" w:space="0"/>
              <w:right w:val="single" w:color="000000" w:sz="4" w:space="0"/>
            </w:tcBorders>
            <w:vAlign w:val="center"/>
          </w:tcPr>
          <w:p w14:paraId="6AE312F7">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397C50C5">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651827E1">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vAlign w:val="center"/>
          </w:tcPr>
          <w:p w14:paraId="0A1786D7">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21" w:type="dxa"/>
            <w:tcBorders>
              <w:top w:val="single" w:color="000000" w:sz="4" w:space="0"/>
              <w:left w:val="single" w:color="000000" w:sz="4" w:space="0"/>
              <w:bottom w:val="single" w:color="000000" w:sz="4" w:space="0"/>
              <w:right w:val="single" w:color="000000" w:sz="4" w:space="0"/>
            </w:tcBorders>
            <w:vAlign w:val="center"/>
          </w:tcPr>
          <w:p w14:paraId="2D6A97F4">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vAlign w:val="center"/>
          </w:tcPr>
          <w:p w14:paraId="361ECD0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40" w:type="dxa"/>
            <w:tcBorders>
              <w:top w:val="single" w:color="000000" w:sz="4" w:space="0"/>
              <w:left w:val="single" w:color="000000" w:sz="4" w:space="0"/>
              <w:bottom w:val="single" w:color="000000" w:sz="4" w:space="0"/>
              <w:right w:val="single" w:color="000000" w:sz="4" w:space="0"/>
            </w:tcBorders>
            <w:vAlign w:val="center"/>
          </w:tcPr>
          <w:p w14:paraId="49EDA904">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r w14:paraId="0D431A78">
        <w:tblPrEx>
          <w:tblCellMar>
            <w:top w:w="0" w:type="dxa"/>
            <w:left w:w="108" w:type="dxa"/>
            <w:bottom w:w="0" w:type="dxa"/>
            <w:right w:w="108" w:type="dxa"/>
          </w:tblCellMar>
        </w:tblPrEx>
        <w:trPr>
          <w:jc w:val="center"/>
        </w:trPr>
        <w:tc>
          <w:tcPr>
            <w:tcW w:w="1132" w:type="dxa"/>
            <w:vMerge w:val="continue"/>
            <w:tcBorders>
              <w:left w:val="single" w:color="auto" w:sz="4" w:space="0"/>
              <w:bottom w:val="single" w:color="auto" w:sz="4" w:space="0"/>
              <w:right w:val="single" w:color="auto" w:sz="4" w:space="0"/>
            </w:tcBorders>
            <w:vAlign w:val="center"/>
          </w:tcPr>
          <w:p w14:paraId="1C21BA2B">
            <w:pPr>
              <w:spacing w:line="440" w:lineRule="exact"/>
              <w:jc w:val="center"/>
              <w:rPr>
                <w:color w:val="000000" w:themeColor="text1"/>
                <w:szCs w:val="21"/>
                <w14:textFill>
                  <w14:solidFill>
                    <w14:schemeClr w14:val="tx1"/>
                  </w14:solidFill>
                </w14:textFill>
              </w:rPr>
            </w:pPr>
          </w:p>
        </w:tc>
        <w:tc>
          <w:tcPr>
            <w:tcW w:w="1511" w:type="dxa"/>
            <w:tcBorders>
              <w:top w:val="single" w:color="000000" w:sz="4" w:space="0"/>
              <w:left w:val="single" w:color="auto" w:sz="4" w:space="0"/>
              <w:bottom w:val="single" w:color="000000" w:sz="4" w:space="0"/>
              <w:right w:val="single" w:color="000000" w:sz="4" w:space="0"/>
            </w:tcBorders>
            <w:vAlign w:val="center"/>
          </w:tcPr>
          <w:p w14:paraId="77A02FD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91" w:type="dxa"/>
            <w:tcBorders>
              <w:top w:val="single" w:color="000000" w:sz="4" w:space="0"/>
              <w:left w:val="single" w:color="000000" w:sz="4" w:space="0"/>
              <w:bottom w:val="single" w:color="000000" w:sz="4" w:space="0"/>
              <w:right w:val="single" w:color="000000" w:sz="4" w:space="0"/>
            </w:tcBorders>
            <w:vAlign w:val="center"/>
          </w:tcPr>
          <w:p w14:paraId="46B55B6E">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59" w:type="dxa"/>
            <w:tcBorders>
              <w:top w:val="single" w:color="000000" w:sz="4" w:space="0"/>
              <w:left w:val="single" w:color="000000" w:sz="4" w:space="0"/>
              <w:bottom w:val="single" w:color="000000" w:sz="4" w:space="0"/>
              <w:right w:val="single" w:color="000000" w:sz="4" w:space="0"/>
            </w:tcBorders>
            <w:vAlign w:val="center"/>
          </w:tcPr>
          <w:p w14:paraId="6F4BFCF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03" w:type="dxa"/>
            <w:tcBorders>
              <w:top w:val="single" w:color="000000" w:sz="4" w:space="0"/>
              <w:left w:val="single" w:color="000000" w:sz="4" w:space="0"/>
              <w:bottom w:val="single" w:color="000000" w:sz="4" w:space="0"/>
              <w:right w:val="single" w:color="000000" w:sz="4" w:space="0"/>
            </w:tcBorders>
            <w:vAlign w:val="center"/>
          </w:tcPr>
          <w:p w14:paraId="7F1F5D6F">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247CB956">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621" w:type="dxa"/>
            <w:tcBorders>
              <w:top w:val="single" w:color="000000" w:sz="4" w:space="0"/>
              <w:left w:val="single" w:color="000000" w:sz="4" w:space="0"/>
              <w:bottom w:val="single" w:color="000000" w:sz="4" w:space="0"/>
              <w:right w:val="single" w:color="000000" w:sz="4" w:space="0"/>
            </w:tcBorders>
            <w:vAlign w:val="center"/>
          </w:tcPr>
          <w:p w14:paraId="63B4A5A8">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2131" w:type="dxa"/>
            <w:tcBorders>
              <w:top w:val="single" w:color="000000" w:sz="4" w:space="0"/>
              <w:left w:val="single" w:color="000000" w:sz="4" w:space="0"/>
              <w:bottom w:val="single" w:color="000000" w:sz="4" w:space="0"/>
              <w:right w:val="single" w:color="000000" w:sz="4" w:space="0"/>
            </w:tcBorders>
            <w:noWrap/>
            <w:vAlign w:val="center"/>
          </w:tcPr>
          <w:p w14:paraId="32AC6FF9">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141A8E08">
            <w:pPr>
              <w:autoSpaceDE w:val="0"/>
              <w:autoSpaceDN w:val="0"/>
              <w:adjustRightInd w:val="0"/>
              <w:spacing w:line="440" w:lineRule="exact"/>
              <w:ind w:right="-82" w:rightChars="-39"/>
              <w:jc w:val="center"/>
              <w:rPr>
                <w:color w:val="000000" w:themeColor="text1"/>
                <w:szCs w:val="21"/>
                <w14:textFill>
                  <w14:solidFill>
                    <w14:schemeClr w14:val="tx1"/>
                  </w14:solidFill>
                </w14:textFill>
              </w:rPr>
            </w:pPr>
          </w:p>
        </w:tc>
      </w:tr>
    </w:tbl>
    <w:p w14:paraId="32720AF4">
      <w:pPr>
        <w:rPr>
          <w:color w:val="000000" w:themeColor="text1"/>
          <w14:textFill>
            <w14:solidFill>
              <w14:schemeClr w14:val="tx1"/>
            </w14:solidFill>
          </w14:textFill>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Hei-Medium">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TimesNewRomanPS-BoldM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4E13E">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EF63">
    <w:pPr>
      <w:pStyle w:val="17"/>
      <w:framePr w:wrap="around" w:vAnchor="text" w:hAnchor="page" w:x="1501" w:y="-133"/>
      <w:ind w:firstLine="560"/>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1</w:t>
    </w:r>
    <w:r>
      <w:rPr>
        <w:rFonts w:ascii="宋体" w:hAnsi="宋体"/>
        <w:sz w:val="26"/>
        <w:szCs w:val="26"/>
      </w:rPr>
      <w:fldChar w:fldCharType="end"/>
    </w:r>
    <w:r>
      <w:rPr>
        <w:rStyle w:val="28"/>
        <w:rFonts w:hint="eastAsia" w:ascii="宋体" w:hAnsi="宋体"/>
        <w:sz w:val="28"/>
        <w:szCs w:val="28"/>
      </w:rPr>
      <w:t>—</w:t>
    </w:r>
  </w:p>
  <w:p w14:paraId="466AE438">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4B84">
    <w:pPr>
      <w:pStyle w:val="17"/>
      <w:framePr w:wrap="around" w:vAnchor="text" w:hAnchor="page" w:x="9406" w:y="-88"/>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w:t>
    </w:r>
    <w:r>
      <w:rPr>
        <w:rStyle w:val="28"/>
        <w:color w:val="000000" w:themeColor="text1"/>
        <w:sz w:val="26"/>
        <w:szCs w:val="26"/>
        <w14:textFill>
          <w14:solidFill>
            <w14:schemeClr w14:val="tx1"/>
          </w14:solidFill>
        </w14:textFill>
      </w:rPr>
      <w:t>2</w:t>
    </w:r>
    <w:r>
      <w:rPr>
        <w:rFonts w:ascii="宋体" w:hAnsi="宋体"/>
        <w:sz w:val="26"/>
        <w:szCs w:val="26"/>
      </w:rPr>
      <w:fldChar w:fldCharType="end"/>
    </w:r>
    <w:r>
      <w:rPr>
        <w:rStyle w:val="28"/>
        <w:rFonts w:hint="eastAsia" w:ascii="宋体" w:hAnsi="宋体"/>
        <w:sz w:val="28"/>
        <w:szCs w:val="28"/>
      </w:rPr>
      <w:t>—</w:t>
    </w:r>
  </w:p>
  <w:p w14:paraId="2184A536">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E6212">
    <w:pPr>
      <w:pStyle w:val="17"/>
      <w:framePr w:wrap="around" w:vAnchor="text" w:hAnchor="margin" w:xAlign="outside" w:y="1"/>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4</w:t>
    </w:r>
    <w:r>
      <w:rPr>
        <w:rStyle w:val="28"/>
        <w:color w:val="000000" w:themeColor="text1"/>
        <w:sz w:val="26"/>
        <w:szCs w:val="26"/>
        <w14:textFill>
          <w14:solidFill>
            <w14:schemeClr w14:val="tx1"/>
          </w14:solidFill>
        </w14:textFill>
      </w:rPr>
      <w:t>3</w:t>
    </w:r>
    <w:r>
      <w:rPr>
        <w:rFonts w:ascii="宋体" w:hAnsi="宋体"/>
        <w:sz w:val="26"/>
        <w:szCs w:val="26"/>
      </w:rPr>
      <w:fldChar w:fldCharType="end"/>
    </w:r>
    <w:r>
      <w:rPr>
        <w:rStyle w:val="28"/>
        <w:rFonts w:hint="eastAsia" w:ascii="宋体" w:hAnsi="宋体"/>
        <w:sz w:val="28"/>
        <w:szCs w:val="28"/>
      </w:rPr>
      <w:t>—</w:t>
    </w:r>
  </w:p>
  <w:p w14:paraId="243F8C26">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0E0CA4"/>
    <w:multiLevelType w:val="multilevel"/>
    <w:tmpl w:val="3D0E0CA4"/>
    <w:lvl w:ilvl="0" w:tentative="0">
      <w:start w:val="1"/>
      <w:numFmt w:val="decimal"/>
      <w:lvlText w:val="（%1）"/>
      <w:lvlJc w:val="left"/>
      <w:pPr>
        <w:ind w:left="1202" w:hanging="72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
    <w:nsid w:val="4F263391"/>
    <w:multiLevelType w:val="multilevel"/>
    <w:tmpl w:val="4F263391"/>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EDA2C28"/>
    <w:multiLevelType w:val="multilevel"/>
    <w:tmpl w:val="5EDA2C28"/>
    <w:lvl w:ilvl="0" w:tentative="0">
      <w:start w:val="1"/>
      <w:numFmt w:val="decimalEnclosedCircle"/>
      <w:lvlText w:val="%1"/>
      <w:lvlJc w:val="left"/>
      <w:pPr>
        <w:ind w:left="1262" w:hanging="360"/>
      </w:pPr>
      <w:rPr>
        <w:rFonts w:hint="default"/>
      </w:rPr>
    </w:lvl>
    <w:lvl w:ilvl="1" w:tentative="0">
      <w:start w:val="1"/>
      <w:numFmt w:val="lowerLetter"/>
      <w:lvlText w:val="%2)"/>
      <w:lvlJc w:val="left"/>
      <w:pPr>
        <w:ind w:left="1782" w:hanging="440"/>
      </w:pPr>
    </w:lvl>
    <w:lvl w:ilvl="2" w:tentative="0">
      <w:start w:val="1"/>
      <w:numFmt w:val="lowerRoman"/>
      <w:lvlText w:val="%3."/>
      <w:lvlJc w:val="right"/>
      <w:pPr>
        <w:ind w:left="2222" w:hanging="440"/>
      </w:pPr>
    </w:lvl>
    <w:lvl w:ilvl="3" w:tentative="0">
      <w:start w:val="1"/>
      <w:numFmt w:val="decimal"/>
      <w:lvlText w:val="%4."/>
      <w:lvlJc w:val="left"/>
      <w:pPr>
        <w:ind w:left="2662" w:hanging="440"/>
      </w:pPr>
    </w:lvl>
    <w:lvl w:ilvl="4" w:tentative="0">
      <w:start w:val="1"/>
      <w:numFmt w:val="lowerLetter"/>
      <w:lvlText w:val="%5)"/>
      <w:lvlJc w:val="left"/>
      <w:pPr>
        <w:ind w:left="3102" w:hanging="440"/>
      </w:pPr>
    </w:lvl>
    <w:lvl w:ilvl="5" w:tentative="0">
      <w:start w:val="1"/>
      <w:numFmt w:val="lowerRoman"/>
      <w:lvlText w:val="%6."/>
      <w:lvlJc w:val="right"/>
      <w:pPr>
        <w:ind w:left="3542" w:hanging="440"/>
      </w:pPr>
    </w:lvl>
    <w:lvl w:ilvl="6" w:tentative="0">
      <w:start w:val="1"/>
      <w:numFmt w:val="decimal"/>
      <w:lvlText w:val="%7."/>
      <w:lvlJc w:val="left"/>
      <w:pPr>
        <w:ind w:left="3982" w:hanging="440"/>
      </w:pPr>
    </w:lvl>
    <w:lvl w:ilvl="7" w:tentative="0">
      <w:start w:val="1"/>
      <w:numFmt w:val="lowerLetter"/>
      <w:lvlText w:val="%8)"/>
      <w:lvlJc w:val="left"/>
      <w:pPr>
        <w:ind w:left="4422" w:hanging="440"/>
      </w:pPr>
    </w:lvl>
    <w:lvl w:ilvl="8" w:tentative="0">
      <w:start w:val="1"/>
      <w:numFmt w:val="lowerRoman"/>
      <w:lvlText w:val="%9."/>
      <w:lvlJc w:val="right"/>
      <w:pPr>
        <w:ind w:left="4862" w:hanging="440"/>
      </w:pPr>
    </w:lvl>
  </w:abstractNum>
  <w:abstractNum w:abstractNumId="3">
    <w:nsid w:val="68DB6D48"/>
    <w:multiLevelType w:val="multilevel"/>
    <w:tmpl w:val="68DB6D48"/>
    <w:lvl w:ilvl="0" w:tentative="0">
      <w:start w:val="1"/>
      <w:numFmt w:val="decimal"/>
      <w:lvlText w:val="（%1）"/>
      <w:lvlJc w:val="left"/>
      <w:pPr>
        <w:ind w:left="1202" w:hanging="72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dit="trackedChanges" w:enforcement="0"/>
  <w:defaultTabStop w:val="420"/>
  <w:evenAndOddHeaders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EzYWQ2M2JmMjU1MjdjYmNhMjg5NTQ4MjVhZTFjYmIifQ=="/>
  </w:docVars>
  <w:rsids>
    <w:rsidRoot w:val="00172A27"/>
    <w:rsid w:val="000002DA"/>
    <w:rsid w:val="00000977"/>
    <w:rsid w:val="000060B3"/>
    <w:rsid w:val="000065ED"/>
    <w:rsid w:val="000068AB"/>
    <w:rsid w:val="000069A0"/>
    <w:rsid w:val="00012CA3"/>
    <w:rsid w:val="00013DEB"/>
    <w:rsid w:val="00015C97"/>
    <w:rsid w:val="00022851"/>
    <w:rsid w:val="00023208"/>
    <w:rsid w:val="00023440"/>
    <w:rsid w:val="00025436"/>
    <w:rsid w:val="00025AD2"/>
    <w:rsid w:val="00025CE8"/>
    <w:rsid w:val="0003046D"/>
    <w:rsid w:val="00030AA6"/>
    <w:rsid w:val="00033837"/>
    <w:rsid w:val="000371BF"/>
    <w:rsid w:val="00037ADE"/>
    <w:rsid w:val="0004364B"/>
    <w:rsid w:val="000439AA"/>
    <w:rsid w:val="0004532C"/>
    <w:rsid w:val="00047A42"/>
    <w:rsid w:val="00052264"/>
    <w:rsid w:val="00055ADB"/>
    <w:rsid w:val="00057B61"/>
    <w:rsid w:val="00057CB6"/>
    <w:rsid w:val="00060A49"/>
    <w:rsid w:val="00061B1F"/>
    <w:rsid w:val="00061BE7"/>
    <w:rsid w:val="000633C7"/>
    <w:rsid w:val="00063444"/>
    <w:rsid w:val="00070946"/>
    <w:rsid w:val="000733C4"/>
    <w:rsid w:val="00074783"/>
    <w:rsid w:val="00076EF3"/>
    <w:rsid w:val="0008070B"/>
    <w:rsid w:val="000810AC"/>
    <w:rsid w:val="00081A02"/>
    <w:rsid w:val="00082231"/>
    <w:rsid w:val="00082945"/>
    <w:rsid w:val="00083C1C"/>
    <w:rsid w:val="0008449B"/>
    <w:rsid w:val="0009111E"/>
    <w:rsid w:val="000916C6"/>
    <w:rsid w:val="00092D38"/>
    <w:rsid w:val="0009377B"/>
    <w:rsid w:val="00097A66"/>
    <w:rsid w:val="000A0060"/>
    <w:rsid w:val="000A20C9"/>
    <w:rsid w:val="000A3F8E"/>
    <w:rsid w:val="000A4867"/>
    <w:rsid w:val="000A55B2"/>
    <w:rsid w:val="000A6911"/>
    <w:rsid w:val="000A6B57"/>
    <w:rsid w:val="000B02D1"/>
    <w:rsid w:val="000B058F"/>
    <w:rsid w:val="000B0C1E"/>
    <w:rsid w:val="000B1156"/>
    <w:rsid w:val="000B2FBD"/>
    <w:rsid w:val="000B395D"/>
    <w:rsid w:val="000B3D7D"/>
    <w:rsid w:val="000B4467"/>
    <w:rsid w:val="000B4DB9"/>
    <w:rsid w:val="000B5E46"/>
    <w:rsid w:val="000B7838"/>
    <w:rsid w:val="000C09AC"/>
    <w:rsid w:val="000C2E5D"/>
    <w:rsid w:val="000C3741"/>
    <w:rsid w:val="000C6795"/>
    <w:rsid w:val="000C767F"/>
    <w:rsid w:val="000D037D"/>
    <w:rsid w:val="000D2646"/>
    <w:rsid w:val="000D26D0"/>
    <w:rsid w:val="000D2CCF"/>
    <w:rsid w:val="000D3716"/>
    <w:rsid w:val="000D3C05"/>
    <w:rsid w:val="000D5A44"/>
    <w:rsid w:val="000D706A"/>
    <w:rsid w:val="000E0BDD"/>
    <w:rsid w:val="000E3ED2"/>
    <w:rsid w:val="000E47F6"/>
    <w:rsid w:val="000E49D0"/>
    <w:rsid w:val="000E5FB2"/>
    <w:rsid w:val="000E617B"/>
    <w:rsid w:val="000E783F"/>
    <w:rsid w:val="000F1354"/>
    <w:rsid w:val="000F1E80"/>
    <w:rsid w:val="001005E0"/>
    <w:rsid w:val="00101130"/>
    <w:rsid w:val="00104FBC"/>
    <w:rsid w:val="001110C1"/>
    <w:rsid w:val="00113B35"/>
    <w:rsid w:val="00115A75"/>
    <w:rsid w:val="001207DF"/>
    <w:rsid w:val="001238CA"/>
    <w:rsid w:val="001252B2"/>
    <w:rsid w:val="00131F42"/>
    <w:rsid w:val="00132077"/>
    <w:rsid w:val="00133830"/>
    <w:rsid w:val="001357F1"/>
    <w:rsid w:val="00136DF1"/>
    <w:rsid w:val="001370B5"/>
    <w:rsid w:val="00140FA8"/>
    <w:rsid w:val="00140FF5"/>
    <w:rsid w:val="00141D92"/>
    <w:rsid w:val="00142E5D"/>
    <w:rsid w:val="00142FEB"/>
    <w:rsid w:val="00143A2D"/>
    <w:rsid w:val="00145A41"/>
    <w:rsid w:val="00146626"/>
    <w:rsid w:val="00151675"/>
    <w:rsid w:val="001521FC"/>
    <w:rsid w:val="00153BB5"/>
    <w:rsid w:val="00153E67"/>
    <w:rsid w:val="00155F7E"/>
    <w:rsid w:val="00157435"/>
    <w:rsid w:val="001638E7"/>
    <w:rsid w:val="00164399"/>
    <w:rsid w:val="001651B9"/>
    <w:rsid w:val="0016621D"/>
    <w:rsid w:val="00166DF4"/>
    <w:rsid w:val="00172A27"/>
    <w:rsid w:val="00173FAA"/>
    <w:rsid w:val="001744FA"/>
    <w:rsid w:val="00174AFF"/>
    <w:rsid w:val="0017504D"/>
    <w:rsid w:val="00175B94"/>
    <w:rsid w:val="0017671A"/>
    <w:rsid w:val="00177422"/>
    <w:rsid w:val="001808E4"/>
    <w:rsid w:val="00184590"/>
    <w:rsid w:val="00187071"/>
    <w:rsid w:val="001870D1"/>
    <w:rsid w:val="0018781E"/>
    <w:rsid w:val="0019163B"/>
    <w:rsid w:val="0019262D"/>
    <w:rsid w:val="0019287D"/>
    <w:rsid w:val="00196A15"/>
    <w:rsid w:val="001977A4"/>
    <w:rsid w:val="001A1B35"/>
    <w:rsid w:val="001A2433"/>
    <w:rsid w:val="001A2F6E"/>
    <w:rsid w:val="001A48A2"/>
    <w:rsid w:val="001A4C3E"/>
    <w:rsid w:val="001A4F12"/>
    <w:rsid w:val="001A5374"/>
    <w:rsid w:val="001A6F61"/>
    <w:rsid w:val="001B1DB4"/>
    <w:rsid w:val="001B46BB"/>
    <w:rsid w:val="001B5436"/>
    <w:rsid w:val="001B565B"/>
    <w:rsid w:val="001B57D8"/>
    <w:rsid w:val="001B5981"/>
    <w:rsid w:val="001B5D5D"/>
    <w:rsid w:val="001B5EF8"/>
    <w:rsid w:val="001B7152"/>
    <w:rsid w:val="001B72B8"/>
    <w:rsid w:val="001B74EA"/>
    <w:rsid w:val="001C11C5"/>
    <w:rsid w:val="001C4A41"/>
    <w:rsid w:val="001C52F3"/>
    <w:rsid w:val="001C69B3"/>
    <w:rsid w:val="001C7781"/>
    <w:rsid w:val="001D1F11"/>
    <w:rsid w:val="001D3E5E"/>
    <w:rsid w:val="001D46AD"/>
    <w:rsid w:val="001D5595"/>
    <w:rsid w:val="001D6D9A"/>
    <w:rsid w:val="001D7874"/>
    <w:rsid w:val="001D7F22"/>
    <w:rsid w:val="001E07CB"/>
    <w:rsid w:val="001E160E"/>
    <w:rsid w:val="001E298B"/>
    <w:rsid w:val="001E6594"/>
    <w:rsid w:val="001E66FC"/>
    <w:rsid w:val="001F0A59"/>
    <w:rsid w:val="001F0F17"/>
    <w:rsid w:val="001F3347"/>
    <w:rsid w:val="001F69A6"/>
    <w:rsid w:val="001F69E4"/>
    <w:rsid w:val="002046DA"/>
    <w:rsid w:val="002055E5"/>
    <w:rsid w:val="00205600"/>
    <w:rsid w:val="002078CA"/>
    <w:rsid w:val="00207C73"/>
    <w:rsid w:val="002105AF"/>
    <w:rsid w:val="002117CA"/>
    <w:rsid w:val="002125B4"/>
    <w:rsid w:val="002155B8"/>
    <w:rsid w:val="00217379"/>
    <w:rsid w:val="0022193A"/>
    <w:rsid w:val="00224839"/>
    <w:rsid w:val="002249B2"/>
    <w:rsid w:val="002251D9"/>
    <w:rsid w:val="00226574"/>
    <w:rsid w:val="00226B42"/>
    <w:rsid w:val="002275F0"/>
    <w:rsid w:val="002278EC"/>
    <w:rsid w:val="00231B98"/>
    <w:rsid w:val="00232333"/>
    <w:rsid w:val="0023280E"/>
    <w:rsid w:val="00234F96"/>
    <w:rsid w:val="002377D1"/>
    <w:rsid w:val="0024343C"/>
    <w:rsid w:val="00244542"/>
    <w:rsid w:val="00246127"/>
    <w:rsid w:val="002506BC"/>
    <w:rsid w:val="002506CB"/>
    <w:rsid w:val="0025254C"/>
    <w:rsid w:val="00252AE7"/>
    <w:rsid w:val="00254345"/>
    <w:rsid w:val="00254512"/>
    <w:rsid w:val="002553BA"/>
    <w:rsid w:val="00256E7E"/>
    <w:rsid w:val="002577FA"/>
    <w:rsid w:val="00261B7E"/>
    <w:rsid w:val="00263BD7"/>
    <w:rsid w:val="00264557"/>
    <w:rsid w:val="002645C1"/>
    <w:rsid w:val="00264B85"/>
    <w:rsid w:val="00264CB6"/>
    <w:rsid w:val="00264F65"/>
    <w:rsid w:val="002720EF"/>
    <w:rsid w:val="0027396B"/>
    <w:rsid w:val="002751E0"/>
    <w:rsid w:val="00276F01"/>
    <w:rsid w:val="002805AB"/>
    <w:rsid w:val="0028088C"/>
    <w:rsid w:val="00281738"/>
    <w:rsid w:val="00282359"/>
    <w:rsid w:val="00282EED"/>
    <w:rsid w:val="00284204"/>
    <w:rsid w:val="00284632"/>
    <w:rsid w:val="00285F99"/>
    <w:rsid w:val="00286269"/>
    <w:rsid w:val="0028724F"/>
    <w:rsid w:val="002879E4"/>
    <w:rsid w:val="00291773"/>
    <w:rsid w:val="002934BF"/>
    <w:rsid w:val="00295052"/>
    <w:rsid w:val="002A096D"/>
    <w:rsid w:val="002A168C"/>
    <w:rsid w:val="002A1FBE"/>
    <w:rsid w:val="002A2BA0"/>
    <w:rsid w:val="002A3DC7"/>
    <w:rsid w:val="002A3F54"/>
    <w:rsid w:val="002A4E7D"/>
    <w:rsid w:val="002A521A"/>
    <w:rsid w:val="002A6A7E"/>
    <w:rsid w:val="002A778B"/>
    <w:rsid w:val="002B0488"/>
    <w:rsid w:val="002B3FD0"/>
    <w:rsid w:val="002B49E2"/>
    <w:rsid w:val="002B5CC7"/>
    <w:rsid w:val="002B6A19"/>
    <w:rsid w:val="002B6D00"/>
    <w:rsid w:val="002B7B00"/>
    <w:rsid w:val="002B7C44"/>
    <w:rsid w:val="002B7CCD"/>
    <w:rsid w:val="002C17DF"/>
    <w:rsid w:val="002C2B17"/>
    <w:rsid w:val="002C6337"/>
    <w:rsid w:val="002C7170"/>
    <w:rsid w:val="002D1229"/>
    <w:rsid w:val="002D16DA"/>
    <w:rsid w:val="002D3DD0"/>
    <w:rsid w:val="002D61F2"/>
    <w:rsid w:val="002E1B26"/>
    <w:rsid w:val="002E1F3A"/>
    <w:rsid w:val="002E2164"/>
    <w:rsid w:val="002E252D"/>
    <w:rsid w:val="002E298A"/>
    <w:rsid w:val="002E2CB6"/>
    <w:rsid w:val="002E4CBD"/>
    <w:rsid w:val="002E58C4"/>
    <w:rsid w:val="002E5B01"/>
    <w:rsid w:val="002E5CAB"/>
    <w:rsid w:val="002F13E4"/>
    <w:rsid w:val="002F1EB1"/>
    <w:rsid w:val="00301978"/>
    <w:rsid w:val="00302D06"/>
    <w:rsid w:val="0030332C"/>
    <w:rsid w:val="003051C2"/>
    <w:rsid w:val="0030567F"/>
    <w:rsid w:val="00305745"/>
    <w:rsid w:val="003061F7"/>
    <w:rsid w:val="003121BA"/>
    <w:rsid w:val="003121D9"/>
    <w:rsid w:val="00312296"/>
    <w:rsid w:val="00312B35"/>
    <w:rsid w:val="00313932"/>
    <w:rsid w:val="00314230"/>
    <w:rsid w:val="00314321"/>
    <w:rsid w:val="003143A7"/>
    <w:rsid w:val="00314F0E"/>
    <w:rsid w:val="00314F48"/>
    <w:rsid w:val="0031506F"/>
    <w:rsid w:val="00316375"/>
    <w:rsid w:val="003178B1"/>
    <w:rsid w:val="00321D8E"/>
    <w:rsid w:val="00322126"/>
    <w:rsid w:val="003225DD"/>
    <w:rsid w:val="00325928"/>
    <w:rsid w:val="00326892"/>
    <w:rsid w:val="00330FE7"/>
    <w:rsid w:val="00332863"/>
    <w:rsid w:val="00333AD6"/>
    <w:rsid w:val="00334E64"/>
    <w:rsid w:val="00335A1A"/>
    <w:rsid w:val="0033684D"/>
    <w:rsid w:val="00337B42"/>
    <w:rsid w:val="00341B42"/>
    <w:rsid w:val="00343384"/>
    <w:rsid w:val="0034348F"/>
    <w:rsid w:val="00356653"/>
    <w:rsid w:val="00357413"/>
    <w:rsid w:val="0035743F"/>
    <w:rsid w:val="00357BE2"/>
    <w:rsid w:val="00357F46"/>
    <w:rsid w:val="0036170C"/>
    <w:rsid w:val="003619F5"/>
    <w:rsid w:val="00361FD4"/>
    <w:rsid w:val="003622F7"/>
    <w:rsid w:val="003626F7"/>
    <w:rsid w:val="00366E0F"/>
    <w:rsid w:val="00372FC6"/>
    <w:rsid w:val="00376896"/>
    <w:rsid w:val="00377E51"/>
    <w:rsid w:val="00381A72"/>
    <w:rsid w:val="00381A93"/>
    <w:rsid w:val="00384676"/>
    <w:rsid w:val="0039029A"/>
    <w:rsid w:val="00390791"/>
    <w:rsid w:val="00390857"/>
    <w:rsid w:val="003916B9"/>
    <w:rsid w:val="00393755"/>
    <w:rsid w:val="00394721"/>
    <w:rsid w:val="00394B7D"/>
    <w:rsid w:val="00395693"/>
    <w:rsid w:val="0039569B"/>
    <w:rsid w:val="003961CA"/>
    <w:rsid w:val="00396E18"/>
    <w:rsid w:val="003A04A3"/>
    <w:rsid w:val="003A0CFC"/>
    <w:rsid w:val="003A3B35"/>
    <w:rsid w:val="003A47AE"/>
    <w:rsid w:val="003A4BF3"/>
    <w:rsid w:val="003A550F"/>
    <w:rsid w:val="003B0D31"/>
    <w:rsid w:val="003B3EB1"/>
    <w:rsid w:val="003B420D"/>
    <w:rsid w:val="003C1EA5"/>
    <w:rsid w:val="003C4870"/>
    <w:rsid w:val="003C4B29"/>
    <w:rsid w:val="003C6837"/>
    <w:rsid w:val="003C6C16"/>
    <w:rsid w:val="003C752F"/>
    <w:rsid w:val="003D0238"/>
    <w:rsid w:val="003D1C99"/>
    <w:rsid w:val="003D3505"/>
    <w:rsid w:val="003D4AF6"/>
    <w:rsid w:val="003D794D"/>
    <w:rsid w:val="003D79E4"/>
    <w:rsid w:val="003D7BB6"/>
    <w:rsid w:val="003E0132"/>
    <w:rsid w:val="003E0776"/>
    <w:rsid w:val="003E0F7A"/>
    <w:rsid w:val="003E3058"/>
    <w:rsid w:val="003E4106"/>
    <w:rsid w:val="003E4B93"/>
    <w:rsid w:val="003E6EC5"/>
    <w:rsid w:val="003E7685"/>
    <w:rsid w:val="003E76A9"/>
    <w:rsid w:val="003F0809"/>
    <w:rsid w:val="003F51C7"/>
    <w:rsid w:val="003F5CB4"/>
    <w:rsid w:val="003F6A8C"/>
    <w:rsid w:val="003F755C"/>
    <w:rsid w:val="003F772F"/>
    <w:rsid w:val="00400255"/>
    <w:rsid w:val="004010EA"/>
    <w:rsid w:val="00401FD3"/>
    <w:rsid w:val="00406F01"/>
    <w:rsid w:val="0040798A"/>
    <w:rsid w:val="004105C1"/>
    <w:rsid w:val="00410A95"/>
    <w:rsid w:val="00411511"/>
    <w:rsid w:val="00412C10"/>
    <w:rsid w:val="00416D50"/>
    <w:rsid w:val="00416FD5"/>
    <w:rsid w:val="00417772"/>
    <w:rsid w:val="00420E6A"/>
    <w:rsid w:val="00420EC8"/>
    <w:rsid w:val="0042186F"/>
    <w:rsid w:val="00421A79"/>
    <w:rsid w:val="00421CAE"/>
    <w:rsid w:val="00421D2C"/>
    <w:rsid w:val="00422C4A"/>
    <w:rsid w:val="00423BC5"/>
    <w:rsid w:val="00424782"/>
    <w:rsid w:val="004249FE"/>
    <w:rsid w:val="004259D0"/>
    <w:rsid w:val="00425A9E"/>
    <w:rsid w:val="0042633A"/>
    <w:rsid w:val="00426D6B"/>
    <w:rsid w:val="00427FBE"/>
    <w:rsid w:val="00430BCA"/>
    <w:rsid w:val="00431E6C"/>
    <w:rsid w:val="00433CE7"/>
    <w:rsid w:val="00434AC6"/>
    <w:rsid w:val="0044047B"/>
    <w:rsid w:val="004411DC"/>
    <w:rsid w:val="004503DA"/>
    <w:rsid w:val="00452738"/>
    <w:rsid w:val="00456091"/>
    <w:rsid w:val="00460481"/>
    <w:rsid w:val="00461004"/>
    <w:rsid w:val="00463276"/>
    <w:rsid w:val="004649BF"/>
    <w:rsid w:val="00466321"/>
    <w:rsid w:val="0046634E"/>
    <w:rsid w:val="00467225"/>
    <w:rsid w:val="00473E01"/>
    <w:rsid w:val="00477DA6"/>
    <w:rsid w:val="00481488"/>
    <w:rsid w:val="00483311"/>
    <w:rsid w:val="00484B9B"/>
    <w:rsid w:val="004855F6"/>
    <w:rsid w:val="00485EEA"/>
    <w:rsid w:val="0048661E"/>
    <w:rsid w:val="004872C3"/>
    <w:rsid w:val="004879F0"/>
    <w:rsid w:val="00492FA0"/>
    <w:rsid w:val="00494670"/>
    <w:rsid w:val="004A1B78"/>
    <w:rsid w:val="004A2ACC"/>
    <w:rsid w:val="004A2D85"/>
    <w:rsid w:val="004A3039"/>
    <w:rsid w:val="004A3645"/>
    <w:rsid w:val="004A3823"/>
    <w:rsid w:val="004A3FAF"/>
    <w:rsid w:val="004B1F4F"/>
    <w:rsid w:val="004B2E20"/>
    <w:rsid w:val="004B3060"/>
    <w:rsid w:val="004B4276"/>
    <w:rsid w:val="004B467A"/>
    <w:rsid w:val="004B4B0F"/>
    <w:rsid w:val="004B59BA"/>
    <w:rsid w:val="004B6F23"/>
    <w:rsid w:val="004B7534"/>
    <w:rsid w:val="004B75A7"/>
    <w:rsid w:val="004B7F25"/>
    <w:rsid w:val="004C7A62"/>
    <w:rsid w:val="004D12B8"/>
    <w:rsid w:val="004D4409"/>
    <w:rsid w:val="004D62A4"/>
    <w:rsid w:val="004D667F"/>
    <w:rsid w:val="004E1914"/>
    <w:rsid w:val="004E4E29"/>
    <w:rsid w:val="004E594F"/>
    <w:rsid w:val="004E6044"/>
    <w:rsid w:val="004E6946"/>
    <w:rsid w:val="004E6EC1"/>
    <w:rsid w:val="004F1AD8"/>
    <w:rsid w:val="004F417B"/>
    <w:rsid w:val="004F4AF8"/>
    <w:rsid w:val="005000EE"/>
    <w:rsid w:val="005006B4"/>
    <w:rsid w:val="005039CB"/>
    <w:rsid w:val="0050558F"/>
    <w:rsid w:val="00506286"/>
    <w:rsid w:val="00510813"/>
    <w:rsid w:val="00511990"/>
    <w:rsid w:val="00511DE0"/>
    <w:rsid w:val="005134D1"/>
    <w:rsid w:val="00513B18"/>
    <w:rsid w:val="00514870"/>
    <w:rsid w:val="00514B9B"/>
    <w:rsid w:val="005154ED"/>
    <w:rsid w:val="00517F02"/>
    <w:rsid w:val="00520A0D"/>
    <w:rsid w:val="00521971"/>
    <w:rsid w:val="0052303B"/>
    <w:rsid w:val="005238E7"/>
    <w:rsid w:val="00524303"/>
    <w:rsid w:val="005258A2"/>
    <w:rsid w:val="00525B0A"/>
    <w:rsid w:val="00525BFB"/>
    <w:rsid w:val="00526276"/>
    <w:rsid w:val="005305B7"/>
    <w:rsid w:val="00532FFD"/>
    <w:rsid w:val="0053335E"/>
    <w:rsid w:val="005359DD"/>
    <w:rsid w:val="00536D3E"/>
    <w:rsid w:val="005401AE"/>
    <w:rsid w:val="005401FA"/>
    <w:rsid w:val="0054020B"/>
    <w:rsid w:val="005407B0"/>
    <w:rsid w:val="00540A32"/>
    <w:rsid w:val="0054209D"/>
    <w:rsid w:val="00542E07"/>
    <w:rsid w:val="00544A4C"/>
    <w:rsid w:val="00545424"/>
    <w:rsid w:val="005509B2"/>
    <w:rsid w:val="00551741"/>
    <w:rsid w:val="0055272E"/>
    <w:rsid w:val="00553142"/>
    <w:rsid w:val="00554A7B"/>
    <w:rsid w:val="0055572C"/>
    <w:rsid w:val="00556B44"/>
    <w:rsid w:val="005605A0"/>
    <w:rsid w:val="0056106A"/>
    <w:rsid w:val="00563034"/>
    <w:rsid w:val="00563470"/>
    <w:rsid w:val="005635C8"/>
    <w:rsid w:val="005649AC"/>
    <w:rsid w:val="0056704A"/>
    <w:rsid w:val="0057032C"/>
    <w:rsid w:val="00570643"/>
    <w:rsid w:val="005720AE"/>
    <w:rsid w:val="00573E94"/>
    <w:rsid w:val="00574651"/>
    <w:rsid w:val="005746A2"/>
    <w:rsid w:val="00574CDF"/>
    <w:rsid w:val="00576287"/>
    <w:rsid w:val="00577BF4"/>
    <w:rsid w:val="00577F5E"/>
    <w:rsid w:val="005832E5"/>
    <w:rsid w:val="0058531F"/>
    <w:rsid w:val="0058639F"/>
    <w:rsid w:val="00586405"/>
    <w:rsid w:val="00587B99"/>
    <w:rsid w:val="005924AA"/>
    <w:rsid w:val="0059281A"/>
    <w:rsid w:val="00592EE2"/>
    <w:rsid w:val="0059448A"/>
    <w:rsid w:val="005947C8"/>
    <w:rsid w:val="00594D77"/>
    <w:rsid w:val="0059544A"/>
    <w:rsid w:val="00595617"/>
    <w:rsid w:val="00595962"/>
    <w:rsid w:val="005969E4"/>
    <w:rsid w:val="00597578"/>
    <w:rsid w:val="005A06B7"/>
    <w:rsid w:val="005A1276"/>
    <w:rsid w:val="005A14D1"/>
    <w:rsid w:val="005A1759"/>
    <w:rsid w:val="005A44EA"/>
    <w:rsid w:val="005A4BDE"/>
    <w:rsid w:val="005A68A7"/>
    <w:rsid w:val="005B14E3"/>
    <w:rsid w:val="005B2CF9"/>
    <w:rsid w:val="005B3283"/>
    <w:rsid w:val="005B3E34"/>
    <w:rsid w:val="005B6004"/>
    <w:rsid w:val="005B7234"/>
    <w:rsid w:val="005C020E"/>
    <w:rsid w:val="005C31D2"/>
    <w:rsid w:val="005C386F"/>
    <w:rsid w:val="005D179D"/>
    <w:rsid w:val="005D36AB"/>
    <w:rsid w:val="005D3CE0"/>
    <w:rsid w:val="005D555C"/>
    <w:rsid w:val="005E1CE7"/>
    <w:rsid w:val="005E465B"/>
    <w:rsid w:val="005E4ED7"/>
    <w:rsid w:val="005E6074"/>
    <w:rsid w:val="005F11F8"/>
    <w:rsid w:val="005F2EDF"/>
    <w:rsid w:val="005F313D"/>
    <w:rsid w:val="005F58C6"/>
    <w:rsid w:val="005F5C02"/>
    <w:rsid w:val="005F650C"/>
    <w:rsid w:val="00603278"/>
    <w:rsid w:val="00603C1A"/>
    <w:rsid w:val="0060760E"/>
    <w:rsid w:val="00611419"/>
    <w:rsid w:val="0061434D"/>
    <w:rsid w:val="00614C1E"/>
    <w:rsid w:val="0061513D"/>
    <w:rsid w:val="00615FDA"/>
    <w:rsid w:val="00616C70"/>
    <w:rsid w:val="00617C9B"/>
    <w:rsid w:val="00617CC3"/>
    <w:rsid w:val="006212FB"/>
    <w:rsid w:val="00623CEA"/>
    <w:rsid w:val="00624215"/>
    <w:rsid w:val="006261C9"/>
    <w:rsid w:val="006267B4"/>
    <w:rsid w:val="00626A34"/>
    <w:rsid w:val="00626DC5"/>
    <w:rsid w:val="00627F5E"/>
    <w:rsid w:val="00630068"/>
    <w:rsid w:val="006377A6"/>
    <w:rsid w:val="00637A3D"/>
    <w:rsid w:val="0064089A"/>
    <w:rsid w:val="006411EF"/>
    <w:rsid w:val="00644A76"/>
    <w:rsid w:val="00647139"/>
    <w:rsid w:val="006473DE"/>
    <w:rsid w:val="00650016"/>
    <w:rsid w:val="0065119B"/>
    <w:rsid w:val="00652640"/>
    <w:rsid w:val="006540F2"/>
    <w:rsid w:val="006542AA"/>
    <w:rsid w:val="006626EC"/>
    <w:rsid w:val="006666A4"/>
    <w:rsid w:val="00671B42"/>
    <w:rsid w:val="00672049"/>
    <w:rsid w:val="006748B8"/>
    <w:rsid w:val="00675CB5"/>
    <w:rsid w:val="00676C84"/>
    <w:rsid w:val="006775C3"/>
    <w:rsid w:val="006834F2"/>
    <w:rsid w:val="00683783"/>
    <w:rsid w:val="00683F2F"/>
    <w:rsid w:val="0069278E"/>
    <w:rsid w:val="0069290A"/>
    <w:rsid w:val="0069640B"/>
    <w:rsid w:val="0069708A"/>
    <w:rsid w:val="0069775A"/>
    <w:rsid w:val="00697813"/>
    <w:rsid w:val="006A180D"/>
    <w:rsid w:val="006A2D60"/>
    <w:rsid w:val="006A3DB0"/>
    <w:rsid w:val="006A3EE8"/>
    <w:rsid w:val="006A4CD7"/>
    <w:rsid w:val="006A56C6"/>
    <w:rsid w:val="006A72BF"/>
    <w:rsid w:val="006B03F2"/>
    <w:rsid w:val="006B0ACB"/>
    <w:rsid w:val="006B32E3"/>
    <w:rsid w:val="006B37DC"/>
    <w:rsid w:val="006B4F68"/>
    <w:rsid w:val="006B79FC"/>
    <w:rsid w:val="006C0592"/>
    <w:rsid w:val="006C0A2D"/>
    <w:rsid w:val="006C0D57"/>
    <w:rsid w:val="006C1EBA"/>
    <w:rsid w:val="006C23B7"/>
    <w:rsid w:val="006C272E"/>
    <w:rsid w:val="006C4421"/>
    <w:rsid w:val="006C5479"/>
    <w:rsid w:val="006C5CFC"/>
    <w:rsid w:val="006D12DA"/>
    <w:rsid w:val="006D13B5"/>
    <w:rsid w:val="006D17F0"/>
    <w:rsid w:val="006D4646"/>
    <w:rsid w:val="006D582A"/>
    <w:rsid w:val="006D6AAB"/>
    <w:rsid w:val="006E0F4A"/>
    <w:rsid w:val="006E12FF"/>
    <w:rsid w:val="006E3627"/>
    <w:rsid w:val="006E3E74"/>
    <w:rsid w:val="006E607E"/>
    <w:rsid w:val="006F1534"/>
    <w:rsid w:val="006F1AE0"/>
    <w:rsid w:val="006F3AE8"/>
    <w:rsid w:val="006F5131"/>
    <w:rsid w:val="006F58D2"/>
    <w:rsid w:val="006F6B7A"/>
    <w:rsid w:val="006F71B0"/>
    <w:rsid w:val="007002F0"/>
    <w:rsid w:val="00704EBF"/>
    <w:rsid w:val="00705408"/>
    <w:rsid w:val="00705730"/>
    <w:rsid w:val="00705FB3"/>
    <w:rsid w:val="00706C5D"/>
    <w:rsid w:val="00710EA9"/>
    <w:rsid w:val="00712C73"/>
    <w:rsid w:val="00712CED"/>
    <w:rsid w:val="00715BEB"/>
    <w:rsid w:val="007169BD"/>
    <w:rsid w:val="00717201"/>
    <w:rsid w:val="00721277"/>
    <w:rsid w:val="00721806"/>
    <w:rsid w:val="00722D10"/>
    <w:rsid w:val="00725B2C"/>
    <w:rsid w:val="00725B7C"/>
    <w:rsid w:val="00727CB5"/>
    <w:rsid w:val="00731EC9"/>
    <w:rsid w:val="00732922"/>
    <w:rsid w:val="007343FC"/>
    <w:rsid w:val="00736108"/>
    <w:rsid w:val="0074246D"/>
    <w:rsid w:val="00743275"/>
    <w:rsid w:val="0075146D"/>
    <w:rsid w:val="0075162E"/>
    <w:rsid w:val="00754034"/>
    <w:rsid w:val="00756556"/>
    <w:rsid w:val="007572EA"/>
    <w:rsid w:val="00757824"/>
    <w:rsid w:val="007618C4"/>
    <w:rsid w:val="00761A2A"/>
    <w:rsid w:val="00762520"/>
    <w:rsid w:val="00767980"/>
    <w:rsid w:val="007700CA"/>
    <w:rsid w:val="00770B19"/>
    <w:rsid w:val="007734D0"/>
    <w:rsid w:val="0077463F"/>
    <w:rsid w:val="00782574"/>
    <w:rsid w:val="00782D00"/>
    <w:rsid w:val="007836EA"/>
    <w:rsid w:val="00784CDA"/>
    <w:rsid w:val="007906C4"/>
    <w:rsid w:val="007940EA"/>
    <w:rsid w:val="007947EB"/>
    <w:rsid w:val="007967E8"/>
    <w:rsid w:val="00797E88"/>
    <w:rsid w:val="007A2170"/>
    <w:rsid w:val="007A22BF"/>
    <w:rsid w:val="007A3323"/>
    <w:rsid w:val="007A6448"/>
    <w:rsid w:val="007B26B5"/>
    <w:rsid w:val="007B2CF0"/>
    <w:rsid w:val="007B72B8"/>
    <w:rsid w:val="007B7A58"/>
    <w:rsid w:val="007C21B5"/>
    <w:rsid w:val="007C6178"/>
    <w:rsid w:val="007D2ECF"/>
    <w:rsid w:val="007D4FAA"/>
    <w:rsid w:val="007D58A3"/>
    <w:rsid w:val="007D7E7E"/>
    <w:rsid w:val="007E36DF"/>
    <w:rsid w:val="007E4BD2"/>
    <w:rsid w:val="007E4FBD"/>
    <w:rsid w:val="007F127D"/>
    <w:rsid w:val="007F5B05"/>
    <w:rsid w:val="007F5B8B"/>
    <w:rsid w:val="007F6616"/>
    <w:rsid w:val="007F6DA8"/>
    <w:rsid w:val="007F7FF2"/>
    <w:rsid w:val="00801393"/>
    <w:rsid w:val="00801B32"/>
    <w:rsid w:val="00802F88"/>
    <w:rsid w:val="00806CB4"/>
    <w:rsid w:val="00810148"/>
    <w:rsid w:val="008128BD"/>
    <w:rsid w:val="0081293E"/>
    <w:rsid w:val="00813141"/>
    <w:rsid w:val="0081367E"/>
    <w:rsid w:val="00813D4C"/>
    <w:rsid w:val="00815465"/>
    <w:rsid w:val="00817E9A"/>
    <w:rsid w:val="00820192"/>
    <w:rsid w:val="00820CC9"/>
    <w:rsid w:val="008231AA"/>
    <w:rsid w:val="0082648F"/>
    <w:rsid w:val="008306BD"/>
    <w:rsid w:val="00831A80"/>
    <w:rsid w:val="008327DB"/>
    <w:rsid w:val="0083332B"/>
    <w:rsid w:val="00833743"/>
    <w:rsid w:val="008340A4"/>
    <w:rsid w:val="008342AD"/>
    <w:rsid w:val="0083650D"/>
    <w:rsid w:val="0083772F"/>
    <w:rsid w:val="00837C7B"/>
    <w:rsid w:val="00840474"/>
    <w:rsid w:val="00840E3C"/>
    <w:rsid w:val="00841303"/>
    <w:rsid w:val="00843B22"/>
    <w:rsid w:val="00851A95"/>
    <w:rsid w:val="00852A9D"/>
    <w:rsid w:val="00854E7E"/>
    <w:rsid w:val="00857C1D"/>
    <w:rsid w:val="0086022F"/>
    <w:rsid w:val="008616BF"/>
    <w:rsid w:val="00866B93"/>
    <w:rsid w:val="0087033C"/>
    <w:rsid w:val="0087103B"/>
    <w:rsid w:val="0087135F"/>
    <w:rsid w:val="008727D5"/>
    <w:rsid w:val="00872D94"/>
    <w:rsid w:val="00873813"/>
    <w:rsid w:val="00875814"/>
    <w:rsid w:val="00875987"/>
    <w:rsid w:val="0087787D"/>
    <w:rsid w:val="00880364"/>
    <w:rsid w:val="008809EC"/>
    <w:rsid w:val="008826BD"/>
    <w:rsid w:val="00887042"/>
    <w:rsid w:val="00887D18"/>
    <w:rsid w:val="00891592"/>
    <w:rsid w:val="00891E9E"/>
    <w:rsid w:val="00892CAA"/>
    <w:rsid w:val="0089338A"/>
    <w:rsid w:val="008952BF"/>
    <w:rsid w:val="008A029D"/>
    <w:rsid w:val="008A0719"/>
    <w:rsid w:val="008A260D"/>
    <w:rsid w:val="008A2F68"/>
    <w:rsid w:val="008A48E3"/>
    <w:rsid w:val="008A5E44"/>
    <w:rsid w:val="008B1B09"/>
    <w:rsid w:val="008B4FA6"/>
    <w:rsid w:val="008B5282"/>
    <w:rsid w:val="008B7C17"/>
    <w:rsid w:val="008C21EF"/>
    <w:rsid w:val="008C2D01"/>
    <w:rsid w:val="008C35B8"/>
    <w:rsid w:val="008C40E6"/>
    <w:rsid w:val="008C60C4"/>
    <w:rsid w:val="008C6410"/>
    <w:rsid w:val="008D0F7A"/>
    <w:rsid w:val="008D4CC1"/>
    <w:rsid w:val="008D68E4"/>
    <w:rsid w:val="008D702F"/>
    <w:rsid w:val="008E007C"/>
    <w:rsid w:val="008E0506"/>
    <w:rsid w:val="008E0CFF"/>
    <w:rsid w:val="008E5653"/>
    <w:rsid w:val="008E5D6B"/>
    <w:rsid w:val="008E76F0"/>
    <w:rsid w:val="008E7742"/>
    <w:rsid w:val="008F15FE"/>
    <w:rsid w:val="008F2D29"/>
    <w:rsid w:val="008F47CE"/>
    <w:rsid w:val="008F4B42"/>
    <w:rsid w:val="008F4EE1"/>
    <w:rsid w:val="008F5187"/>
    <w:rsid w:val="008F60D8"/>
    <w:rsid w:val="0090155F"/>
    <w:rsid w:val="00902727"/>
    <w:rsid w:val="0090312B"/>
    <w:rsid w:val="0091156A"/>
    <w:rsid w:val="00912CEB"/>
    <w:rsid w:val="00913DC0"/>
    <w:rsid w:val="009156C1"/>
    <w:rsid w:val="0091736D"/>
    <w:rsid w:val="00920E0C"/>
    <w:rsid w:val="009218C1"/>
    <w:rsid w:val="00926A9E"/>
    <w:rsid w:val="00927266"/>
    <w:rsid w:val="0093037A"/>
    <w:rsid w:val="009309E9"/>
    <w:rsid w:val="00934180"/>
    <w:rsid w:val="00935CE3"/>
    <w:rsid w:val="0094154D"/>
    <w:rsid w:val="00950BC8"/>
    <w:rsid w:val="0095155F"/>
    <w:rsid w:val="00953CAC"/>
    <w:rsid w:val="00954429"/>
    <w:rsid w:val="00954F75"/>
    <w:rsid w:val="009563CE"/>
    <w:rsid w:val="00956857"/>
    <w:rsid w:val="00961830"/>
    <w:rsid w:val="00966C34"/>
    <w:rsid w:val="00970166"/>
    <w:rsid w:val="009727D5"/>
    <w:rsid w:val="00973681"/>
    <w:rsid w:val="009737A2"/>
    <w:rsid w:val="009741B2"/>
    <w:rsid w:val="00976328"/>
    <w:rsid w:val="009765B4"/>
    <w:rsid w:val="0097680D"/>
    <w:rsid w:val="00980237"/>
    <w:rsid w:val="0098070D"/>
    <w:rsid w:val="009821A0"/>
    <w:rsid w:val="00982334"/>
    <w:rsid w:val="00982438"/>
    <w:rsid w:val="00982D6E"/>
    <w:rsid w:val="00983EB6"/>
    <w:rsid w:val="0098404C"/>
    <w:rsid w:val="00985283"/>
    <w:rsid w:val="00985E3E"/>
    <w:rsid w:val="00986480"/>
    <w:rsid w:val="00990772"/>
    <w:rsid w:val="00990F3D"/>
    <w:rsid w:val="00991A5A"/>
    <w:rsid w:val="009921AF"/>
    <w:rsid w:val="009928E1"/>
    <w:rsid w:val="009955ED"/>
    <w:rsid w:val="00995992"/>
    <w:rsid w:val="00997118"/>
    <w:rsid w:val="009977F6"/>
    <w:rsid w:val="00997A3C"/>
    <w:rsid w:val="009A03E5"/>
    <w:rsid w:val="009A0F3B"/>
    <w:rsid w:val="009A1BB4"/>
    <w:rsid w:val="009A2496"/>
    <w:rsid w:val="009A2628"/>
    <w:rsid w:val="009A3200"/>
    <w:rsid w:val="009A4A0E"/>
    <w:rsid w:val="009B0897"/>
    <w:rsid w:val="009B19E5"/>
    <w:rsid w:val="009B257F"/>
    <w:rsid w:val="009B35E4"/>
    <w:rsid w:val="009B3A96"/>
    <w:rsid w:val="009B51F9"/>
    <w:rsid w:val="009B7BD9"/>
    <w:rsid w:val="009C567E"/>
    <w:rsid w:val="009C7DD5"/>
    <w:rsid w:val="009D0F0A"/>
    <w:rsid w:val="009D0F1A"/>
    <w:rsid w:val="009D77F4"/>
    <w:rsid w:val="009E227D"/>
    <w:rsid w:val="009E37CE"/>
    <w:rsid w:val="009E5019"/>
    <w:rsid w:val="009E6FAC"/>
    <w:rsid w:val="009F2606"/>
    <w:rsid w:val="009F36E5"/>
    <w:rsid w:val="00A00EED"/>
    <w:rsid w:val="00A01C80"/>
    <w:rsid w:val="00A04F1B"/>
    <w:rsid w:val="00A0501B"/>
    <w:rsid w:val="00A06B21"/>
    <w:rsid w:val="00A073F0"/>
    <w:rsid w:val="00A14947"/>
    <w:rsid w:val="00A14BC7"/>
    <w:rsid w:val="00A150B0"/>
    <w:rsid w:val="00A166EC"/>
    <w:rsid w:val="00A22FDF"/>
    <w:rsid w:val="00A242D7"/>
    <w:rsid w:val="00A24D05"/>
    <w:rsid w:val="00A32A83"/>
    <w:rsid w:val="00A368DB"/>
    <w:rsid w:val="00A407EB"/>
    <w:rsid w:val="00A40DCD"/>
    <w:rsid w:val="00A423AA"/>
    <w:rsid w:val="00A423EC"/>
    <w:rsid w:val="00A514F4"/>
    <w:rsid w:val="00A53547"/>
    <w:rsid w:val="00A53EC6"/>
    <w:rsid w:val="00A546F7"/>
    <w:rsid w:val="00A55B64"/>
    <w:rsid w:val="00A55C0F"/>
    <w:rsid w:val="00A6469B"/>
    <w:rsid w:val="00A646F7"/>
    <w:rsid w:val="00A6725A"/>
    <w:rsid w:val="00A72DBB"/>
    <w:rsid w:val="00A75710"/>
    <w:rsid w:val="00A80610"/>
    <w:rsid w:val="00A80D9F"/>
    <w:rsid w:val="00A82B04"/>
    <w:rsid w:val="00A839D3"/>
    <w:rsid w:val="00A84D4F"/>
    <w:rsid w:val="00A85FD4"/>
    <w:rsid w:val="00A8713F"/>
    <w:rsid w:val="00A9009A"/>
    <w:rsid w:val="00A90BA1"/>
    <w:rsid w:val="00A931E8"/>
    <w:rsid w:val="00A97A9A"/>
    <w:rsid w:val="00AA0671"/>
    <w:rsid w:val="00AA2531"/>
    <w:rsid w:val="00AA2C45"/>
    <w:rsid w:val="00AA42D4"/>
    <w:rsid w:val="00AB1E09"/>
    <w:rsid w:val="00AB236A"/>
    <w:rsid w:val="00AB4C15"/>
    <w:rsid w:val="00AB5330"/>
    <w:rsid w:val="00AB7747"/>
    <w:rsid w:val="00AB7F5F"/>
    <w:rsid w:val="00AC14CE"/>
    <w:rsid w:val="00AC186D"/>
    <w:rsid w:val="00AC2A56"/>
    <w:rsid w:val="00AC33BE"/>
    <w:rsid w:val="00AC33E3"/>
    <w:rsid w:val="00AC4C21"/>
    <w:rsid w:val="00AC76FD"/>
    <w:rsid w:val="00AD055E"/>
    <w:rsid w:val="00AD1B66"/>
    <w:rsid w:val="00AD1CCF"/>
    <w:rsid w:val="00AD2E24"/>
    <w:rsid w:val="00AD3327"/>
    <w:rsid w:val="00AD47A7"/>
    <w:rsid w:val="00AE0CCA"/>
    <w:rsid w:val="00AE31EC"/>
    <w:rsid w:val="00AE7202"/>
    <w:rsid w:val="00AF0CBF"/>
    <w:rsid w:val="00AF257F"/>
    <w:rsid w:val="00AF321B"/>
    <w:rsid w:val="00AF33CF"/>
    <w:rsid w:val="00AF36BF"/>
    <w:rsid w:val="00AF36F0"/>
    <w:rsid w:val="00AF4D50"/>
    <w:rsid w:val="00AF59E0"/>
    <w:rsid w:val="00AF6179"/>
    <w:rsid w:val="00B009F6"/>
    <w:rsid w:val="00B02616"/>
    <w:rsid w:val="00B07535"/>
    <w:rsid w:val="00B07B70"/>
    <w:rsid w:val="00B07E79"/>
    <w:rsid w:val="00B110B7"/>
    <w:rsid w:val="00B112AF"/>
    <w:rsid w:val="00B12009"/>
    <w:rsid w:val="00B1295A"/>
    <w:rsid w:val="00B15A4D"/>
    <w:rsid w:val="00B16A6C"/>
    <w:rsid w:val="00B20A45"/>
    <w:rsid w:val="00B20EDE"/>
    <w:rsid w:val="00B21F17"/>
    <w:rsid w:val="00B224C3"/>
    <w:rsid w:val="00B22C5C"/>
    <w:rsid w:val="00B24D4C"/>
    <w:rsid w:val="00B24E57"/>
    <w:rsid w:val="00B24F30"/>
    <w:rsid w:val="00B25730"/>
    <w:rsid w:val="00B31ABF"/>
    <w:rsid w:val="00B322F9"/>
    <w:rsid w:val="00B32950"/>
    <w:rsid w:val="00B33312"/>
    <w:rsid w:val="00B33BE3"/>
    <w:rsid w:val="00B4061C"/>
    <w:rsid w:val="00B42AF6"/>
    <w:rsid w:val="00B4467E"/>
    <w:rsid w:val="00B460D1"/>
    <w:rsid w:val="00B53B5D"/>
    <w:rsid w:val="00B5442B"/>
    <w:rsid w:val="00B55389"/>
    <w:rsid w:val="00B55A24"/>
    <w:rsid w:val="00B55DA2"/>
    <w:rsid w:val="00B56CFE"/>
    <w:rsid w:val="00B6055E"/>
    <w:rsid w:val="00B6317D"/>
    <w:rsid w:val="00B65A52"/>
    <w:rsid w:val="00B65BC3"/>
    <w:rsid w:val="00B7723F"/>
    <w:rsid w:val="00B80534"/>
    <w:rsid w:val="00B805A4"/>
    <w:rsid w:val="00B8107F"/>
    <w:rsid w:val="00B811B0"/>
    <w:rsid w:val="00B8433C"/>
    <w:rsid w:val="00B85004"/>
    <w:rsid w:val="00B8520D"/>
    <w:rsid w:val="00B85598"/>
    <w:rsid w:val="00B87491"/>
    <w:rsid w:val="00B87CAD"/>
    <w:rsid w:val="00B91606"/>
    <w:rsid w:val="00B93804"/>
    <w:rsid w:val="00B945CE"/>
    <w:rsid w:val="00B97AF2"/>
    <w:rsid w:val="00BA29E9"/>
    <w:rsid w:val="00BA52C2"/>
    <w:rsid w:val="00BA6214"/>
    <w:rsid w:val="00BA7142"/>
    <w:rsid w:val="00BB117B"/>
    <w:rsid w:val="00BB237C"/>
    <w:rsid w:val="00BB2FCB"/>
    <w:rsid w:val="00BB41A3"/>
    <w:rsid w:val="00BC206F"/>
    <w:rsid w:val="00BC32DC"/>
    <w:rsid w:val="00BC35B6"/>
    <w:rsid w:val="00BC757A"/>
    <w:rsid w:val="00BD1B51"/>
    <w:rsid w:val="00BD22DB"/>
    <w:rsid w:val="00BD4596"/>
    <w:rsid w:val="00BD47D2"/>
    <w:rsid w:val="00BD5DC3"/>
    <w:rsid w:val="00BE026E"/>
    <w:rsid w:val="00BE1405"/>
    <w:rsid w:val="00BE1ADA"/>
    <w:rsid w:val="00BE312D"/>
    <w:rsid w:val="00BE74C3"/>
    <w:rsid w:val="00BF1C20"/>
    <w:rsid w:val="00BF20AE"/>
    <w:rsid w:val="00BF3640"/>
    <w:rsid w:val="00BF3931"/>
    <w:rsid w:val="00C01355"/>
    <w:rsid w:val="00C03308"/>
    <w:rsid w:val="00C0479F"/>
    <w:rsid w:val="00C06E52"/>
    <w:rsid w:val="00C07529"/>
    <w:rsid w:val="00C10578"/>
    <w:rsid w:val="00C109F8"/>
    <w:rsid w:val="00C10F9B"/>
    <w:rsid w:val="00C12CFB"/>
    <w:rsid w:val="00C131F3"/>
    <w:rsid w:val="00C135BC"/>
    <w:rsid w:val="00C14394"/>
    <w:rsid w:val="00C14445"/>
    <w:rsid w:val="00C15C95"/>
    <w:rsid w:val="00C17A44"/>
    <w:rsid w:val="00C20E6B"/>
    <w:rsid w:val="00C20FB7"/>
    <w:rsid w:val="00C2596A"/>
    <w:rsid w:val="00C25F1A"/>
    <w:rsid w:val="00C27537"/>
    <w:rsid w:val="00C308B5"/>
    <w:rsid w:val="00C30D67"/>
    <w:rsid w:val="00C320CB"/>
    <w:rsid w:val="00C328FE"/>
    <w:rsid w:val="00C332CD"/>
    <w:rsid w:val="00C33507"/>
    <w:rsid w:val="00C33C9E"/>
    <w:rsid w:val="00C3665B"/>
    <w:rsid w:val="00C36DB7"/>
    <w:rsid w:val="00C36E0E"/>
    <w:rsid w:val="00C41608"/>
    <w:rsid w:val="00C43BDC"/>
    <w:rsid w:val="00C4409D"/>
    <w:rsid w:val="00C44CFF"/>
    <w:rsid w:val="00C44E72"/>
    <w:rsid w:val="00C45636"/>
    <w:rsid w:val="00C45A06"/>
    <w:rsid w:val="00C46A97"/>
    <w:rsid w:val="00C46B2F"/>
    <w:rsid w:val="00C47E5B"/>
    <w:rsid w:val="00C51660"/>
    <w:rsid w:val="00C52BB0"/>
    <w:rsid w:val="00C5350F"/>
    <w:rsid w:val="00C61B3E"/>
    <w:rsid w:val="00C61E4B"/>
    <w:rsid w:val="00C6299B"/>
    <w:rsid w:val="00C64BFF"/>
    <w:rsid w:val="00C679FC"/>
    <w:rsid w:val="00C704E9"/>
    <w:rsid w:val="00C75215"/>
    <w:rsid w:val="00C75D79"/>
    <w:rsid w:val="00C763C9"/>
    <w:rsid w:val="00C80057"/>
    <w:rsid w:val="00C813CC"/>
    <w:rsid w:val="00C82232"/>
    <w:rsid w:val="00C82913"/>
    <w:rsid w:val="00C86572"/>
    <w:rsid w:val="00C93ECE"/>
    <w:rsid w:val="00C94600"/>
    <w:rsid w:val="00C972B1"/>
    <w:rsid w:val="00CA2CCE"/>
    <w:rsid w:val="00CA43FD"/>
    <w:rsid w:val="00CA479B"/>
    <w:rsid w:val="00CA5B68"/>
    <w:rsid w:val="00CA7BD6"/>
    <w:rsid w:val="00CA7E7C"/>
    <w:rsid w:val="00CA7EF8"/>
    <w:rsid w:val="00CB0EF8"/>
    <w:rsid w:val="00CB191D"/>
    <w:rsid w:val="00CB40E5"/>
    <w:rsid w:val="00CB4841"/>
    <w:rsid w:val="00CB59FF"/>
    <w:rsid w:val="00CB6110"/>
    <w:rsid w:val="00CC1645"/>
    <w:rsid w:val="00CC489B"/>
    <w:rsid w:val="00CC5F40"/>
    <w:rsid w:val="00CC7AA5"/>
    <w:rsid w:val="00CC7DB8"/>
    <w:rsid w:val="00CD0DFC"/>
    <w:rsid w:val="00CD1692"/>
    <w:rsid w:val="00CD2BCD"/>
    <w:rsid w:val="00CD3A4C"/>
    <w:rsid w:val="00CD5AFA"/>
    <w:rsid w:val="00CE10E9"/>
    <w:rsid w:val="00CE15E3"/>
    <w:rsid w:val="00CE2518"/>
    <w:rsid w:val="00CE2910"/>
    <w:rsid w:val="00CE5393"/>
    <w:rsid w:val="00CE7E95"/>
    <w:rsid w:val="00CF120A"/>
    <w:rsid w:val="00CF2803"/>
    <w:rsid w:val="00CF35D9"/>
    <w:rsid w:val="00CF36BE"/>
    <w:rsid w:val="00CF6000"/>
    <w:rsid w:val="00D003F3"/>
    <w:rsid w:val="00D01159"/>
    <w:rsid w:val="00D02221"/>
    <w:rsid w:val="00D0364F"/>
    <w:rsid w:val="00D036C6"/>
    <w:rsid w:val="00D05A56"/>
    <w:rsid w:val="00D060F3"/>
    <w:rsid w:val="00D06834"/>
    <w:rsid w:val="00D16297"/>
    <w:rsid w:val="00D17C4D"/>
    <w:rsid w:val="00D17FD3"/>
    <w:rsid w:val="00D22B37"/>
    <w:rsid w:val="00D24B6E"/>
    <w:rsid w:val="00D265A2"/>
    <w:rsid w:val="00D273E9"/>
    <w:rsid w:val="00D27F5F"/>
    <w:rsid w:val="00D30650"/>
    <w:rsid w:val="00D308ED"/>
    <w:rsid w:val="00D30E52"/>
    <w:rsid w:val="00D339E2"/>
    <w:rsid w:val="00D357D6"/>
    <w:rsid w:val="00D36D86"/>
    <w:rsid w:val="00D428AA"/>
    <w:rsid w:val="00D50A34"/>
    <w:rsid w:val="00D53D07"/>
    <w:rsid w:val="00D53EFA"/>
    <w:rsid w:val="00D556FE"/>
    <w:rsid w:val="00D62FBB"/>
    <w:rsid w:val="00D637AE"/>
    <w:rsid w:val="00D63C41"/>
    <w:rsid w:val="00D7187C"/>
    <w:rsid w:val="00D77DA2"/>
    <w:rsid w:val="00D800E7"/>
    <w:rsid w:val="00D80321"/>
    <w:rsid w:val="00D81153"/>
    <w:rsid w:val="00D85F11"/>
    <w:rsid w:val="00D87868"/>
    <w:rsid w:val="00D87DC1"/>
    <w:rsid w:val="00D91829"/>
    <w:rsid w:val="00D935FD"/>
    <w:rsid w:val="00D94A7C"/>
    <w:rsid w:val="00D95896"/>
    <w:rsid w:val="00D95FB6"/>
    <w:rsid w:val="00D97409"/>
    <w:rsid w:val="00D97B49"/>
    <w:rsid w:val="00DA025D"/>
    <w:rsid w:val="00DA042D"/>
    <w:rsid w:val="00DA1607"/>
    <w:rsid w:val="00DA3E29"/>
    <w:rsid w:val="00DA54A3"/>
    <w:rsid w:val="00DA602B"/>
    <w:rsid w:val="00DA66B4"/>
    <w:rsid w:val="00DA723B"/>
    <w:rsid w:val="00DA7EEF"/>
    <w:rsid w:val="00DA7FEC"/>
    <w:rsid w:val="00DB0866"/>
    <w:rsid w:val="00DB2983"/>
    <w:rsid w:val="00DB3754"/>
    <w:rsid w:val="00DB47B1"/>
    <w:rsid w:val="00DB66E8"/>
    <w:rsid w:val="00DB698D"/>
    <w:rsid w:val="00DB6C17"/>
    <w:rsid w:val="00DB7462"/>
    <w:rsid w:val="00DB7747"/>
    <w:rsid w:val="00DC012D"/>
    <w:rsid w:val="00DC017E"/>
    <w:rsid w:val="00DC1257"/>
    <w:rsid w:val="00DC3DC0"/>
    <w:rsid w:val="00DC5B2B"/>
    <w:rsid w:val="00DC6070"/>
    <w:rsid w:val="00DD0E96"/>
    <w:rsid w:val="00DD2464"/>
    <w:rsid w:val="00DD256F"/>
    <w:rsid w:val="00DD318D"/>
    <w:rsid w:val="00DE3CF6"/>
    <w:rsid w:val="00DE6C8E"/>
    <w:rsid w:val="00DF0D56"/>
    <w:rsid w:val="00DF171F"/>
    <w:rsid w:val="00DF2DFF"/>
    <w:rsid w:val="00DF2E12"/>
    <w:rsid w:val="00DF514A"/>
    <w:rsid w:val="00DF565D"/>
    <w:rsid w:val="00DF6690"/>
    <w:rsid w:val="00DF6804"/>
    <w:rsid w:val="00DF76A3"/>
    <w:rsid w:val="00E00E98"/>
    <w:rsid w:val="00E02E26"/>
    <w:rsid w:val="00E02E7A"/>
    <w:rsid w:val="00E03164"/>
    <w:rsid w:val="00E03368"/>
    <w:rsid w:val="00E0358D"/>
    <w:rsid w:val="00E04323"/>
    <w:rsid w:val="00E05DB9"/>
    <w:rsid w:val="00E070A2"/>
    <w:rsid w:val="00E13376"/>
    <w:rsid w:val="00E175FE"/>
    <w:rsid w:val="00E17940"/>
    <w:rsid w:val="00E17D3B"/>
    <w:rsid w:val="00E26105"/>
    <w:rsid w:val="00E2627B"/>
    <w:rsid w:val="00E2656A"/>
    <w:rsid w:val="00E26EB0"/>
    <w:rsid w:val="00E369EE"/>
    <w:rsid w:val="00E36C28"/>
    <w:rsid w:val="00E3738A"/>
    <w:rsid w:val="00E408D0"/>
    <w:rsid w:val="00E412D0"/>
    <w:rsid w:val="00E41B15"/>
    <w:rsid w:val="00E43614"/>
    <w:rsid w:val="00E43825"/>
    <w:rsid w:val="00E46AF7"/>
    <w:rsid w:val="00E47768"/>
    <w:rsid w:val="00E47A1C"/>
    <w:rsid w:val="00E55CFF"/>
    <w:rsid w:val="00E56322"/>
    <w:rsid w:val="00E6085A"/>
    <w:rsid w:val="00E60982"/>
    <w:rsid w:val="00E62095"/>
    <w:rsid w:val="00E62C62"/>
    <w:rsid w:val="00E63689"/>
    <w:rsid w:val="00E654C1"/>
    <w:rsid w:val="00E65D97"/>
    <w:rsid w:val="00E72A5A"/>
    <w:rsid w:val="00E73354"/>
    <w:rsid w:val="00E73F8A"/>
    <w:rsid w:val="00E74DB6"/>
    <w:rsid w:val="00E75429"/>
    <w:rsid w:val="00E766B1"/>
    <w:rsid w:val="00E80634"/>
    <w:rsid w:val="00E83304"/>
    <w:rsid w:val="00E846D2"/>
    <w:rsid w:val="00E84771"/>
    <w:rsid w:val="00E9242D"/>
    <w:rsid w:val="00E94A22"/>
    <w:rsid w:val="00E959C9"/>
    <w:rsid w:val="00E95FA4"/>
    <w:rsid w:val="00E96947"/>
    <w:rsid w:val="00EA3E52"/>
    <w:rsid w:val="00EA6354"/>
    <w:rsid w:val="00EA7E84"/>
    <w:rsid w:val="00EB21FC"/>
    <w:rsid w:val="00EB3B9E"/>
    <w:rsid w:val="00EB5255"/>
    <w:rsid w:val="00EB5C47"/>
    <w:rsid w:val="00EB60DB"/>
    <w:rsid w:val="00EB6D26"/>
    <w:rsid w:val="00EB6EE7"/>
    <w:rsid w:val="00EB77F1"/>
    <w:rsid w:val="00EC15E0"/>
    <w:rsid w:val="00EC1DF0"/>
    <w:rsid w:val="00EC4421"/>
    <w:rsid w:val="00EC45C0"/>
    <w:rsid w:val="00EC4F38"/>
    <w:rsid w:val="00ED0639"/>
    <w:rsid w:val="00ED3984"/>
    <w:rsid w:val="00ED3DE0"/>
    <w:rsid w:val="00ED456C"/>
    <w:rsid w:val="00ED668A"/>
    <w:rsid w:val="00EE02BA"/>
    <w:rsid w:val="00EE078B"/>
    <w:rsid w:val="00EF020F"/>
    <w:rsid w:val="00EF4755"/>
    <w:rsid w:val="00EF57FF"/>
    <w:rsid w:val="00EF7135"/>
    <w:rsid w:val="00F00B61"/>
    <w:rsid w:val="00F024E2"/>
    <w:rsid w:val="00F027DB"/>
    <w:rsid w:val="00F062F1"/>
    <w:rsid w:val="00F10B89"/>
    <w:rsid w:val="00F14A7A"/>
    <w:rsid w:val="00F15781"/>
    <w:rsid w:val="00F204C9"/>
    <w:rsid w:val="00F20DEB"/>
    <w:rsid w:val="00F22114"/>
    <w:rsid w:val="00F22985"/>
    <w:rsid w:val="00F23686"/>
    <w:rsid w:val="00F259F0"/>
    <w:rsid w:val="00F25C03"/>
    <w:rsid w:val="00F261F8"/>
    <w:rsid w:val="00F26552"/>
    <w:rsid w:val="00F27271"/>
    <w:rsid w:val="00F27CF1"/>
    <w:rsid w:val="00F323C7"/>
    <w:rsid w:val="00F32D86"/>
    <w:rsid w:val="00F3383E"/>
    <w:rsid w:val="00F34829"/>
    <w:rsid w:val="00F41AE4"/>
    <w:rsid w:val="00F41F8B"/>
    <w:rsid w:val="00F4228B"/>
    <w:rsid w:val="00F43375"/>
    <w:rsid w:val="00F438EB"/>
    <w:rsid w:val="00F44904"/>
    <w:rsid w:val="00F465A7"/>
    <w:rsid w:val="00F47C43"/>
    <w:rsid w:val="00F5016D"/>
    <w:rsid w:val="00F50B7C"/>
    <w:rsid w:val="00F537A5"/>
    <w:rsid w:val="00F550E6"/>
    <w:rsid w:val="00F55EE8"/>
    <w:rsid w:val="00F562A9"/>
    <w:rsid w:val="00F5792A"/>
    <w:rsid w:val="00F607D8"/>
    <w:rsid w:val="00F65A1F"/>
    <w:rsid w:val="00F66AE4"/>
    <w:rsid w:val="00F70E86"/>
    <w:rsid w:val="00F71120"/>
    <w:rsid w:val="00F717FB"/>
    <w:rsid w:val="00F7338A"/>
    <w:rsid w:val="00F74345"/>
    <w:rsid w:val="00F80A0A"/>
    <w:rsid w:val="00F82B19"/>
    <w:rsid w:val="00F82BAD"/>
    <w:rsid w:val="00F82E59"/>
    <w:rsid w:val="00F84D74"/>
    <w:rsid w:val="00F85674"/>
    <w:rsid w:val="00F857E3"/>
    <w:rsid w:val="00F920B4"/>
    <w:rsid w:val="00F9212D"/>
    <w:rsid w:val="00F923A8"/>
    <w:rsid w:val="00F942D8"/>
    <w:rsid w:val="00F965DA"/>
    <w:rsid w:val="00F973D2"/>
    <w:rsid w:val="00FA406A"/>
    <w:rsid w:val="00FA4139"/>
    <w:rsid w:val="00FA57EE"/>
    <w:rsid w:val="00FA59E4"/>
    <w:rsid w:val="00FA703A"/>
    <w:rsid w:val="00FB079C"/>
    <w:rsid w:val="00FB503A"/>
    <w:rsid w:val="00FB516C"/>
    <w:rsid w:val="00FB696C"/>
    <w:rsid w:val="00FC08C7"/>
    <w:rsid w:val="00FC20D9"/>
    <w:rsid w:val="00FC5D47"/>
    <w:rsid w:val="00FD01DB"/>
    <w:rsid w:val="00FD0236"/>
    <w:rsid w:val="00FD18F4"/>
    <w:rsid w:val="00FD2BCA"/>
    <w:rsid w:val="00FD41D4"/>
    <w:rsid w:val="00FD54DB"/>
    <w:rsid w:val="00FD619F"/>
    <w:rsid w:val="00FE32B1"/>
    <w:rsid w:val="00FE45EE"/>
    <w:rsid w:val="00FE489A"/>
    <w:rsid w:val="00FE4AD0"/>
    <w:rsid w:val="00FF0B18"/>
    <w:rsid w:val="00FF33F1"/>
    <w:rsid w:val="00FF3D25"/>
    <w:rsid w:val="00FF5607"/>
    <w:rsid w:val="00FF6002"/>
    <w:rsid w:val="01290F7E"/>
    <w:rsid w:val="015D1E09"/>
    <w:rsid w:val="0176145F"/>
    <w:rsid w:val="0205273E"/>
    <w:rsid w:val="02697903"/>
    <w:rsid w:val="02F96569"/>
    <w:rsid w:val="03EA7B21"/>
    <w:rsid w:val="05F83EAE"/>
    <w:rsid w:val="063E7D85"/>
    <w:rsid w:val="064B7F58"/>
    <w:rsid w:val="068E5450"/>
    <w:rsid w:val="06911E29"/>
    <w:rsid w:val="06EA3168"/>
    <w:rsid w:val="07293586"/>
    <w:rsid w:val="07295285"/>
    <w:rsid w:val="07636392"/>
    <w:rsid w:val="07770C56"/>
    <w:rsid w:val="092217DD"/>
    <w:rsid w:val="093A7294"/>
    <w:rsid w:val="0A263993"/>
    <w:rsid w:val="0A2D3AC2"/>
    <w:rsid w:val="0AA755DF"/>
    <w:rsid w:val="0B120D44"/>
    <w:rsid w:val="0BD27BF6"/>
    <w:rsid w:val="0C3B3C7D"/>
    <w:rsid w:val="0CAB2EAE"/>
    <w:rsid w:val="0D494CDB"/>
    <w:rsid w:val="0D621C7D"/>
    <w:rsid w:val="0E73034D"/>
    <w:rsid w:val="0F13775A"/>
    <w:rsid w:val="0F5F45FE"/>
    <w:rsid w:val="0F9A112B"/>
    <w:rsid w:val="106D2F64"/>
    <w:rsid w:val="10B63710"/>
    <w:rsid w:val="10F10820"/>
    <w:rsid w:val="111C2F7A"/>
    <w:rsid w:val="11665CA1"/>
    <w:rsid w:val="13951726"/>
    <w:rsid w:val="14396509"/>
    <w:rsid w:val="14DD2C3C"/>
    <w:rsid w:val="15051033"/>
    <w:rsid w:val="16087E1D"/>
    <w:rsid w:val="17701D14"/>
    <w:rsid w:val="17735226"/>
    <w:rsid w:val="189F624C"/>
    <w:rsid w:val="19410A77"/>
    <w:rsid w:val="1A1C66C0"/>
    <w:rsid w:val="1A4034AD"/>
    <w:rsid w:val="1A42393B"/>
    <w:rsid w:val="1AAD45DE"/>
    <w:rsid w:val="1B046F80"/>
    <w:rsid w:val="1B3267B5"/>
    <w:rsid w:val="1B40161D"/>
    <w:rsid w:val="1B441859"/>
    <w:rsid w:val="1B6606B1"/>
    <w:rsid w:val="1B66179A"/>
    <w:rsid w:val="1C5E7925"/>
    <w:rsid w:val="1CFD070F"/>
    <w:rsid w:val="1D095843"/>
    <w:rsid w:val="1D5F6196"/>
    <w:rsid w:val="1D6132A5"/>
    <w:rsid w:val="1D8E56D5"/>
    <w:rsid w:val="1DEA39AB"/>
    <w:rsid w:val="1E7A43DA"/>
    <w:rsid w:val="1F662891"/>
    <w:rsid w:val="1FE7539E"/>
    <w:rsid w:val="20436FED"/>
    <w:rsid w:val="205337A8"/>
    <w:rsid w:val="20671BE0"/>
    <w:rsid w:val="20963CB8"/>
    <w:rsid w:val="20A81A1B"/>
    <w:rsid w:val="20B07FB6"/>
    <w:rsid w:val="20B646FB"/>
    <w:rsid w:val="213B74B1"/>
    <w:rsid w:val="215A2310"/>
    <w:rsid w:val="2165550F"/>
    <w:rsid w:val="21C52312"/>
    <w:rsid w:val="21DE318A"/>
    <w:rsid w:val="21EF5B80"/>
    <w:rsid w:val="22576990"/>
    <w:rsid w:val="2298471F"/>
    <w:rsid w:val="22F47480"/>
    <w:rsid w:val="23666C1F"/>
    <w:rsid w:val="23DE1C48"/>
    <w:rsid w:val="240210CD"/>
    <w:rsid w:val="24A208B7"/>
    <w:rsid w:val="24BF09F7"/>
    <w:rsid w:val="252D53FE"/>
    <w:rsid w:val="25EC2D81"/>
    <w:rsid w:val="25F0210F"/>
    <w:rsid w:val="277057A2"/>
    <w:rsid w:val="28E10FC0"/>
    <w:rsid w:val="28F80375"/>
    <w:rsid w:val="29206EB8"/>
    <w:rsid w:val="29595666"/>
    <w:rsid w:val="29874881"/>
    <w:rsid w:val="299D4F55"/>
    <w:rsid w:val="29BA3E9B"/>
    <w:rsid w:val="29E325E0"/>
    <w:rsid w:val="29E7215B"/>
    <w:rsid w:val="2A2D7858"/>
    <w:rsid w:val="2A452503"/>
    <w:rsid w:val="2BA936A8"/>
    <w:rsid w:val="2C315A5A"/>
    <w:rsid w:val="2C4B1C25"/>
    <w:rsid w:val="2CAF6E74"/>
    <w:rsid w:val="2D9E56F5"/>
    <w:rsid w:val="2E667F96"/>
    <w:rsid w:val="2E8226AB"/>
    <w:rsid w:val="2FAF3372"/>
    <w:rsid w:val="2FD065E6"/>
    <w:rsid w:val="2FD96870"/>
    <w:rsid w:val="30580BC9"/>
    <w:rsid w:val="311E2ED7"/>
    <w:rsid w:val="315619EE"/>
    <w:rsid w:val="315C449C"/>
    <w:rsid w:val="31B82709"/>
    <w:rsid w:val="31D05482"/>
    <w:rsid w:val="32400B34"/>
    <w:rsid w:val="329E6876"/>
    <w:rsid w:val="333015F2"/>
    <w:rsid w:val="334B6320"/>
    <w:rsid w:val="336B4B0B"/>
    <w:rsid w:val="33D934D4"/>
    <w:rsid w:val="33FA4686"/>
    <w:rsid w:val="33FE2F6A"/>
    <w:rsid w:val="340E07E5"/>
    <w:rsid w:val="34235BF7"/>
    <w:rsid w:val="34966D67"/>
    <w:rsid w:val="358C5FA8"/>
    <w:rsid w:val="35C15DF1"/>
    <w:rsid w:val="36074A7F"/>
    <w:rsid w:val="36923549"/>
    <w:rsid w:val="36B75FBF"/>
    <w:rsid w:val="36BD0C45"/>
    <w:rsid w:val="3720628F"/>
    <w:rsid w:val="37E00298"/>
    <w:rsid w:val="38B302F9"/>
    <w:rsid w:val="38F12CD3"/>
    <w:rsid w:val="38F94775"/>
    <w:rsid w:val="392971ED"/>
    <w:rsid w:val="39325651"/>
    <w:rsid w:val="3A872856"/>
    <w:rsid w:val="3B3763D1"/>
    <w:rsid w:val="3C2F6E1E"/>
    <w:rsid w:val="3C4F64BA"/>
    <w:rsid w:val="3CDA245A"/>
    <w:rsid w:val="3D1E06B7"/>
    <w:rsid w:val="3EDA0523"/>
    <w:rsid w:val="407A6407"/>
    <w:rsid w:val="408C327C"/>
    <w:rsid w:val="4200449D"/>
    <w:rsid w:val="42286F6B"/>
    <w:rsid w:val="423A3BCC"/>
    <w:rsid w:val="42415520"/>
    <w:rsid w:val="424E57D2"/>
    <w:rsid w:val="427A3C07"/>
    <w:rsid w:val="42B26C49"/>
    <w:rsid w:val="433A6FE6"/>
    <w:rsid w:val="43480868"/>
    <w:rsid w:val="4350713C"/>
    <w:rsid w:val="436653E0"/>
    <w:rsid w:val="43C4431A"/>
    <w:rsid w:val="44B951CC"/>
    <w:rsid w:val="44CD14E0"/>
    <w:rsid w:val="44F20B0B"/>
    <w:rsid w:val="452E5F4C"/>
    <w:rsid w:val="45612018"/>
    <w:rsid w:val="458946E9"/>
    <w:rsid w:val="45A47C0E"/>
    <w:rsid w:val="45BE53C0"/>
    <w:rsid w:val="46577FD6"/>
    <w:rsid w:val="46C54F44"/>
    <w:rsid w:val="46D955A7"/>
    <w:rsid w:val="47133957"/>
    <w:rsid w:val="47A07E0C"/>
    <w:rsid w:val="47B01D46"/>
    <w:rsid w:val="4870272E"/>
    <w:rsid w:val="49427848"/>
    <w:rsid w:val="49DC7715"/>
    <w:rsid w:val="4A023139"/>
    <w:rsid w:val="4A7B576F"/>
    <w:rsid w:val="4ABD1B3E"/>
    <w:rsid w:val="4AF561A9"/>
    <w:rsid w:val="4B282CD2"/>
    <w:rsid w:val="4C4A0649"/>
    <w:rsid w:val="4C7E5ECA"/>
    <w:rsid w:val="4C876AA5"/>
    <w:rsid w:val="4D0E00FB"/>
    <w:rsid w:val="4D176606"/>
    <w:rsid w:val="4DEC4FB0"/>
    <w:rsid w:val="4E075D8A"/>
    <w:rsid w:val="4EC00FAD"/>
    <w:rsid w:val="4F4550DB"/>
    <w:rsid w:val="4F57584E"/>
    <w:rsid w:val="4F8D2B23"/>
    <w:rsid w:val="4F9843DC"/>
    <w:rsid w:val="4FC62A8C"/>
    <w:rsid w:val="4FE20F0D"/>
    <w:rsid w:val="4FE51552"/>
    <w:rsid w:val="50504C4B"/>
    <w:rsid w:val="509C6E7C"/>
    <w:rsid w:val="513B5500"/>
    <w:rsid w:val="5162104E"/>
    <w:rsid w:val="5257653A"/>
    <w:rsid w:val="53663CDD"/>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5C328E"/>
    <w:rsid w:val="59C0439F"/>
    <w:rsid w:val="59CA2348"/>
    <w:rsid w:val="5ABE2233"/>
    <w:rsid w:val="5AE93128"/>
    <w:rsid w:val="5BDF5D95"/>
    <w:rsid w:val="5BFE7528"/>
    <w:rsid w:val="5E2467F1"/>
    <w:rsid w:val="5F1A2B43"/>
    <w:rsid w:val="5F517535"/>
    <w:rsid w:val="5FB837BB"/>
    <w:rsid w:val="60CC405A"/>
    <w:rsid w:val="61B33F41"/>
    <w:rsid w:val="61E215D8"/>
    <w:rsid w:val="621B3775"/>
    <w:rsid w:val="62364782"/>
    <w:rsid w:val="6394356A"/>
    <w:rsid w:val="63C61B2C"/>
    <w:rsid w:val="63D40BE9"/>
    <w:rsid w:val="64102431"/>
    <w:rsid w:val="64357266"/>
    <w:rsid w:val="64A5243A"/>
    <w:rsid w:val="64BC4AD4"/>
    <w:rsid w:val="64F531DE"/>
    <w:rsid w:val="65373578"/>
    <w:rsid w:val="671F124A"/>
    <w:rsid w:val="677A33C6"/>
    <w:rsid w:val="67A3540E"/>
    <w:rsid w:val="681F6961"/>
    <w:rsid w:val="68610A2F"/>
    <w:rsid w:val="68805514"/>
    <w:rsid w:val="69316E2F"/>
    <w:rsid w:val="694E2071"/>
    <w:rsid w:val="69766163"/>
    <w:rsid w:val="697A3B33"/>
    <w:rsid w:val="69D44760"/>
    <w:rsid w:val="6A520EC7"/>
    <w:rsid w:val="6AF87E20"/>
    <w:rsid w:val="6B322639"/>
    <w:rsid w:val="6C636C38"/>
    <w:rsid w:val="6D1C0D06"/>
    <w:rsid w:val="6D562617"/>
    <w:rsid w:val="6D58038F"/>
    <w:rsid w:val="6DB34098"/>
    <w:rsid w:val="6DB545B6"/>
    <w:rsid w:val="6DE02FB4"/>
    <w:rsid w:val="6E514CED"/>
    <w:rsid w:val="6E592B10"/>
    <w:rsid w:val="6EB563D5"/>
    <w:rsid w:val="6ED92677"/>
    <w:rsid w:val="6F225983"/>
    <w:rsid w:val="6F291694"/>
    <w:rsid w:val="6F8E22EE"/>
    <w:rsid w:val="6FFC5590"/>
    <w:rsid w:val="706D1DD0"/>
    <w:rsid w:val="70856B87"/>
    <w:rsid w:val="70D527EE"/>
    <w:rsid w:val="711C0D19"/>
    <w:rsid w:val="715B5300"/>
    <w:rsid w:val="71D27F8A"/>
    <w:rsid w:val="71E12E97"/>
    <w:rsid w:val="72553024"/>
    <w:rsid w:val="73122968"/>
    <w:rsid w:val="731F5D5E"/>
    <w:rsid w:val="73851E33"/>
    <w:rsid w:val="73C51AD5"/>
    <w:rsid w:val="741E793C"/>
    <w:rsid w:val="745E3944"/>
    <w:rsid w:val="746C23BF"/>
    <w:rsid w:val="746F18F8"/>
    <w:rsid w:val="749B595F"/>
    <w:rsid w:val="74F12595"/>
    <w:rsid w:val="7635099D"/>
    <w:rsid w:val="76363C9E"/>
    <w:rsid w:val="764B7507"/>
    <w:rsid w:val="776656E4"/>
    <w:rsid w:val="77762421"/>
    <w:rsid w:val="77B56B1F"/>
    <w:rsid w:val="77FC3781"/>
    <w:rsid w:val="780F09F4"/>
    <w:rsid w:val="78314998"/>
    <w:rsid w:val="788D5A48"/>
    <w:rsid w:val="78A90480"/>
    <w:rsid w:val="78EB5885"/>
    <w:rsid w:val="7A364017"/>
    <w:rsid w:val="7A8265E1"/>
    <w:rsid w:val="7B686D42"/>
    <w:rsid w:val="7B841746"/>
    <w:rsid w:val="7C6C5AC7"/>
    <w:rsid w:val="7CC62737"/>
    <w:rsid w:val="7CC6544B"/>
    <w:rsid w:val="7D0239FF"/>
    <w:rsid w:val="7D5E40CD"/>
    <w:rsid w:val="7DA95EDE"/>
    <w:rsid w:val="7DCD56F2"/>
    <w:rsid w:val="7F001CE7"/>
    <w:rsid w:val="7F9D2961"/>
    <w:rsid w:val="7FE47E50"/>
    <w:rsid w:val="FEBFC7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88"/>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97"/>
    <w:semiHidden/>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1"/>
    <w:link w:val="101"/>
    <w:qFormat/>
    <w:locked/>
    <w:uiPriority w:val="0"/>
    <w:pPr>
      <w:widowControl/>
      <w:spacing w:line="360" w:lineRule="auto"/>
      <w:ind w:firstLine="482" w:firstLineChars="200"/>
      <w:jc w:val="left"/>
      <w:outlineLvl w:val="3"/>
    </w:pPr>
    <w:rPr>
      <w:rFonts w:ascii="宋体" w:hAnsi="宋体" w:cs="宋体"/>
      <w:b/>
      <w:bCs/>
      <w:kern w:val="0"/>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89"/>
    <w:qFormat/>
    <w:locked/>
    <w:uiPriority w:val="0"/>
    <w:pPr>
      <w:ind w:firstLine="420" w:firstLineChars="200"/>
    </w:pPr>
    <w:rPr>
      <w:sz w:val="21"/>
      <w:szCs w:val="24"/>
    </w:rPr>
  </w:style>
  <w:style w:type="paragraph" w:styleId="3">
    <w:name w:val="Body Text Indent"/>
    <w:basedOn w:val="1"/>
    <w:link w:val="34"/>
    <w:qFormat/>
    <w:uiPriority w:val="99"/>
    <w:pPr>
      <w:spacing w:after="120"/>
      <w:ind w:left="420" w:leftChars="200"/>
    </w:pPr>
    <w:rPr>
      <w:kern w:val="0"/>
      <w:sz w:val="24"/>
      <w:szCs w:val="20"/>
    </w:rPr>
  </w:style>
  <w:style w:type="paragraph" w:styleId="8">
    <w:name w:val="Normal Indent"/>
    <w:basedOn w:val="1"/>
    <w:next w:val="7"/>
    <w:qFormat/>
    <w:locked/>
    <w:uiPriority w:val="0"/>
    <w:pPr>
      <w:ind w:firstLine="420"/>
    </w:pPr>
  </w:style>
  <w:style w:type="paragraph" w:styleId="9">
    <w:name w:val="caption"/>
    <w:basedOn w:val="1"/>
    <w:next w:val="1"/>
    <w:qFormat/>
    <w:locked/>
    <w:uiPriority w:val="0"/>
    <w:pPr>
      <w:jc w:val="center"/>
    </w:pPr>
    <w:rPr>
      <w:rFonts w:ascii="宋体" w:hAnsi="Arial" w:cs="Arial"/>
    </w:rPr>
  </w:style>
  <w:style w:type="paragraph" w:styleId="10">
    <w:name w:val="annotation text"/>
    <w:basedOn w:val="1"/>
    <w:link w:val="31"/>
    <w:semiHidden/>
    <w:qFormat/>
    <w:uiPriority w:val="0"/>
    <w:pPr>
      <w:jc w:val="left"/>
    </w:pPr>
    <w:rPr>
      <w:kern w:val="0"/>
      <w:sz w:val="24"/>
      <w:szCs w:val="20"/>
    </w:rPr>
  </w:style>
  <w:style w:type="paragraph" w:styleId="11">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12">
    <w:name w:val="Block Text"/>
    <w:basedOn w:val="1"/>
    <w:next w:val="1"/>
    <w:qFormat/>
    <w:locked/>
    <w:uiPriority w:val="0"/>
    <w:pPr>
      <w:ind w:left="113" w:right="113" w:firstLine="555"/>
      <w:jc w:val="left"/>
    </w:pPr>
    <w:rPr>
      <w:sz w:val="28"/>
    </w:rPr>
  </w:style>
  <w:style w:type="paragraph" w:styleId="13">
    <w:name w:val="Plain Text"/>
    <w:basedOn w:val="1"/>
    <w:qFormat/>
    <w:locked/>
    <w:uiPriority w:val="99"/>
    <w:rPr>
      <w:rFonts w:ascii="宋体" w:hAnsi="Courier New" w:cs="Courier New"/>
      <w:szCs w:val="21"/>
    </w:rPr>
  </w:style>
  <w:style w:type="paragraph" w:styleId="14">
    <w:name w:val="Date"/>
    <w:basedOn w:val="1"/>
    <w:next w:val="1"/>
    <w:link w:val="35"/>
    <w:qFormat/>
    <w:uiPriority w:val="0"/>
    <w:pPr>
      <w:ind w:left="100" w:leftChars="2500"/>
    </w:pPr>
    <w:rPr>
      <w:kern w:val="0"/>
      <w:sz w:val="24"/>
      <w:szCs w:val="20"/>
    </w:rPr>
  </w:style>
  <w:style w:type="paragraph" w:styleId="15">
    <w:name w:val="Body Text Indent 2"/>
    <w:basedOn w:val="1"/>
    <w:link w:val="105"/>
    <w:qFormat/>
    <w:locked/>
    <w:uiPriority w:val="0"/>
    <w:pPr>
      <w:spacing w:line="500" w:lineRule="exact"/>
      <w:ind w:firstLine="480"/>
    </w:pPr>
    <w:rPr>
      <w:rFonts w:ascii="宋体"/>
      <w:sz w:val="24"/>
    </w:rPr>
  </w:style>
  <w:style w:type="paragraph" w:styleId="16">
    <w:name w:val="Balloon Text"/>
    <w:basedOn w:val="1"/>
    <w:link w:val="36"/>
    <w:semiHidden/>
    <w:qFormat/>
    <w:uiPriority w:val="0"/>
    <w:rPr>
      <w:kern w:val="0"/>
      <w:sz w:val="18"/>
      <w:szCs w:val="20"/>
    </w:rPr>
  </w:style>
  <w:style w:type="paragraph" w:styleId="17">
    <w:name w:val="footer"/>
    <w:basedOn w:val="1"/>
    <w:link w:val="37"/>
    <w:qFormat/>
    <w:uiPriority w:val="99"/>
    <w:pPr>
      <w:tabs>
        <w:tab w:val="center" w:pos="4153"/>
        <w:tab w:val="right" w:pos="8306"/>
      </w:tabs>
      <w:snapToGrid w:val="0"/>
      <w:jc w:val="left"/>
    </w:pPr>
    <w:rPr>
      <w:kern w:val="0"/>
      <w:sz w:val="18"/>
      <w:szCs w:val="20"/>
    </w:rPr>
  </w:style>
  <w:style w:type="paragraph" w:styleId="18">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semiHidden/>
    <w:qFormat/>
    <w:locked/>
    <w:uiPriority w:val="0"/>
    <w:pPr>
      <w:spacing w:before="120" w:after="120"/>
      <w:jc w:val="left"/>
    </w:pPr>
    <w:rPr>
      <w:b/>
      <w:bCs/>
      <w:caps/>
      <w:sz w:val="20"/>
    </w:rPr>
  </w:style>
  <w:style w:type="paragraph" w:styleId="20">
    <w:name w:val="table of figures"/>
    <w:basedOn w:val="1"/>
    <w:next w:val="1"/>
    <w:qFormat/>
    <w:locked/>
    <w:uiPriority w:val="0"/>
    <w:pPr>
      <w:spacing w:beforeLines="50" w:afterLines="50" w:line="500" w:lineRule="exact"/>
      <w:jc w:val="center"/>
    </w:pPr>
    <w:rPr>
      <w:rFonts w:ascii="仿宋_GB2312" w:eastAsia="仿宋_GB2312" w:cs="仿宋_GB2312"/>
      <w:sz w:val="28"/>
      <w:szCs w:val="28"/>
    </w:rPr>
  </w:style>
  <w:style w:type="paragraph" w:styleId="21">
    <w:name w:val="Body Text 2"/>
    <w:basedOn w:val="1"/>
    <w:link w:val="85"/>
    <w:qFormat/>
    <w:locked/>
    <w:uiPriority w:val="0"/>
    <w:pPr>
      <w:spacing w:after="120" w:line="480" w:lineRule="auto"/>
    </w:pPr>
  </w:style>
  <w:style w:type="paragraph" w:styleId="22">
    <w:name w:val="HTML Preformatted"/>
    <w:basedOn w:val="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3">
    <w:name w:val="Normal (Web)"/>
    <w:basedOn w:val="1"/>
    <w:link w:val="39"/>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40"/>
    <w:semiHidden/>
    <w:qFormat/>
    <w:uiPriority w:val="0"/>
    <w:rPr>
      <w:b/>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locked/>
    <w:uiPriority w:val="0"/>
  </w:style>
  <w:style w:type="character" w:styleId="29">
    <w:name w:val="Hyperlink"/>
    <w:basedOn w:val="27"/>
    <w:unhideWhenUsed/>
    <w:qFormat/>
    <w:locked/>
    <w:uiPriority w:val="99"/>
    <w:rPr>
      <w:color w:val="0000FF"/>
      <w:u w:val="single"/>
    </w:rPr>
  </w:style>
  <w:style w:type="character" w:styleId="30">
    <w:name w:val="annotation reference"/>
    <w:semiHidden/>
    <w:qFormat/>
    <w:uiPriority w:val="0"/>
    <w:rPr>
      <w:sz w:val="21"/>
    </w:rPr>
  </w:style>
  <w:style w:type="character" w:customStyle="1" w:styleId="31">
    <w:name w:val="批注文字 字符"/>
    <w:link w:val="10"/>
    <w:qFormat/>
    <w:locked/>
    <w:uiPriority w:val="0"/>
    <w:rPr>
      <w:rFonts w:ascii="Times New Roman" w:hAnsi="Times New Roman" w:eastAsia="宋体"/>
      <w:sz w:val="24"/>
    </w:rPr>
  </w:style>
  <w:style w:type="character" w:customStyle="1" w:styleId="32">
    <w:name w:val="正文文本 字符"/>
    <w:link w:val="11"/>
    <w:qFormat/>
    <w:locked/>
    <w:uiPriority w:val="0"/>
    <w:rPr>
      <w:sz w:val="18"/>
    </w:rPr>
  </w:style>
  <w:style w:type="paragraph" w:customStyle="1" w:styleId="33">
    <w:name w:val="Char1"/>
    <w:basedOn w:val="1"/>
    <w:qFormat/>
    <w:uiPriority w:val="0"/>
  </w:style>
  <w:style w:type="character" w:customStyle="1" w:styleId="34">
    <w:name w:val="正文文本缩进 字符"/>
    <w:link w:val="3"/>
    <w:semiHidden/>
    <w:qFormat/>
    <w:locked/>
    <w:uiPriority w:val="99"/>
    <w:rPr>
      <w:rFonts w:ascii="Times New Roman" w:hAnsi="Times New Roman" w:eastAsia="宋体"/>
      <w:sz w:val="24"/>
    </w:rPr>
  </w:style>
  <w:style w:type="character" w:customStyle="1" w:styleId="35">
    <w:name w:val="日期 字符1"/>
    <w:link w:val="14"/>
    <w:qFormat/>
    <w:locked/>
    <w:uiPriority w:val="0"/>
    <w:rPr>
      <w:rFonts w:ascii="Times New Roman" w:hAnsi="Times New Roman" w:eastAsia="宋体"/>
      <w:sz w:val="24"/>
    </w:rPr>
  </w:style>
  <w:style w:type="character" w:customStyle="1" w:styleId="36">
    <w:name w:val="批注框文本 字符"/>
    <w:link w:val="16"/>
    <w:semiHidden/>
    <w:qFormat/>
    <w:locked/>
    <w:uiPriority w:val="0"/>
    <w:rPr>
      <w:rFonts w:ascii="Times New Roman" w:hAnsi="Times New Roman" w:eastAsia="宋体"/>
      <w:sz w:val="18"/>
    </w:rPr>
  </w:style>
  <w:style w:type="character" w:customStyle="1" w:styleId="37">
    <w:name w:val="页脚 字符1"/>
    <w:link w:val="17"/>
    <w:qFormat/>
    <w:locked/>
    <w:uiPriority w:val="99"/>
    <w:rPr>
      <w:sz w:val="18"/>
    </w:rPr>
  </w:style>
  <w:style w:type="character" w:customStyle="1" w:styleId="38">
    <w:name w:val="页眉 字符"/>
    <w:link w:val="18"/>
    <w:qFormat/>
    <w:locked/>
    <w:uiPriority w:val="0"/>
    <w:rPr>
      <w:sz w:val="18"/>
    </w:rPr>
  </w:style>
  <w:style w:type="character" w:customStyle="1" w:styleId="39">
    <w:name w:val="普通(网站) 字符"/>
    <w:link w:val="23"/>
    <w:qFormat/>
    <w:locked/>
    <w:uiPriority w:val="0"/>
    <w:rPr>
      <w:rFonts w:ascii="宋体" w:hAnsi="宋体" w:eastAsia="宋体"/>
      <w:sz w:val="24"/>
    </w:rPr>
  </w:style>
  <w:style w:type="character" w:customStyle="1" w:styleId="40">
    <w:name w:val="批注主题 字符"/>
    <w:link w:val="24"/>
    <w:semiHidden/>
    <w:qFormat/>
    <w:locked/>
    <w:uiPriority w:val="0"/>
    <w:rPr>
      <w:rFonts w:ascii="Times New Roman" w:hAnsi="Times New Roman" w:eastAsia="宋体"/>
      <w:b/>
      <w:kern w:val="2"/>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font71"/>
    <w:qFormat/>
    <w:uiPriority w:val="0"/>
    <w:rPr>
      <w:rFonts w:hint="eastAsia" w:ascii="宋体" w:hAnsi="宋体" w:eastAsia="宋体" w:cs="宋体"/>
      <w:color w:val="000000"/>
      <w:sz w:val="21"/>
      <w:szCs w:val="21"/>
      <w:u w:val="none"/>
    </w:rPr>
  </w:style>
  <w:style w:type="character" w:customStyle="1" w:styleId="43">
    <w:name w:val="页脚 字符"/>
    <w:qFormat/>
    <w:uiPriority w:val="99"/>
  </w:style>
  <w:style w:type="character" w:customStyle="1" w:styleId="44">
    <w:name w:val="font61"/>
    <w:qFormat/>
    <w:uiPriority w:val="0"/>
    <w:rPr>
      <w:rFonts w:hint="default" w:ascii="Times New Roman" w:hAnsi="Times New Roman" w:cs="Times New Roman"/>
      <w:color w:val="000000"/>
      <w:sz w:val="21"/>
      <w:szCs w:val="21"/>
      <w:u w:val="none"/>
      <w:vertAlign w:val="subscript"/>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font11"/>
    <w:qFormat/>
    <w:uiPriority w:val="0"/>
    <w:rPr>
      <w:rFonts w:hint="default" w:ascii="Times New Roman" w:hAnsi="Times New Roman" w:cs="Times New Roman"/>
      <w:b/>
      <w:bCs/>
      <w:color w:val="000000"/>
      <w:sz w:val="21"/>
      <w:szCs w:val="21"/>
      <w:u w:val="none"/>
    </w:rPr>
  </w:style>
  <w:style w:type="character" w:customStyle="1" w:styleId="48">
    <w:name w:val="font21"/>
    <w:qFormat/>
    <w:uiPriority w:val="0"/>
    <w:rPr>
      <w:rFonts w:hint="eastAsia" w:ascii="宋体" w:hAnsi="宋体" w:eastAsia="宋体" w:cs="宋体"/>
      <w:b/>
      <w:bCs/>
      <w:color w:val="000000"/>
      <w:sz w:val="21"/>
      <w:szCs w:val="21"/>
      <w:u w:val="none"/>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标题222"/>
    <w:qFormat/>
    <w:uiPriority w:val="0"/>
    <w:rPr>
      <w:rFonts w:ascii="宋体" w:hAnsi="宋体" w:cs="宋体"/>
      <w:spacing w:val="-4"/>
      <w:sz w:val="24"/>
      <w:szCs w:val="24"/>
    </w:rPr>
  </w:style>
  <w:style w:type="character" w:customStyle="1" w:styleId="52">
    <w:name w:val="font41"/>
    <w:qFormat/>
    <w:uiPriority w:val="0"/>
    <w:rPr>
      <w:rFonts w:hint="default" w:ascii="Times New Roman" w:hAnsi="Times New Roman" w:cs="Times New Roman"/>
      <w:color w:val="000000"/>
      <w:sz w:val="21"/>
      <w:szCs w:val="21"/>
      <w:u w:val="none"/>
    </w:rPr>
  </w:style>
  <w:style w:type="paragraph" w:customStyle="1" w:styleId="53">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54">
    <w:name w:val="Bullet_Indent"/>
    <w:basedOn w:val="1"/>
    <w:qFormat/>
    <w:uiPriority w:val="99"/>
    <w:pPr>
      <w:widowControl/>
      <w:adjustRightInd w:val="0"/>
      <w:snapToGrid w:val="0"/>
      <w:spacing w:after="240" w:line="360" w:lineRule="auto"/>
      <w:ind w:left="1440" w:hanging="720"/>
      <w:jc w:val="left"/>
    </w:pPr>
    <w:rPr>
      <w:rFonts w:ascii="宋体" w:hAnsi="宋体" w:cs="宋体"/>
      <w:kern w:val="0"/>
      <w:sz w:val="24"/>
      <w:szCs w:val="20"/>
    </w:rPr>
  </w:style>
  <w:style w:type="paragraph" w:customStyle="1" w:styleId="55">
    <w:name w:val="表文字"/>
    <w:basedOn w:val="1"/>
    <w:next w:val="1"/>
    <w:qFormat/>
    <w:uiPriority w:val="0"/>
    <w:pPr>
      <w:topLinePunct/>
      <w:jc w:val="center"/>
    </w:pPr>
    <w:rPr>
      <w:szCs w:val="21"/>
    </w:rPr>
  </w:style>
  <w:style w:type="paragraph" w:customStyle="1" w:styleId="56">
    <w:name w:val="样式 四号 左侧:  1.53 厘米"/>
    <w:basedOn w:val="1"/>
    <w:qFormat/>
    <w:uiPriority w:val="0"/>
    <w:pPr>
      <w:adjustRightInd w:val="0"/>
    </w:pPr>
    <w:rPr>
      <w:w w:val="90"/>
      <w:sz w:val="28"/>
      <w:szCs w:val="28"/>
    </w:rPr>
  </w:style>
  <w:style w:type="paragraph" w:customStyle="1" w:styleId="5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58">
    <w:name w:val="标题2222222222"/>
    <w:basedOn w:val="19"/>
    <w:qFormat/>
    <w:uiPriority w:val="0"/>
    <w:pPr>
      <w:tabs>
        <w:tab w:val="right" w:leader="dot" w:pos="8722"/>
      </w:tabs>
      <w:spacing w:beforeLines="50" w:afterLines="50" w:line="360" w:lineRule="auto"/>
    </w:pPr>
    <w:rPr>
      <w:sz w:val="24"/>
    </w:rPr>
  </w:style>
  <w:style w:type="paragraph" w:customStyle="1" w:styleId="59">
    <w:name w:val="Default"/>
    <w:basedOn w:val="57"/>
    <w:qFormat/>
    <w:uiPriority w:val="0"/>
    <w:pPr>
      <w:widowControl w:val="0"/>
      <w:autoSpaceDE w:val="0"/>
      <w:autoSpaceDN w:val="0"/>
      <w:adjustRightInd w:val="0"/>
    </w:pPr>
    <w:rPr>
      <w:rFonts w:ascii="MHei-Medium" w:eastAsia="MHei-Medium"/>
    </w:rPr>
  </w:style>
  <w:style w:type="paragraph" w:customStyle="1" w:styleId="60">
    <w:name w:val="二级无标题条"/>
    <w:basedOn w:val="1"/>
    <w:qFormat/>
    <w:uiPriority w:val="0"/>
  </w:style>
  <w:style w:type="paragraph" w:customStyle="1" w:styleId="61">
    <w:name w:val="表格标题"/>
    <w:basedOn w:val="62"/>
    <w:next w:val="1"/>
    <w:qFormat/>
    <w:uiPriority w:val="0"/>
    <w:pPr>
      <w:snapToGrid w:val="0"/>
      <w:spacing w:line="276" w:lineRule="auto"/>
      <w:ind w:firstLine="0"/>
      <w:jc w:val="center"/>
      <w:textAlignment w:val="baseline"/>
    </w:pPr>
    <w:rPr>
      <w:rFonts w:ascii="Times New Roman" w:hAnsi="Times New Roman"/>
      <w:b/>
      <w:bCs w:val="0"/>
    </w:rPr>
  </w:style>
  <w:style w:type="paragraph" w:customStyle="1" w:styleId="62">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3">
    <w:name w:val="1标题3级"/>
    <w:basedOn w:val="1"/>
    <w:qFormat/>
    <w:uiPriority w:val="0"/>
    <w:pPr>
      <w:snapToGrid w:val="0"/>
      <w:spacing w:line="360" w:lineRule="auto"/>
    </w:pPr>
    <w:rPr>
      <w:rFonts w:eastAsia="仿宋_GB2312"/>
      <w:sz w:val="28"/>
      <w:szCs w:val="20"/>
    </w:rPr>
  </w:style>
  <w:style w:type="paragraph" w:customStyle="1" w:styleId="64">
    <w:name w:val="表格文字"/>
    <w:next w:val="1"/>
    <w:link w:val="77"/>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报告表格"/>
    <w:basedOn w:val="1"/>
    <w:qFormat/>
    <w:uiPriority w:val="0"/>
    <w:pPr>
      <w:autoSpaceDE w:val="0"/>
      <w:autoSpaceDN w:val="0"/>
      <w:adjustRightInd w:val="0"/>
      <w:spacing w:before="40" w:after="40"/>
      <w:jc w:val="center"/>
      <w:textAlignment w:val="bottom"/>
    </w:pPr>
    <w:rPr>
      <w:kern w:val="0"/>
    </w:rPr>
  </w:style>
  <w:style w:type="paragraph" w:customStyle="1" w:styleId="67">
    <w:name w:val="——大纲报告书表格标题"/>
    <w:basedOn w:val="1"/>
    <w:qFormat/>
    <w:uiPriority w:val="0"/>
    <w:pPr>
      <w:tabs>
        <w:tab w:val="left" w:pos="0"/>
        <w:tab w:val="left" w:pos="785"/>
      </w:tabs>
      <w:jc w:val="center"/>
      <w:outlineLvl w:val="8"/>
    </w:pPr>
    <w:rPr>
      <w:b/>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样式2"/>
    <w:basedOn w:val="1"/>
    <w:qFormat/>
    <w:uiPriority w:val="0"/>
  </w:style>
  <w:style w:type="paragraph" w:customStyle="1" w:styleId="70">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1">
    <w:name w:val="样式 样式 样式 四号 左侧:  1.53 厘米 + 首行缩进:  2 字符 + 居中 左侧:  2 字符 首行缩进:  2..."/>
    <w:basedOn w:val="72"/>
    <w:qFormat/>
    <w:uiPriority w:val="0"/>
    <w:pPr>
      <w:jc w:val="center"/>
    </w:pPr>
  </w:style>
  <w:style w:type="paragraph" w:customStyle="1" w:styleId="72">
    <w:name w:val="样式 样式 四号 左侧:  1.53 厘米 + 首行缩进:  2 字符"/>
    <w:basedOn w:val="56"/>
    <w:qFormat/>
    <w:uiPriority w:val="0"/>
    <w:pPr>
      <w:ind w:left="200" w:leftChars="200"/>
    </w:pPr>
    <w:rPr>
      <w:szCs w:val="20"/>
    </w:rPr>
  </w:style>
  <w:style w:type="paragraph" w:customStyle="1" w:styleId="73">
    <w:name w:val="Normal_19"/>
    <w:qFormat/>
    <w:uiPriority w:val="0"/>
    <w:pPr>
      <w:spacing w:before="120" w:after="240"/>
      <w:jc w:val="both"/>
    </w:pPr>
    <w:rPr>
      <w:rFonts w:ascii="Calibri" w:hAnsi="Calibri" w:eastAsia="Calibri" w:cs="Times New Roman"/>
      <w:sz w:val="22"/>
      <w:szCs w:val="22"/>
      <w:lang w:val="ru-RU" w:eastAsia="en-US" w:bidi="ar-SA"/>
    </w:rPr>
  </w:style>
  <w:style w:type="paragraph" w:customStyle="1" w:styleId="74">
    <w:name w:val="表1 五号"/>
    <w:basedOn w:val="1"/>
    <w:qFormat/>
    <w:uiPriority w:val="0"/>
    <w:pPr>
      <w:adjustRightInd w:val="0"/>
      <w:snapToGrid w:val="0"/>
      <w:jc w:val="center"/>
    </w:pPr>
    <w:rPr>
      <w:szCs w:val="21"/>
    </w:rPr>
  </w:style>
  <w:style w:type="paragraph" w:customStyle="1" w:styleId="75">
    <w:name w:val="Table Paragraph"/>
    <w:basedOn w:val="1"/>
    <w:qFormat/>
    <w:uiPriority w:val="1"/>
    <w:pPr>
      <w:jc w:val="left"/>
    </w:pPr>
    <w:rPr>
      <w:rFonts w:ascii="Calibri" w:hAnsi="Calibri"/>
      <w:kern w:val="0"/>
      <w:sz w:val="22"/>
      <w:szCs w:val="22"/>
      <w:lang w:eastAsia="en-US"/>
    </w:rPr>
  </w:style>
  <w:style w:type="table" w:customStyle="1" w:styleId="76">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77">
    <w:name w:val="表格文字 Char4"/>
    <w:link w:val="64"/>
    <w:qFormat/>
    <w:locked/>
    <w:uiPriority w:val="0"/>
    <w:rPr>
      <w:rFonts w:ascii="Calibri" w:hAnsi="Calibri"/>
      <w:sz w:val="21"/>
      <w:szCs w:val="21"/>
    </w:rPr>
  </w:style>
  <w:style w:type="paragraph" w:styleId="78">
    <w:name w:val="List Paragraph"/>
    <w:basedOn w:val="1"/>
    <w:qFormat/>
    <w:uiPriority w:val="99"/>
    <w:pPr>
      <w:ind w:firstLine="420" w:firstLineChars="200"/>
    </w:pPr>
  </w:style>
  <w:style w:type="paragraph" w:customStyle="1" w:styleId="79">
    <w:name w:val="表内字"/>
    <w:qFormat/>
    <w:uiPriority w:val="0"/>
    <w:pPr>
      <w:jc w:val="center"/>
    </w:pPr>
    <w:rPr>
      <w:rFonts w:ascii="Calibri" w:hAnsi="Calibri" w:eastAsia="宋体" w:cs="Times New Roman"/>
      <w:sz w:val="21"/>
      <w:szCs w:val="21"/>
      <w:lang w:val="en-US" w:eastAsia="zh-CN" w:bidi="ar-SA"/>
    </w:rPr>
  </w:style>
  <w:style w:type="paragraph" w:customStyle="1" w:styleId="80">
    <w:name w:val="表内文字加粗"/>
    <w:qFormat/>
    <w:uiPriority w:val="0"/>
    <w:pPr>
      <w:autoSpaceDE w:val="0"/>
      <w:autoSpaceDN w:val="0"/>
      <w:adjustRightInd w:val="0"/>
      <w:jc w:val="center"/>
      <w:textAlignment w:val="bottom"/>
    </w:pPr>
    <w:rPr>
      <w:rFonts w:ascii="Calibri" w:hAnsi="Calibri" w:eastAsia="宋体" w:cs="Times New Roman"/>
      <w:b/>
      <w:sz w:val="21"/>
      <w:lang w:val="en-US" w:eastAsia="zh-CN" w:bidi="ar-SA"/>
    </w:rPr>
  </w:style>
  <w:style w:type="paragraph" w:customStyle="1" w:styleId="81">
    <w:name w:val="图例表例"/>
    <w:basedOn w:val="1"/>
    <w:next w:val="1"/>
    <w:qFormat/>
    <w:uiPriority w:val="0"/>
    <w:pPr>
      <w:jc w:val="center"/>
    </w:pPr>
    <w:rPr>
      <w:rFonts w:ascii="Calibri" w:hAnsi="Calibri"/>
      <w:b/>
      <w:sz w:val="24"/>
      <w:szCs w:val="21"/>
    </w:rPr>
  </w:style>
  <w:style w:type="character" w:styleId="82">
    <w:name w:val="Placeholder Text"/>
    <w:basedOn w:val="27"/>
    <w:unhideWhenUsed/>
    <w:qFormat/>
    <w:uiPriority w:val="99"/>
    <w:rPr>
      <w:color w:val="808080"/>
    </w:rPr>
  </w:style>
  <w:style w:type="paragraph" w:customStyle="1" w:styleId="83">
    <w:name w:val="样式 小四 加粗 行距: 1.5 倍行距"/>
    <w:basedOn w:val="1"/>
    <w:qFormat/>
    <w:uiPriority w:val="0"/>
    <w:pPr>
      <w:spacing w:line="360" w:lineRule="auto"/>
      <w:ind w:firstLine="482" w:firstLineChars="200"/>
    </w:pPr>
    <w:rPr>
      <w:rFonts w:ascii="Calibri" w:hAnsi="Calibri" w:cs="宋体"/>
      <w:b/>
      <w:bCs/>
      <w:sz w:val="24"/>
      <w:szCs w:val="20"/>
    </w:rPr>
  </w:style>
  <w:style w:type="paragraph" w:customStyle="1" w:styleId="84">
    <w:name w:val="1表格"/>
    <w:basedOn w:val="21"/>
    <w:qFormat/>
    <w:uiPriority w:val="0"/>
    <w:pPr>
      <w:snapToGrid w:val="0"/>
      <w:spacing w:after="0" w:line="240" w:lineRule="auto"/>
      <w:jc w:val="center"/>
    </w:pPr>
    <w:rPr>
      <w:color w:val="000000"/>
      <w:szCs w:val="21"/>
    </w:rPr>
  </w:style>
  <w:style w:type="character" w:customStyle="1" w:styleId="85">
    <w:name w:val="正文文本 2 字符"/>
    <w:basedOn w:val="27"/>
    <w:link w:val="21"/>
    <w:qFormat/>
    <w:uiPriority w:val="0"/>
    <w:rPr>
      <w:rFonts w:ascii="Times New Roman" w:hAnsi="Times New Roman"/>
      <w:kern w:val="2"/>
      <w:sz w:val="21"/>
      <w:szCs w:val="24"/>
    </w:rPr>
  </w:style>
  <w:style w:type="character" w:customStyle="1" w:styleId="86">
    <w:name w:val="1正文文本 Char"/>
    <w:link w:val="87"/>
    <w:qFormat/>
    <w:uiPriority w:val="0"/>
    <w:rPr>
      <w:rFonts w:hAnsi="宋体"/>
      <w:sz w:val="21"/>
      <w:szCs w:val="24"/>
    </w:rPr>
  </w:style>
  <w:style w:type="paragraph" w:customStyle="1" w:styleId="87">
    <w:name w:val="1正文文本"/>
    <w:basedOn w:val="1"/>
    <w:link w:val="86"/>
    <w:qFormat/>
    <w:uiPriority w:val="0"/>
    <w:pPr>
      <w:autoSpaceDE w:val="0"/>
      <w:autoSpaceDN w:val="0"/>
      <w:adjustRightInd w:val="0"/>
      <w:spacing w:line="480" w:lineRule="exact"/>
      <w:ind w:firstLine="200" w:firstLineChars="200"/>
    </w:pPr>
    <w:rPr>
      <w:rFonts w:ascii="Calibri" w:hAnsi="宋体"/>
      <w:kern w:val="0"/>
    </w:rPr>
  </w:style>
  <w:style w:type="character" w:customStyle="1" w:styleId="88">
    <w:name w:val="标题 2 字符"/>
    <w:basedOn w:val="27"/>
    <w:link w:val="5"/>
    <w:semiHidden/>
    <w:qFormat/>
    <w:uiPriority w:val="0"/>
    <w:rPr>
      <w:rFonts w:asciiTheme="majorHAnsi" w:hAnsiTheme="majorHAnsi" w:eastAsiaTheme="majorEastAsia" w:cstheme="majorBidi"/>
      <w:b/>
      <w:bCs/>
      <w:kern w:val="2"/>
      <w:sz w:val="32"/>
      <w:szCs w:val="32"/>
    </w:rPr>
  </w:style>
  <w:style w:type="character" w:customStyle="1" w:styleId="89">
    <w:name w:val="正文文本首行缩进 2 字符"/>
    <w:basedOn w:val="34"/>
    <w:link w:val="2"/>
    <w:qFormat/>
    <w:uiPriority w:val="99"/>
    <w:rPr>
      <w:rFonts w:ascii="Times New Roman" w:hAnsi="Times New Roman" w:eastAsia="宋体"/>
      <w:sz w:val="21"/>
      <w:szCs w:val="24"/>
    </w:rPr>
  </w:style>
  <w:style w:type="paragraph" w:customStyle="1" w:styleId="90">
    <w:name w:val="y正文"/>
    <w:qFormat/>
    <w:uiPriority w:val="0"/>
    <w:pPr>
      <w:spacing w:line="360" w:lineRule="auto"/>
      <w:ind w:firstLine="480" w:firstLineChars="200"/>
      <w:jc w:val="both"/>
    </w:pPr>
    <w:rPr>
      <w:rFonts w:ascii="Times New Roman" w:hAnsi="Times New Roman" w:eastAsia="宋体" w:cs="Times New Roman"/>
      <w:kern w:val="2"/>
      <w:sz w:val="24"/>
      <w:szCs w:val="21"/>
      <w:lang w:val="en-US" w:eastAsia="zh-CN" w:bidi="ar-SA"/>
    </w:rPr>
  </w:style>
  <w:style w:type="paragraph" w:styleId="91">
    <w:name w:val="No Spacing"/>
    <w:qFormat/>
    <w:uiPriority w:val="1"/>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92">
    <w:name w:val="表格文字zh"/>
    <w:basedOn w:val="13"/>
    <w:qFormat/>
    <w:uiPriority w:val="0"/>
    <w:pPr>
      <w:adjustRightInd w:val="0"/>
      <w:snapToGrid w:val="0"/>
      <w:jc w:val="center"/>
    </w:pPr>
    <w:rPr>
      <w:rFonts w:ascii="Times New Roman" w:hAnsi="Times New Roman" w:eastAsia="Times New Roman" w:cs="Times New Roman"/>
      <w:color w:val="000000"/>
    </w:rPr>
  </w:style>
  <w:style w:type="paragraph" w:customStyle="1" w:styleId="93">
    <w:name w:val="图表标题"/>
    <w:next w:val="1"/>
    <w:qFormat/>
    <w:uiPriority w:val="0"/>
    <w:pPr>
      <w:keepLines/>
      <w:widowControl w:val="0"/>
      <w:spacing w:beforeLines="20" w:afterLines="20" w:line="360" w:lineRule="auto"/>
      <w:jc w:val="center"/>
    </w:pPr>
    <w:rPr>
      <w:rFonts w:ascii="Times New Roman" w:hAnsi="Times New Roman" w:eastAsia="宋体" w:cs="Times New Roman"/>
      <w:b/>
      <w:kern w:val="2"/>
      <w:sz w:val="24"/>
      <w:szCs w:val="22"/>
      <w:lang w:val="en-US" w:eastAsia="zh-CN" w:bidi="ar-SA"/>
    </w:rPr>
  </w:style>
  <w:style w:type="paragraph" w:customStyle="1" w:styleId="94">
    <w:name w:val="表格样式"/>
    <w:basedOn w:val="1"/>
    <w:link w:val="95"/>
    <w:qFormat/>
    <w:uiPriority w:val="0"/>
    <w:pPr>
      <w:spacing w:before="60" w:after="60" w:line="240" w:lineRule="atLeast"/>
      <w:jc w:val="center"/>
    </w:pPr>
    <w:rPr>
      <w:szCs w:val="20"/>
    </w:rPr>
  </w:style>
  <w:style w:type="character" w:customStyle="1" w:styleId="95">
    <w:name w:val="表格样式 Char"/>
    <w:basedOn w:val="27"/>
    <w:link w:val="94"/>
    <w:qFormat/>
    <w:uiPriority w:val="0"/>
    <w:rPr>
      <w:rFonts w:ascii="Times New Roman" w:hAnsi="Times New Roman"/>
      <w:kern w:val="2"/>
      <w:sz w:val="21"/>
    </w:rPr>
  </w:style>
  <w:style w:type="paragraph" w:customStyle="1" w:styleId="96">
    <w:name w:val="正文（标准）"/>
    <w:basedOn w:val="1"/>
    <w:qFormat/>
    <w:uiPriority w:val="0"/>
    <w:pPr>
      <w:adjustRightInd w:val="0"/>
      <w:spacing w:line="360" w:lineRule="auto"/>
      <w:ind w:firstLine="200" w:firstLineChars="200"/>
    </w:pPr>
    <w:rPr>
      <w:sz w:val="24"/>
      <w:szCs w:val="30"/>
    </w:rPr>
  </w:style>
  <w:style w:type="character" w:customStyle="1" w:styleId="97">
    <w:name w:val="标题 3 字符"/>
    <w:basedOn w:val="27"/>
    <w:link w:val="6"/>
    <w:semiHidden/>
    <w:qFormat/>
    <w:uiPriority w:val="0"/>
    <w:rPr>
      <w:rFonts w:ascii="Times New Roman" w:hAnsi="Times New Roman"/>
      <w:b/>
      <w:bCs/>
      <w:kern w:val="2"/>
      <w:sz w:val="32"/>
      <w:szCs w:val="32"/>
    </w:rPr>
  </w:style>
  <w:style w:type="paragraph" w:customStyle="1" w:styleId="9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00">
    <w:name w:val="正文文本 Char"/>
    <w:qFormat/>
    <w:locked/>
    <w:uiPriority w:val="0"/>
    <w:rPr>
      <w:sz w:val="18"/>
      <w:lang w:val="zh-CN" w:eastAsia="zh-CN"/>
    </w:rPr>
  </w:style>
  <w:style w:type="character" w:customStyle="1" w:styleId="101">
    <w:name w:val="标题 4 字符"/>
    <w:basedOn w:val="27"/>
    <w:link w:val="7"/>
    <w:qFormat/>
    <w:uiPriority w:val="0"/>
    <w:rPr>
      <w:rFonts w:ascii="宋体" w:hAnsi="宋体" w:cs="宋体"/>
      <w:b/>
      <w:bCs/>
      <w:sz w:val="24"/>
      <w:szCs w:val="24"/>
    </w:rPr>
  </w:style>
  <w:style w:type="character" w:customStyle="1" w:styleId="102">
    <w:name w:val="A表格 字符"/>
    <w:link w:val="103"/>
    <w:qFormat/>
    <w:uiPriority w:val="0"/>
    <w:rPr>
      <w:color w:val="000000" w:themeColor="text1"/>
      <w:szCs w:val="21"/>
      <w:lang w:val="zh-CN"/>
      <w14:textFill>
        <w14:solidFill>
          <w14:schemeClr w14:val="tx1"/>
        </w14:solidFill>
      </w14:textFill>
    </w:rPr>
  </w:style>
  <w:style w:type="paragraph" w:customStyle="1" w:styleId="103">
    <w:name w:val="A表格"/>
    <w:basedOn w:val="1"/>
    <w:link w:val="102"/>
    <w:qFormat/>
    <w:uiPriority w:val="0"/>
    <w:pPr>
      <w:jc w:val="center"/>
    </w:pPr>
    <w:rPr>
      <w:rFonts w:ascii="Calibri" w:hAnsi="Calibri"/>
      <w:color w:val="000000" w:themeColor="text1"/>
      <w:kern w:val="0"/>
      <w:sz w:val="20"/>
      <w:szCs w:val="21"/>
      <w:lang w:val="zh-CN"/>
      <w14:textFill>
        <w14:solidFill>
          <w14:schemeClr w14:val="tx1"/>
        </w14:solidFill>
      </w14:textFill>
    </w:rPr>
  </w:style>
  <w:style w:type="paragraph" w:customStyle="1" w:styleId="104">
    <w:name w:val="正文2"/>
    <w:next w:val="1"/>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character" w:customStyle="1" w:styleId="105">
    <w:name w:val="正文文本缩进 2 字符"/>
    <w:basedOn w:val="27"/>
    <w:link w:val="15"/>
    <w:qFormat/>
    <w:uiPriority w:val="0"/>
    <w:rPr>
      <w:rFonts w:ascii="宋体" w:hAnsi="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87</Pages>
  <Words>120</Words>
  <Characters>147</Characters>
  <Lines>422</Lines>
  <Paragraphs>118</Paragraphs>
  <TotalTime>0</TotalTime>
  <ScaleCrop>false</ScaleCrop>
  <LinksUpToDate>false</LinksUpToDate>
  <CharactersWithSpaces>179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2023-12-07T16:34:00Z</dcterms:created>
  <dc:creator>lhj</dc:creator>
  <cp:lastModifiedBy>xxxx</cp:lastModifiedBy>
  <cp:lastPrinted>2023-12-08T12:17:00Z</cp:lastPrinted>
  <dcterms:modified xsi:type="dcterms:W3CDTF">2025-05-16T01:34:29Z</dcterms:modified>
  <dc:title>附件2</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7E43738794A749A7AB90B17ECC0B2B47_13</vt:lpwstr>
  </property>
  <property fmtid="{D5CDD505-2E9C-101B-9397-08002B2CF9AE}" pid="4" name="KSOTemplateDocerSaveRecord">
    <vt:lpwstr>eyJoZGlkIjoiMDZhOGMxODUwMjdlY2IzN2QwNDFlNTdlNzkwNGUyY2UiLCJ1c2VySWQiOiIxNjYxMjk4MDQ1In0=</vt:lpwstr>
  </property>
</Properties>
</file>